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U.S. Households, “Vibesession,” and Credit Risk Migration</w:t>
        <w:br/>
        <w:t>Macro Backdrop &amp; Monitoring Framework (No Company-Specific Coverage)</w:t>
      </w:r>
    </w:p>
    <w:p>
      <w:pPr>
        <w:jc w:val="center"/>
      </w:pPr>
      <w:r>
        <w:t>Date: February 13, 2026</w:t>
        <w:br/>
        <w:t>Prepared for: Investment research / internal discussion</w:t>
      </w:r>
    </w:p>
    <w:p/>
    <w:p>
      <w:pPr>
        <w:pStyle w:val="Heading1"/>
      </w:pPr>
      <w:r>
        <w:t>1. Executive Summary</w:t>
      </w:r>
    </w:p>
    <w:p>
      <w:r>
        <w:t>The key theme is not necessarily an imminent, system-wide recession, but a widening gap between macro aggregates and the lived experience of many wage‑earning households. Cost pressure and higher rates can squeeze household cash flow even when headline economic data looks resilient.</w:t>
      </w:r>
    </w:p>
    <w:p>
      <w:r>
        <w:t>In this setup, credit stress can accumulate first in non-mortgage channels (auto loans, revolving credit, BNPL) and migrate into structured-credit and non-bank balance sheets. Separately, commercial real estate (CRE) refinancing remains a slow-moving but sizable “maturity wall” risk.</w:t>
      </w:r>
    </w:p>
    <w:p>
      <w:pPr>
        <w:pStyle w:val="Heading1"/>
      </w:pPr>
      <w:r>
        <w:t>2. Macro Data vs. Household Sentiment: Why the Gap Matters</w:t>
      </w:r>
    </w:p>
    <w:p>
      <w:r>
        <w:t>A recurring pattern since the pandemic: macro indicators may remain stable while consumer sentiment stays weak. One plausible reconciliation is distributional—asset owners benefit more directly from financial-asset gains, while many non‑asset households primarily feel higher prices and higher financing costs.</w:t>
      </w:r>
    </w:p>
    <w:p>
      <w:r>
        <w:t>From an investment perspective, this divergence matters because markets can “price” stress earlier through spreads, underwriting standards, and refinancing conditions, even before it becomes obvious in headline default rates.</w:t>
      </w:r>
    </w:p>
    <w:p>
      <w:pPr>
        <w:pStyle w:val="Heading1"/>
      </w:pPr>
      <w:r>
        <w:t>3. Household Cash-Flow Squeeze: Translating “Extreme Narratives” into Consumer Experience</w:t>
      </w:r>
    </w:p>
    <w:p>
      <w:r>
        <w:t>Rather than relying on single extreme anecdotes (e.g., a specific repair bill or an eye-catching percentage increase), a more investable framing is to describe a typical household’s monthly cash-flow reality:</w:t>
      </w:r>
    </w:p>
    <w:p>
      <w:pPr>
        <w:pStyle w:val="ListBullet"/>
      </w:pPr>
      <w:r>
        <w:t>Recurring fixed expenses reset higher (insurance premiums, maintenance/repairs, utilities, subscriptions).</w:t>
      </w:r>
    </w:p>
    <w:p>
      <w:pPr>
        <w:pStyle w:val="ListBullet"/>
      </w:pPr>
      <w:r>
        <w:t>Higher rates increase the cost of rolling or refinancing debt; monthly payments become the binding constraint.</w:t>
      </w:r>
    </w:p>
    <w:p>
      <w:pPr>
        <w:pStyle w:val="ListBullet"/>
      </w:pPr>
      <w:r>
        <w:t>A single common shock (car repair, medical bill, rent jump) can push households into short-term borrowing.</w:t>
      </w:r>
    </w:p>
    <w:p>
      <w:pPr>
        <w:pStyle w:val="ListBullet"/>
      </w:pPr>
      <w:r>
        <w:t>This dynamic can persist without a sharp “headline” recession event—hence the ‘vibesession’ narrative.</w:t>
      </w:r>
    </w:p>
    <w:p>
      <w:pPr>
        <w:pStyle w:val="Heading1"/>
      </w:pPr>
      <w:r>
        <w:t>4. Credit Transmission Channels</w:t>
      </w:r>
    </w:p>
    <w:p>
      <w:pPr>
        <w:pStyle w:val="Heading2"/>
      </w:pPr>
      <w:r>
        <w:t>4.1 Auto Credit: Longer Terms, Negative Equity, and ‘Payment Relief’ Mechanics</w:t>
      </w:r>
    </w:p>
    <w:p>
      <w:r>
        <w:t>Auto credit is a useful stress barometer because the underlying collateral depreciates quickly, and many borrowers are rate- and payment-sensitive. In a higher-rate environment, lenders and borrowers may prioritize lowering monthly payments over reducing total interest cost.</w:t>
      </w:r>
    </w:p>
    <w:p>
      <w:r>
        <w:t>Key mechanisms to monitor:</w:t>
      </w:r>
    </w:p>
    <w:p>
      <w:pPr>
        <w:pStyle w:val="ListBullet"/>
      </w:pPr>
      <w:r>
        <w:t>Term extension: longer maturities can lower monthly payments while increasing total cost and prolonging negative equity.</w:t>
      </w:r>
    </w:p>
    <w:p>
      <w:pPr>
        <w:pStyle w:val="ListBullet"/>
      </w:pPr>
      <w:r>
        <w:t>Negative equity: if loan balances exceed vehicle values, borrowers have limited flexibility to sell or refinance.</w:t>
      </w:r>
    </w:p>
    <w:p>
      <w:pPr>
        <w:pStyle w:val="ListBullet"/>
      </w:pPr>
      <w:r>
        <w:t>Payment deferrals / modifications: can delay recognition of distress, shifting losses into the future.</w:t>
      </w:r>
    </w:p>
    <w:p>
      <w:r>
        <w:t>Investment implication: the earliest “price signal” often appears in non-prime credit spreads and subordinate tranches of structured products tied to consumer credit, rather than in broad bank headline metrics.</w:t>
      </w:r>
    </w:p>
    <w:p>
      <w:pPr>
        <w:pStyle w:val="Heading2"/>
      </w:pPr>
      <w:r>
        <w:t>4.2 BNPL (Buy Now, Pay Later): Convenience to Cash-Flow Bridge</w:t>
      </w:r>
    </w:p>
    <w:p>
      <w:r>
        <w:t>BNPL can act as a short-term cash-flow bridge. The risk is not only default, but also ‘stacking’—multiple simultaneous installment obligations across apps—plus limited visibility in traditional credit reporting depending on provider and product.</w:t>
      </w:r>
    </w:p>
    <w:p>
      <w:r>
        <w:t>What to watch:</w:t>
      </w:r>
    </w:p>
    <w:p>
      <w:pPr>
        <w:pStyle w:val="ListBullet"/>
      </w:pPr>
      <w:r>
        <w:t>Growth in BNPL usage for everyday necessities (signal of cash-flow stress).</w:t>
      </w:r>
    </w:p>
    <w:p>
      <w:pPr>
        <w:pStyle w:val="ListBullet"/>
      </w:pPr>
      <w:r>
        <w:t>Reported late-payment rates and fee revenue dependence (stress tends to raise both).</w:t>
      </w:r>
    </w:p>
    <w:p>
      <w:pPr>
        <w:pStyle w:val="ListBullet"/>
      </w:pPr>
      <w:r>
        <w:t>Regulatory/reporting changes that shift how BNPL exposures appear in credit files.</w:t>
      </w:r>
    </w:p>
    <w:p>
      <w:pPr>
        <w:pStyle w:val="Heading2"/>
      </w:pPr>
      <w:r>
        <w:t>4.3 Private Credit / Non-Bank Lenders: Opacity and Linkages</w:t>
      </w:r>
    </w:p>
    <w:p>
      <w:r>
        <w:t>Non-bank credit can expand when banks tighten underwriting. The key investor risk is often not day‑to‑day mark‑to‑market volatility, but opacity, valuation lag, and liquidity mismatch—especially when underlying assets are riskier than their headline labels suggest.</w:t>
      </w:r>
    </w:p>
    <w:p>
      <w:r>
        <w:t>Watchpoints:</w:t>
      </w:r>
    </w:p>
    <w:p>
      <w:pPr>
        <w:pStyle w:val="ListBullet"/>
      </w:pPr>
      <w:r>
        <w:t>Funding linkages (bank lines, repo, securitization markets) that can amplify stress.</w:t>
      </w:r>
    </w:p>
    <w:p>
      <w:pPr>
        <w:pStyle w:val="ListBullet"/>
      </w:pPr>
      <w:r>
        <w:t>Valuation frequency and redemption gates in semi-liquid vehicles.</w:t>
      </w:r>
    </w:p>
    <w:p>
      <w:pPr>
        <w:pStyle w:val="ListBullet"/>
      </w:pPr>
      <w:r>
        <w:t>Sector concentration and covenant quality—these determine loss severity in downturns.</w:t>
      </w:r>
    </w:p>
    <w:p>
      <w:pPr>
        <w:pStyle w:val="Heading2"/>
      </w:pPr>
      <w:r>
        <w:t>4.4 Commercial Real Estate (CRE): The Refinancing ‘Maturity Wall’</w:t>
      </w:r>
    </w:p>
    <w:p>
      <w:r>
        <w:t>CRE is a slow-moving but high‑impact risk channel. When rates are much higher at refinancing, borrowers face a step-up in debt service. Lenders may prefer extensions or restructuring to avoid immediate loss recognition, but this has limits.</w:t>
      </w:r>
    </w:p>
    <w:p>
      <w:r>
        <w:t>Key stress points:</w:t>
      </w:r>
    </w:p>
    <w:p>
      <w:pPr>
        <w:pStyle w:val="ListBullet"/>
      </w:pPr>
      <w:r>
        <w:t>Large maturity volumes in 2026–2027 (timing risk).</w:t>
      </w:r>
    </w:p>
    <w:p>
      <w:pPr>
        <w:pStyle w:val="ListBullet"/>
      </w:pPr>
      <w:r>
        <w:t>Office/retail vacancy and rent pressure (cash-flow risk).</w:t>
      </w:r>
    </w:p>
    <w:p>
      <w:pPr>
        <w:pStyle w:val="ListBullet"/>
      </w:pPr>
      <w:r>
        <w:t>Extension behavior (delays losses) vs. forced sales (realizes losses).</w:t>
      </w:r>
    </w:p>
    <w:p>
      <w:pPr>
        <w:pStyle w:val="Heading1"/>
      </w:pPr>
      <w:r>
        <w:t>5. Monitoring Dashboard (6–18 Months)</w:t>
      </w:r>
    </w:p>
    <w:p>
      <w:r>
        <w:t>A practical dashboard to track whether the theme is intensifying or fading:</w:t>
      </w:r>
    </w:p>
    <w:p>
      <w:pPr>
        <w:pStyle w:val="ListBullet"/>
      </w:pPr>
      <w:r>
        <w:t>Consumer sentiment and distributional splits (by wealth/asset ownership when available).</w:t>
      </w:r>
    </w:p>
    <w:p>
      <w:pPr>
        <w:pStyle w:val="ListBullet"/>
      </w:pPr>
      <w:r>
        <w:t>Household delinquency migration rates (auto / credit card / student loans).</w:t>
      </w:r>
    </w:p>
    <w:p>
      <w:pPr>
        <w:pStyle w:val="ListBullet"/>
      </w:pPr>
      <w:r>
        <w:t>Non-prime auto credit performance and structured-credit spreads.</w:t>
      </w:r>
    </w:p>
    <w:p>
      <w:pPr>
        <w:pStyle w:val="ListBullet"/>
      </w:pPr>
      <w:r>
        <w:t>BNPL late-payment rates, stacking indicators, and regulatory/reporting updates.</w:t>
      </w:r>
    </w:p>
    <w:p>
      <w:pPr>
        <w:pStyle w:val="ListBullet"/>
      </w:pPr>
      <w:r>
        <w:t>CRE maturity schedules, refinancing conditions, and extension metrics.</w:t>
      </w:r>
    </w:p>
    <w:p>
      <w:pPr>
        <w:pStyle w:val="Heading1"/>
      </w:pPr>
      <w:r>
        <w:t>6. Scenarios &amp; Catalysts</w:t>
      </w:r>
    </w:p>
    <w:p>
      <w:r>
        <w:t>Base case: stress remains concentrated in lower-credit segments; spreads/underwriting tighten gradually.</w:t>
      </w:r>
    </w:p>
    <w:p>
      <w:r>
        <w:t>Bear case: a sudden consumption slowdown or funding-market tightening forces rapid repricing in non-prime credit and CRE.</w:t>
      </w:r>
    </w:p>
    <w:p>
      <w:r>
        <w:t>Bull case: disinflation and rate cuts improve payment burdens; losses remain manageable and localized.</w:t>
      </w:r>
    </w:p>
    <w:p>
      <w:pPr>
        <w:pStyle w:val="Heading1"/>
      </w:pPr>
      <w:r>
        <w:t>7. Portfolio Implications (Non-Personalized)</w:t>
      </w:r>
    </w:p>
    <w:p>
      <w:r>
        <w:t>This note is not investment advice. Conceptually, the theme suggests focusing on relative-value and risk-budgeting:</w:t>
      </w:r>
    </w:p>
    <w:p>
      <w:pPr>
        <w:pStyle w:val="ListBullet"/>
      </w:pPr>
      <w:r>
        <w:t>Prefer ‘quality vs non-prime’ differentiation where instruments allow (rather than a blanket macro call).</w:t>
      </w:r>
    </w:p>
    <w:p>
      <w:pPr>
        <w:pStyle w:val="ListBullet"/>
      </w:pPr>
      <w:r>
        <w:t>Treat opacity/liquidity mismatch as a first-order risk in non-bank credit exposures.</w:t>
      </w:r>
    </w:p>
    <w:p>
      <w:pPr>
        <w:pStyle w:val="ListBullet"/>
      </w:pPr>
      <w:r>
        <w:t>Use stress tests for refinancing shocks (auto + CRE) and funding spread widening.</w:t>
      </w:r>
    </w:p>
    <w:p>
      <w:pPr>
        <w:pStyle w:val="Heading1"/>
      </w:pPr>
      <w:r>
        <w:t>8. Key Risks / Rebuttals</w:t>
      </w:r>
    </w:p>
    <w:p>
      <w:pPr>
        <w:pStyle w:val="ListBullet"/>
      </w:pPr>
      <w:r>
        <w:t>Soft-landing dynamics can persist longer than expected; aggregate defaults may stay subdued.</w:t>
      </w:r>
    </w:p>
    <w:p>
      <w:pPr>
        <w:pStyle w:val="ListBullet"/>
      </w:pPr>
      <w:r>
        <w:t>Rate cuts/disinflation could quickly relieve payment stress and stabilize credit performance.</w:t>
      </w:r>
    </w:p>
    <w:p>
      <w:pPr>
        <w:pStyle w:val="ListBullet"/>
      </w:pPr>
      <w:r>
        <w:t>Data visibility is imperfect (especially for BNPL/private credit); mismeasurement risk is material.</w:t>
      </w:r>
    </w:p>
    <w:p>
      <w:pPr>
        <w:pStyle w:val="Heading1"/>
      </w:pPr>
      <w:r>
        <w:t>9. Reference Links (selected)</w:t>
      </w:r>
    </w:p>
    <w:p>
      <w:pPr>
        <w:pStyle w:val="ListBullet"/>
      </w:pPr>
      <w:r>
        <w:t>University of Michigan Surveys of Consumers (Consumer Sentiment): https://www.sca.isr.umich.edu/</w:t>
      </w:r>
    </w:p>
    <w:p>
      <w:pPr>
        <w:pStyle w:val="ListBullet"/>
      </w:pPr>
      <w:r>
        <w:t>New York Fed – Quarterly Report on Household Debt and Credit: https://www.newyorkfed.org/microeconomics/hhdc</w:t>
      </w:r>
    </w:p>
    <w:p>
      <w:pPr>
        <w:pStyle w:val="ListBullet"/>
      </w:pPr>
      <w:r>
        <w:t>Edmunds – Auto finance insights (term length / payments / negative equity): https://www.edmunds.com/industry/press/</w:t>
      </w:r>
    </w:p>
    <w:p>
      <w:pPr>
        <w:pStyle w:val="ListBullet"/>
      </w:pPr>
      <w:r>
        <w:t>CFPB – BNPL research and reports: https://www.consumerfinance.gov/</w:t>
      </w:r>
    </w:p>
    <w:p>
      <w:pPr>
        <w:pStyle w:val="ListBullet"/>
      </w:pPr>
      <w:r>
        <w:t>Mortgage Bankers Association – CRE maturity commentary: https://www.mba.org/</w:t>
      </w:r>
    </w:p>
    <w:p>
      <w:pPr>
        <w:pStyle w:val="ListBullet"/>
      </w:pPr>
      <w:r>
        <w:t>IMF – Private credit / structured credit monitoring (background): https://www.imf.org/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