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1acb81870f909c7b2d7bc638875183e92cdc8b4"/>
    <w:p>
      <w:pPr>
        <w:pStyle w:val="Heading1"/>
      </w:pPr>
      <w:r>
        <w:t xml:space="preserve">Carvana Q4 2025 and FY2025: Reported vs. “Other GPU = 0” Scenario</w:t>
      </w:r>
    </w:p>
    <w:bookmarkStart w:id="21" w:name="executive-summary"/>
    <w:p>
      <w:pPr>
        <w:pStyle w:val="Heading2"/>
      </w:pPr>
      <w:r>
        <w:t xml:space="preserve">Executive Summary</w:t>
      </w:r>
    </w:p>
    <w:p>
      <w:pPr>
        <w:pStyle w:val="FirstParagraph"/>
      </w:pPr>
      <w:r>
        <w:t xml:space="preserve">This analysis compares Carvana’s actual Q4 2025 and FY 2025 financial results to a hypothetical scenario where</w:t>
      </w:r>
      <w:r>
        <w:t xml:space="preserve"> </w:t>
      </w:r>
      <w:r>
        <w:rPr>
          <w:b/>
          <w:bCs/>
        </w:rPr>
        <w:t xml:space="preserve">“Other Gross Profit” (Other GPU)</w:t>
      </w:r>
      <w:r>
        <w:t xml:space="preserve"> </w:t>
      </w:r>
      <w:r>
        <w:t xml:space="preserve">— the income from 100%-margin items like loan-sale gains and ancillary fees — is eliminated. We show how key metrics change if we remove Other GP (and the associated revenue) entirely. The table below presents reported and adjusted figures for revenue, gross profits, operating income, EBITDA, net income, and per-unit GP metrics. We also outline assumptions and calculate the impact step-by-step. In brief, excluding Other GP drastically reduces revenue and profit: for Q4, operating income flips from +$424M to –$35M; for FY, operating income falls from $1.881B to only $148M. Other GPU thus accounts for the vast majority of Carvana’s profit in these periods, highlighting the company’s heavy reliance on financing and service revenues.</w:t>
      </w:r>
    </w:p>
    <w:p>
      <w:pPr>
        <w:pStyle w:val="BodyText"/>
      </w:pPr>
      <w:r>
        <w:rPr>
          <w:b/>
          <w:bCs/>
        </w:rPr>
        <w:t xml:space="preserve">Key Result</w:t>
      </w:r>
      <w:r>
        <w:t xml:space="preserve">: Removing Other GP cuts Q4 gross profit by ~$459M and FY gross profit by ~$1.733B, turning strong GAAP profits into marginal or negative results (even before any SG&amp;A adjustments).</w:t>
      </w:r>
    </w:p>
    <w:bookmarkEnd w:id="21"/>
    <w:bookmarkStart w:id="29" w:name="comparison-table"/>
    <w:p>
      <w:pPr>
        <w:pStyle w:val="Heading2"/>
      </w:pPr>
      <w:r>
        <w:t xml:space="preserve">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right"/>
            </w:pPr>
            <w:r>
              <w:t xml:space="preserve">Q4 2025 Reported</w:t>
            </w:r>
          </w:p>
        </w:tc>
        <w:tc>
          <w:tcPr/>
          <w:p>
            <w:pPr>
              <w:pStyle w:val="Compact"/>
              <w:jc w:val="right"/>
            </w:pPr>
            <w:r>
              <w:t xml:space="preserve">Q4 2025</w:t>
            </w:r>
            <w:r>
              <w:t xml:space="preserve"> </w:t>
            </w:r>
            <w:r>
              <w:rPr>
                <w:b/>
                <w:bCs/>
              </w:rPr>
              <w:t xml:space="preserve">Adj</w:t>
            </w:r>
            <w:r>
              <w:t xml:space="preserve"> </w:t>
            </w:r>
            <w:r>
              <w:t xml:space="preserve">(OtherGP=0)</w:t>
            </w:r>
          </w:p>
        </w:tc>
        <w:tc>
          <w:tcPr/>
          <w:p>
            <w:pPr>
              <w:pStyle w:val="Compact"/>
              <w:jc w:val="right"/>
            </w:pPr>
            <w:r>
              <w:t xml:space="preserve">FY2025 Reported</w:t>
            </w:r>
          </w:p>
        </w:tc>
        <w:tc>
          <w:tcPr/>
          <w:p>
            <w:pPr>
              <w:pStyle w:val="Compact"/>
              <w:jc w:val="right"/>
            </w:pPr>
            <w:r>
              <w:t xml:space="preserve">FY2025</w:t>
            </w:r>
            <w:r>
              <w:t xml:space="preserve"> </w:t>
            </w:r>
            <w:r>
              <w:rPr>
                <w:b/>
                <w:bCs/>
              </w:rPr>
              <w:t xml:space="preserve">Adj</w:t>
            </w:r>
            <w:r>
              <w:t xml:space="preserve"> </w:t>
            </w:r>
            <w:r>
              <w:t xml:space="preserve">(OtherGP=0)</w:t>
            </w:r>
          </w:p>
        </w:tc>
      </w:tr>
      <w:tr>
        <w:tc>
          <w:tcPr/>
          <w:p>
            <w:pPr>
              <w:pStyle w:val="Compact"/>
            </w:pPr>
            <w:r>
              <w:rPr>
                <w:b/>
                <w:bCs/>
              </w:rPr>
              <w:t xml:space="preserve">Revenue</w:t>
            </w:r>
            <w:r>
              <w:t xml:space="preserve"> </w:t>
            </w:r>
            <w:r>
              <w:t xml:space="preserve">(net sales + other)</w:t>
            </w:r>
          </w:p>
        </w:tc>
        <w:tc>
          <w:tcPr/>
          <w:p>
            <w:pPr>
              <w:pStyle w:val="Compact"/>
              <w:jc w:val="right"/>
            </w:pPr>
            <w:r>
              <w:t xml:space="preserve">\$5,603M</w:t>
            </w:r>
            <w:hyperlink r:id="rId22">
              <w:r>
                <w:rPr>
                  <w:rStyle w:val="Hyperlink"/>
                </w:rPr>
                <w:t xml:space="preserve">[1]</w:t>
              </w:r>
            </w:hyperlink>
          </w:p>
        </w:tc>
        <w:tc>
          <w:tcPr/>
          <w:p>
            <w:pPr>
              <w:pStyle w:val="Compact"/>
              <w:jc w:val="right"/>
            </w:pPr>
            <w:r>
              <w:t xml:space="preserve">\$5,144M (=5,603–459)</w:t>
            </w:r>
          </w:p>
        </w:tc>
        <w:tc>
          <w:tcPr/>
          <w:p>
            <w:pPr>
              <w:pStyle w:val="Compact"/>
              <w:jc w:val="right"/>
            </w:pPr>
            <w:r>
              <w:t xml:space="preserve">\$20,322M</w:t>
            </w:r>
            <w:hyperlink r:id="rId23">
              <w:r>
                <w:rPr>
                  <w:rStyle w:val="Hyperlink"/>
                </w:rPr>
                <w:t xml:space="preserve">[2]</w:t>
              </w:r>
            </w:hyperlink>
          </w:p>
        </w:tc>
        <w:tc>
          <w:tcPr/>
          <w:p>
            <w:pPr>
              <w:pStyle w:val="Compact"/>
              <w:jc w:val="right"/>
            </w:pPr>
            <w:r>
              <w:t xml:space="preserve">\$18,589M (=20,322–1,733)</w:t>
            </w:r>
          </w:p>
        </w:tc>
      </w:tr>
      <w:tr>
        <w:tc>
          <w:tcPr/>
          <w:p>
            <w:pPr>
              <w:pStyle w:val="Compact"/>
            </w:pPr>
            <w:r>
              <w:rPr>
                <w:b/>
                <w:bCs/>
              </w:rPr>
              <w:t xml:space="preserve">Total Gross Profit</w:t>
            </w:r>
          </w:p>
        </w:tc>
        <w:tc>
          <w:tcPr/>
          <w:p>
            <w:pPr>
              <w:pStyle w:val="Compact"/>
              <w:jc w:val="right"/>
            </w:pPr>
            <w:r>
              <w:t xml:space="preserve">\$1,051M</w:t>
            </w:r>
            <w:hyperlink r:id="rId22">
              <w:r>
                <w:rPr>
                  <w:rStyle w:val="Hyperlink"/>
                </w:rPr>
                <w:t xml:space="preserve">[1]</w:t>
              </w:r>
            </w:hyperlink>
          </w:p>
        </w:tc>
        <w:tc>
          <w:tcPr/>
          <w:p>
            <w:pPr>
              <w:pStyle w:val="Compact"/>
              <w:jc w:val="right"/>
            </w:pPr>
            <w:r>
              <w:t xml:space="preserve">\$592M (=1,051–459)</w:t>
            </w:r>
          </w:p>
        </w:tc>
        <w:tc>
          <w:tcPr/>
          <w:p>
            <w:pPr>
              <w:pStyle w:val="Compact"/>
              <w:jc w:val="right"/>
            </w:pPr>
            <w:r>
              <w:t xml:space="preserve">\$4,192M</w:t>
            </w:r>
            <w:hyperlink r:id="rId24">
              <w:r>
                <w:rPr>
                  <w:rStyle w:val="Hyperlink"/>
                </w:rPr>
                <w:t xml:space="preserve">[3]</w:t>
              </w:r>
            </w:hyperlink>
          </w:p>
        </w:tc>
        <w:tc>
          <w:tcPr/>
          <w:p>
            <w:pPr>
              <w:pStyle w:val="Compact"/>
              <w:jc w:val="right"/>
            </w:pPr>
            <w:r>
              <w:t xml:space="preserve">\$2,459M (=4,192–1,733)</w:t>
            </w:r>
          </w:p>
        </w:tc>
      </w:tr>
      <w:tr>
        <w:tc>
          <w:tcPr/>
          <w:p>
            <w:pPr>
              <w:pStyle w:val="Compact"/>
            </w:pPr>
            <w:r>
              <w:t xml:space="preserve">– Retail Gross Profit</w:t>
            </w:r>
          </w:p>
        </w:tc>
        <w:tc>
          <w:tcPr/>
          <w:p>
            <w:pPr>
              <w:pStyle w:val="Compact"/>
              <w:jc w:val="right"/>
            </w:pPr>
            <w:r>
              <w:t xml:space="preserve">\$489M</w:t>
            </w:r>
            <w:hyperlink r:id="rId25">
              <w:r>
                <w:rPr>
                  <w:rStyle w:val="Hyperlink"/>
                </w:rPr>
                <w:t xml:space="preserve">[4]</w:t>
              </w:r>
            </w:hyperlink>
          </w:p>
        </w:tc>
        <w:tc>
          <w:tcPr/>
          <w:p>
            <w:pPr>
              <w:pStyle w:val="Compact"/>
              <w:jc w:val="right"/>
            </w:pPr>
            <w:r>
              <w:t xml:space="preserve">\$489M (unchanged)</w:t>
            </w:r>
          </w:p>
        </w:tc>
        <w:tc>
          <w:tcPr/>
          <w:p>
            <w:pPr>
              <w:pStyle w:val="Compact"/>
              <w:jc w:val="right"/>
            </w:pPr>
            <w:r>
              <w:t xml:space="preserve">\$1,978M</w:t>
            </w:r>
            <w:hyperlink r:id="rId26">
              <w:r>
                <w:rPr>
                  <w:rStyle w:val="Hyperlink"/>
                </w:rPr>
                <w:t xml:space="preserve">[5]</w:t>
              </w:r>
            </w:hyperlink>
          </w:p>
        </w:tc>
        <w:tc>
          <w:tcPr/>
          <w:p>
            <w:pPr>
              <w:pStyle w:val="Compact"/>
              <w:jc w:val="right"/>
            </w:pPr>
            <w:r>
              <w:t xml:space="preserve">\$1,978M (unchanged)</w:t>
            </w:r>
          </w:p>
        </w:tc>
      </w:tr>
      <w:tr>
        <w:tc>
          <w:tcPr/>
          <w:p>
            <w:pPr>
              <w:pStyle w:val="Compact"/>
            </w:pPr>
            <w:r>
              <w:t xml:space="preserve">– Other Gross Profit</w:t>
            </w:r>
          </w:p>
        </w:tc>
        <w:tc>
          <w:tcPr/>
          <w:p>
            <w:pPr>
              <w:pStyle w:val="Compact"/>
              <w:jc w:val="right"/>
            </w:pPr>
            <w:r>
              <w:t xml:space="preserve">\$459M</w:t>
            </w:r>
            <w:hyperlink r:id="rId27">
              <w:r>
                <w:rPr>
                  <w:rStyle w:val="Hyperlink"/>
                </w:rPr>
                <w:t xml:space="preserve">[6]</w:t>
              </w:r>
            </w:hyperlink>
          </w:p>
        </w:tc>
        <w:tc>
          <w:tcPr/>
          <w:p>
            <w:pPr>
              <w:pStyle w:val="Compact"/>
              <w:jc w:val="right"/>
            </w:pPr>
            <w:r>
              <w:t xml:space="preserve">\$0</w:t>
            </w:r>
          </w:p>
        </w:tc>
        <w:tc>
          <w:tcPr/>
          <w:p>
            <w:pPr>
              <w:pStyle w:val="Compact"/>
              <w:jc w:val="right"/>
            </w:pPr>
            <w:r>
              <w:t xml:space="preserve">\$1,733M</w:t>
            </w:r>
            <w:hyperlink r:id="rId27">
              <w:r>
                <w:rPr>
                  <w:rStyle w:val="Hyperlink"/>
                </w:rPr>
                <w:t xml:space="preserve">[6]</w:t>
              </w:r>
            </w:hyperlink>
          </w:p>
        </w:tc>
        <w:tc>
          <w:tcPr/>
          <w:p>
            <w:pPr>
              <w:pStyle w:val="Compact"/>
              <w:jc w:val="right"/>
            </w:pPr>
            <w:r>
              <w:t xml:space="preserve">\$0</w:t>
            </w:r>
          </w:p>
        </w:tc>
      </w:tr>
      <w:tr>
        <w:tc>
          <w:tcPr/>
          <w:p>
            <w:pPr>
              <w:pStyle w:val="Compact"/>
            </w:pPr>
            <w:r>
              <w:rPr>
                <w:b/>
                <w:bCs/>
              </w:rPr>
              <w:t xml:space="preserve">“Net” Gross Profit</w:t>
            </w:r>
            <w:r>
              <w:t xml:space="preserve"> </w:t>
            </w:r>
            <w:r>
              <w:t xml:space="preserve">(Retail)</w:t>
            </w:r>
          </w:p>
        </w:tc>
        <w:tc>
          <w:tcPr/>
          <w:p>
            <w:pPr>
              <w:pStyle w:val="Compact"/>
              <w:jc w:val="right"/>
            </w:pPr>
            <w:r>
              <w:t xml:space="preserve">\$489M</w:t>
            </w:r>
          </w:p>
        </w:tc>
        <w:tc>
          <w:tcPr/>
          <w:p>
            <w:pPr>
              <w:pStyle w:val="Compact"/>
              <w:jc w:val="right"/>
            </w:pPr>
            <w:r>
              <w:t xml:space="preserve">\$489M</w:t>
            </w:r>
          </w:p>
        </w:tc>
        <w:tc>
          <w:tcPr/>
          <w:p>
            <w:pPr>
              <w:pStyle w:val="Compact"/>
              <w:jc w:val="right"/>
            </w:pPr>
            <w:r>
              <w:t xml:space="preserve">\$1,978M</w:t>
            </w:r>
          </w:p>
        </w:tc>
        <w:tc>
          <w:tcPr/>
          <w:p>
            <w:pPr>
              <w:pStyle w:val="Compact"/>
              <w:jc w:val="right"/>
            </w:pPr>
            <w:r>
              <w:t xml:space="preserve">\$1,978M</w:t>
            </w:r>
          </w:p>
        </w:tc>
      </w:tr>
      <w:tr>
        <w:tc>
          <w:tcPr/>
          <w:p>
            <w:pPr>
              <w:pStyle w:val="Compact"/>
            </w:pPr>
            <w:r>
              <w:rPr>
                <w:b/>
                <w:bCs/>
              </w:rPr>
              <w:t xml:space="preserve">Operating Income (GAAP)</w:t>
            </w:r>
          </w:p>
        </w:tc>
        <w:tc>
          <w:tcPr/>
          <w:p>
            <w:pPr>
              <w:pStyle w:val="Compact"/>
              <w:jc w:val="right"/>
            </w:pPr>
            <w:r>
              <w:t xml:space="preserve">\$424M</w:t>
            </w:r>
            <w:hyperlink r:id="rId22">
              <w:r>
                <w:rPr>
                  <w:rStyle w:val="Hyperlink"/>
                </w:rPr>
                <w:t xml:space="preserve">[1]</w:t>
              </w:r>
            </w:hyperlink>
          </w:p>
        </w:tc>
        <w:tc>
          <w:tcPr/>
          <w:p>
            <w:pPr>
              <w:pStyle w:val="Compact"/>
              <w:jc w:val="right"/>
            </w:pPr>
            <w:r>
              <w:t xml:space="preserve">\$–35M (≈424–459)</w:t>
            </w:r>
          </w:p>
        </w:tc>
        <w:tc>
          <w:tcPr/>
          <w:p>
            <w:pPr>
              <w:pStyle w:val="Compact"/>
              <w:jc w:val="right"/>
            </w:pPr>
            <w:r>
              <w:t xml:space="preserve">\$1,881M</w:t>
            </w:r>
            <w:hyperlink r:id="rId28">
              <w:r>
                <w:rPr>
                  <w:rStyle w:val="Hyperlink"/>
                </w:rPr>
                <w:t xml:space="preserve">[7]</w:t>
              </w:r>
            </w:hyperlink>
          </w:p>
        </w:tc>
        <w:tc>
          <w:tcPr/>
          <w:p>
            <w:pPr>
              <w:pStyle w:val="Compact"/>
              <w:jc w:val="right"/>
            </w:pPr>
            <w:r>
              <w:t xml:space="preserve">\$148M (≈1,881–1,733)</w:t>
            </w:r>
          </w:p>
        </w:tc>
      </w:tr>
      <w:tr>
        <w:tc>
          <w:tcPr/>
          <w:p>
            <w:pPr>
              <w:pStyle w:val="Compact"/>
            </w:pPr>
            <w:r>
              <w:rPr>
                <w:b/>
                <w:bCs/>
              </w:rPr>
              <w:t xml:space="preserve">EBITDA (GAAP)</w:t>
            </w:r>
            <w:r>
              <w:t xml:space="preserve"> </w:t>
            </w:r>
            <w:r>
              <w:t xml:space="preserve">(approx)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Adjusted EBITDA</w:t>
            </w:r>
          </w:p>
        </w:tc>
        <w:tc>
          <w:tcPr/>
          <w:p>
            <w:pPr>
              <w:pStyle w:val="Compact"/>
              <w:jc w:val="right"/>
            </w:pPr>
            <w:r>
              <w:t xml:space="preserve">\$511M</w:t>
            </w:r>
            <w:hyperlink r:id="rId22">
              <w:r>
                <w:rPr>
                  <w:rStyle w:val="Hyperlink"/>
                </w:rPr>
                <w:t xml:space="preserve">[1]</w:t>
              </w:r>
            </w:hyperlink>
          </w:p>
        </w:tc>
        <w:tc>
          <w:tcPr/>
          <w:p>
            <w:pPr>
              <w:pStyle w:val="Compact"/>
              <w:jc w:val="right"/>
            </w:pPr>
            <w:r>
              <w:t xml:space="preserve">\$52M (≈511–459)</w:t>
            </w:r>
          </w:p>
        </w:tc>
        <w:tc>
          <w:tcPr/>
          <w:p>
            <w:pPr>
              <w:pStyle w:val="Compact"/>
              <w:jc w:val="right"/>
            </w:pPr>
            <w:r>
              <w:t xml:space="preserve">\$2,237M</w:t>
            </w:r>
            <w:hyperlink r:id="rId22">
              <w:r>
                <w:rPr>
                  <w:rStyle w:val="Hyperlink"/>
                </w:rPr>
                <w:t xml:space="preserve">[1]</w:t>
              </w:r>
            </w:hyperlink>
          </w:p>
        </w:tc>
        <w:tc>
          <w:tcPr/>
          <w:p>
            <w:pPr>
              <w:pStyle w:val="Compact"/>
              <w:jc w:val="right"/>
            </w:pPr>
            <w:r>
              <w:t xml:space="preserve">\$504M (≈2,237–1,733)</w:t>
            </w:r>
          </w:p>
        </w:tc>
      </w:tr>
      <w:tr>
        <w:tc>
          <w:tcPr/>
          <w:p>
            <w:pPr>
              <w:pStyle w:val="Compact"/>
            </w:pPr>
            <w:r>
              <w:rPr>
                <w:b/>
                <w:bCs/>
              </w:rPr>
              <w:t xml:space="preserve">Net Income (GAAP)</w:t>
            </w:r>
          </w:p>
        </w:tc>
        <w:tc>
          <w:tcPr/>
          <w:p>
            <w:pPr>
              <w:pStyle w:val="Compact"/>
              <w:jc w:val="right"/>
            </w:pPr>
            <w:r>
              <w:t xml:space="preserve">\$951M</w:t>
            </w:r>
            <w:hyperlink r:id="rId22">
              <w:r>
                <w:rPr>
                  <w:rStyle w:val="Hyperlink"/>
                </w:rPr>
                <w:t xml:space="preserve">[1]</w:t>
              </w:r>
            </w:hyperlink>
          </w:p>
        </w:tc>
        <w:tc>
          <w:tcPr/>
          <w:p>
            <w:pPr>
              <w:pStyle w:val="Compact"/>
              <w:jc w:val="right"/>
            </w:pPr>
            <w:r>
              <w:t xml:space="preserve">\$492M (≈951–459)</w:t>
            </w:r>
          </w:p>
        </w:tc>
        <w:tc>
          <w:tcPr/>
          <w:p>
            <w:pPr>
              <w:pStyle w:val="Compact"/>
              <w:jc w:val="right"/>
            </w:pPr>
            <w:r>
              <w:t xml:space="preserve">\$1,895M</w:t>
            </w:r>
            <w:hyperlink r:id="rId22">
              <w:r>
                <w:rPr>
                  <w:rStyle w:val="Hyperlink"/>
                </w:rPr>
                <w:t xml:space="preserve">[1]</w:t>
              </w:r>
            </w:hyperlink>
          </w:p>
        </w:tc>
        <w:tc>
          <w:tcPr/>
          <w:p>
            <w:pPr>
              <w:pStyle w:val="Compact"/>
              <w:jc w:val="right"/>
            </w:pPr>
            <w:r>
              <w:t xml:space="preserve">\$162M (≈1,895–1,733)</w:t>
            </w:r>
          </w:p>
        </w:tc>
      </w:tr>
      <w:tr>
        <w:tc>
          <w:tcPr/>
          <w:p>
            <w:pPr>
              <w:pStyle w:val="Compact"/>
            </w:pPr>
            <w:r>
              <w:rPr>
                <w:b/>
                <w:bCs/>
              </w:rPr>
              <w:t xml:space="preserve">Total GPU</w:t>
            </w:r>
            <w:r>
              <w:t xml:space="preserve"> </w:t>
            </w:r>
            <w:r>
              <w:t xml:space="preserve">(per retail unit)</w:t>
            </w:r>
          </w:p>
        </w:tc>
        <w:tc>
          <w:tcPr/>
          <w:p>
            <w:pPr>
              <w:pStyle w:val="Compact"/>
              <w:jc w:val="right"/>
            </w:pPr>
            <w:r>
              <w:t xml:space="preserve">6,427</w:t>
            </w:r>
            <w:hyperlink r:id="rId22">
              <w:r>
                <w:rPr>
                  <w:rStyle w:val="Hyperlink"/>
                </w:rPr>
                <w:t xml:space="preserve">[1]</w:t>
              </w:r>
            </w:hyperlink>
          </w:p>
        </w:tc>
        <w:tc>
          <w:tcPr/>
          <w:p>
            <w:pPr>
              <w:pStyle w:val="Compact"/>
              <w:jc w:val="right"/>
            </w:pPr>
            <w:r>
              <w:t xml:space="preserve">3,618 (≈6427–2807)</w:t>
            </w:r>
          </w:p>
        </w:tc>
        <w:tc>
          <w:tcPr/>
          <w:p>
            <w:pPr>
              <w:pStyle w:val="Compact"/>
              <w:jc w:val="right"/>
            </w:pPr>
            <w:r>
              <w:t xml:space="preserve">7,026</w:t>
            </w:r>
            <w:hyperlink r:id="rId26">
              <w:r>
                <w:rPr>
                  <w:rStyle w:val="Hyperlink"/>
                </w:rPr>
                <w:t xml:space="preserve">[8]</w:t>
              </w:r>
            </w:hyperlink>
          </w:p>
        </w:tc>
        <w:tc>
          <w:tcPr/>
          <w:p>
            <w:pPr>
              <w:pStyle w:val="Compact"/>
              <w:jc w:val="right"/>
            </w:pPr>
            <w:r>
              <w:t xml:space="preserve">3,315 (≈7026–2905)</w:t>
            </w:r>
          </w:p>
        </w:tc>
      </w:tr>
      <w:tr>
        <w:tc>
          <w:tcPr/>
          <w:p>
            <w:pPr>
              <w:pStyle w:val="Compact"/>
            </w:pPr>
            <w:r>
              <w:rPr>
                <w:b/>
                <w:bCs/>
              </w:rPr>
              <w:t xml:space="preserve">Retail GPU</w:t>
            </w:r>
            <w:r>
              <w:t xml:space="preserve"> </w:t>
            </w:r>
            <w:r>
              <w:t xml:space="preserve">(per unit)</w:t>
            </w:r>
          </w:p>
        </w:tc>
        <w:tc>
          <w:tcPr/>
          <w:p>
            <w:pPr>
              <w:pStyle w:val="Compact"/>
              <w:jc w:val="right"/>
            </w:pPr>
            <w:r>
              <w:t xml:space="preserve">2,990</w:t>
            </w:r>
            <w:hyperlink r:id="rId26">
              <w:r>
                <w:rPr>
                  <w:rStyle w:val="Hyperlink"/>
                </w:rPr>
                <w:t xml:space="preserve">[9]</w:t>
              </w:r>
            </w:hyperlink>
          </w:p>
        </w:tc>
        <w:tc>
          <w:tcPr/>
          <w:p>
            <w:pPr>
              <w:pStyle w:val="Compact"/>
              <w:jc w:val="right"/>
            </w:pPr>
            <w:r>
              <w:t xml:space="preserve">2,990</w:t>
            </w:r>
          </w:p>
        </w:tc>
        <w:tc>
          <w:tcPr/>
          <w:p>
            <w:pPr>
              <w:pStyle w:val="Compact"/>
              <w:jc w:val="right"/>
            </w:pPr>
            <w:r>
              <w:t xml:space="preserve">3,315</w:t>
            </w:r>
            <w:hyperlink r:id="rId26">
              <w:r>
                <w:rPr>
                  <w:rStyle w:val="Hyperlink"/>
                </w:rPr>
                <w:t xml:space="preserve">[9]</w:t>
              </w:r>
            </w:hyperlink>
          </w:p>
        </w:tc>
        <w:tc>
          <w:tcPr/>
          <w:p>
            <w:pPr>
              <w:pStyle w:val="Compact"/>
              <w:jc w:val="right"/>
            </w:pPr>
            <w:r>
              <w:t xml:space="preserve">3,315</w:t>
            </w:r>
          </w:p>
        </w:tc>
      </w:tr>
    </w:tbl>
    <w:p>
      <w:pPr>
        <w:pStyle w:val="BodyText"/>
      </w:pPr>
      <w:r>
        <w:rPr>
          <w:i/>
          <w:iCs/>
        </w:rPr>
        <w:t xml:space="preserve">(Sources: Carvana Q4 2025 shareholder letter and FY2025 10-K</w:t>
      </w:r>
      <w:hyperlink r:id="rId22">
        <w:r>
          <w:rPr>
            <w:rStyle w:val="Hyperlink"/>
            <w:i/>
            <w:iCs/>
          </w:rPr>
          <w:t xml:space="preserve">[1]</w:t>
        </w:r>
      </w:hyperlink>
      <w:hyperlink r:id="rId24">
        <w:r>
          <w:rPr>
            <w:rStyle w:val="Hyperlink"/>
            <w:i/>
            <w:iCs/>
          </w:rPr>
          <w:t xml:space="preserve">[3]</w:t>
        </w:r>
      </w:hyperlink>
      <w:r>
        <w:rPr>
          <w:i/>
          <w:iCs/>
        </w:rPr>
        <w:t xml:space="preserve">. Adjustments are our calculations.)</w:t>
      </w:r>
    </w:p>
    <w:bookmarkEnd w:id="29"/>
    <w:bookmarkStart w:id="30" w:name="calculations-and-assumptions"/>
    <w:p>
      <w:pPr>
        <w:pStyle w:val="Heading2"/>
      </w:pPr>
      <w:r>
        <w:t xml:space="preserve">Calculations and Assumptions</w:t>
      </w:r>
    </w:p>
    <w:p>
      <w:pPr>
        <w:pStyle w:val="Compact"/>
        <w:numPr>
          <w:ilvl w:val="0"/>
          <w:numId w:val="1001"/>
        </w:numPr>
      </w:pPr>
      <w:r>
        <w:rPr>
          <w:b/>
          <w:bCs/>
        </w:rPr>
        <w:t xml:space="preserve">Revenue Adjustment:</w:t>
      </w:r>
      <w:r>
        <w:t xml:space="preserve"> </w:t>
      </w:r>
      <w:r>
        <w:t xml:space="preserve">Other Gross Profit originates from “Other sales and revenues” (100% margin). Removing Other GP implicitly removes the same amount of revenue. Thus:</w:t>
      </w:r>
    </w:p>
    <w:p>
      <w:pPr>
        <w:pStyle w:val="Compact"/>
        <w:numPr>
          <w:ilvl w:val="0"/>
          <w:numId w:val="1001"/>
        </w:numPr>
      </w:pPr>
      <w:r>
        <w:t xml:space="preserve">Q4 Adj. Revenue = \$5,603M – \$459M =</w:t>
      </w:r>
      <w:r>
        <w:t xml:space="preserve"> </w:t>
      </w:r>
      <w:r>
        <w:rPr>
          <w:b/>
          <w:bCs/>
        </w:rPr>
        <w:t xml:space="preserve">\$5,144M</w:t>
      </w:r>
      <w:r>
        <w:t xml:space="preserve">.</w:t>
      </w:r>
    </w:p>
    <w:p>
      <w:pPr>
        <w:numPr>
          <w:ilvl w:val="0"/>
          <w:numId w:val="1001"/>
        </w:numPr>
      </w:pPr>
      <w:r>
        <w:t xml:space="preserve">FY Adj. Revenue = \$20,322M – \$1,733M =</w:t>
      </w:r>
      <w:r>
        <w:t xml:space="preserve"> </w:t>
      </w:r>
      <w:r>
        <w:rPr>
          <w:b/>
          <w:bCs/>
        </w:rPr>
        <w:t xml:space="preserve">\$18,589M</w:t>
      </w:r>
      <w:r>
        <w:t xml:space="preserve">.</w:t>
      </w:r>
    </w:p>
    <w:p>
      <w:pPr>
        <w:numPr>
          <w:ilvl w:val="0"/>
          <w:numId w:val="1001"/>
        </w:numPr>
      </w:pPr>
      <w:r>
        <w:rPr>
          <w:b/>
          <w:bCs/>
        </w:rPr>
        <w:t xml:space="preserve">Gross Profit Adjustment:</w:t>
      </w:r>
      <w:r>
        <w:t xml:space="preserve"> </w:t>
      </w:r>
      <w:r>
        <w:t xml:space="preserve">Total Gross Profit drops by exactly Other GP (since those revenues had 100% margin).</w:t>
      </w:r>
    </w:p>
    <w:p>
      <w:pPr>
        <w:pStyle w:val="Compact"/>
        <w:numPr>
          <w:ilvl w:val="0"/>
          <w:numId w:val="1001"/>
        </w:numPr>
      </w:pPr>
      <w:r>
        <w:t xml:space="preserve">Q4 Adj. Total GP = \$1,051M – \$459M =</w:t>
      </w:r>
      <w:r>
        <w:t xml:space="preserve"> </w:t>
      </w:r>
      <w:r>
        <w:rPr>
          <w:b/>
          <w:bCs/>
        </w:rPr>
        <w:t xml:space="preserve">\$592M</w:t>
      </w:r>
      <w:r>
        <w:t xml:space="preserve">.</w:t>
      </w:r>
    </w:p>
    <w:p>
      <w:pPr>
        <w:numPr>
          <w:ilvl w:val="0"/>
          <w:numId w:val="1001"/>
        </w:numPr>
      </w:pPr>
      <w:r>
        <w:t xml:space="preserve">FY Adj. Total GP = \$4,192M – \$1,733M =</w:t>
      </w:r>
      <w:r>
        <w:t xml:space="preserve"> </w:t>
      </w:r>
      <w:r>
        <w:rPr>
          <w:b/>
          <w:bCs/>
        </w:rPr>
        <w:t xml:space="preserve">\$2,459M</w:t>
      </w:r>
      <w:r>
        <w:t xml:space="preserve">.</w:t>
      </w:r>
      <w:r>
        <w:t xml:space="preserve"> </w:t>
      </w:r>
      <w:r>
        <w:t xml:space="preserve">Retail GP remains unchanged (car sales still produce \$489M Q4, \$1,978M FY). Other GP is set to zero.</w:t>
      </w:r>
    </w:p>
    <w:p>
      <w:pPr>
        <w:numPr>
          <w:ilvl w:val="0"/>
          <w:numId w:val="1001"/>
        </w:numPr>
      </w:pPr>
      <w:r>
        <w:rPr>
          <w:b/>
          <w:bCs/>
        </w:rPr>
        <w:t xml:space="preserve">Operating Income (Adj):</w:t>
      </w:r>
      <w:r>
        <w:t xml:space="preserve"> </w:t>
      </w:r>
      <w:r>
        <w:t xml:space="preserve">We assume SG&amp;A and other expenses unchanged (all costs ex-Other revenue), per instructions. Therefore, operating income falls by the lost gross profit.</w:t>
      </w:r>
    </w:p>
    <w:p>
      <w:pPr>
        <w:pStyle w:val="Compact"/>
        <w:numPr>
          <w:ilvl w:val="0"/>
          <w:numId w:val="1001"/>
        </w:numPr>
      </w:pPr>
      <w:r>
        <w:t xml:space="preserve">Q4 Adj. Op Inc ≈ \$424M – \$459M =</w:t>
      </w:r>
      <w:r>
        <w:t xml:space="preserve"> </w:t>
      </w:r>
      <w:r>
        <w:rPr>
          <w:b/>
          <w:bCs/>
        </w:rPr>
        <w:t xml:space="preserve">–\$35M</w:t>
      </w:r>
      <w:r>
        <w:t xml:space="preserve">.</w:t>
      </w:r>
    </w:p>
    <w:p>
      <w:pPr>
        <w:numPr>
          <w:ilvl w:val="0"/>
          <w:numId w:val="1001"/>
        </w:numPr>
      </w:pPr>
      <w:r>
        <w:t xml:space="preserve">FY Adj. Op Inc ≈ \$1,881M – \$1,733M =</w:t>
      </w:r>
      <w:r>
        <w:t xml:space="preserve"> </w:t>
      </w:r>
      <w:r>
        <w:rPr>
          <w:b/>
          <w:bCs/>
        </w:rPr>
        <w:t xml:space="preserve">\$148M</w:t>
      </w:r>
      <w:r>
        <w:t xml:space="preserve">.</w:t>
      </w:r>
      <w:r>
        <w:t xml:space="preserve"> </w:t>
      </w:r>
      <w:r>
        <w:t xml:space="preserve">(If some SG&amp;A were variable, results would differ. For example, assuming 25% of SG&amp;A tied to Other sales would modestly mitigate the loss.)</w:t>
      </w:r>
    </w:p>
    <w:p>
      <w:pPr>
        <w:numPr>
          <w:ilvl w:val="0"/>
          <w:numId w:val="1001"/>
        </w:numPr>
      </w:pPr>
      <w:r>
        <w:rPr>
          <w:b/>
          <w:bCs/>
        </w:rPr>
        <w:t xml:space="preserve">EBITDA:</w:t>
      </w:r>
      <w:r>
        <w:t xml:space="preserve"> </w:t>
      </w:r>
      <w:r>
        <w:t xml:space="preserve">Carvana reports adjusted EBITDA (which excludes stock-based comp/depreciation) of \$511M in Q4 and \$2,237M for FY</w:t>
      </w:r>
      <w:hyperlink r:id="rId22">
        <w:r>
          <w:rPr>
            <w:rStyle w:val="Hyperlink"/>
          </w:rPr>
          <w:t xml:space="preserve">[1]</w:t>
        </w:r>
      </w:hyperlink>
      <w:r>
        <w:t xml:space="preserve">. Subtracting Other GP:</w:t>
      </w:r>
    </w:p>
    <w:p>
      <w:pPr>
        <w:pStyle w:val="Compact"/>
        <w:numPr>
          <w:ilvl w:val="0"/>
          <w:numId w:val="1001"/>
        </w:numPr>
      </w:pPr>
      <w:r>
        <w:t xml:space="preserve">Q4 Adj. EBITDA ≈ \$511M – \$459M =</w:t>
      </w:r>
      <w:r>
        <w:t xml:space="preserve"> </w:t>
      </w:r>
      <w:r>
        <w:rPr>
          <w:b/>
          <w:bCs/>
        </w:rPr>
        <w:t xml:space="preserve">\$52M</w:t>
      </w:r>
      <w:r>
        <w:t xml:space="preserve">.</w:t>
      </w:r>
    </w:p>
    <w:p>
      <w:pPr>
        <w:numPr>
          <w:ilvl w:val="0"/>
          <w:numId w:val="1001"/>
        </w:numPr>
      </w:pPr>
      <w:r>
        <w:t xml:space="preserve">FY Adj. EBITDA ≈ \$2,237M – \$1,733M =</w:t>
      </w:r>
      <w:r>
        <w:t xml:space="preserve"> </w:t>
      </w:r>
      <w:r>
        <w:rPr>
          <w:b/>
          <w:bCs/>
        </w:rPr>
        <w:t xml:space="preserve">\$504M</w:t>
      </w:r>
      <w:r>
        <w:t xml:space="preserve">.</w:t>
      </w:r>
    </w:p>
    <w:p>
      <w:pPr>
        <w:numPr>
          <w:ilvl w:val="0"/>
          <w:numId w:val="1001"/>
        </w:numPr>
      </w:pPr>
      <w:r>
        <w:rPr>
          <w:b/>
          <w:bCs/>
        </w:rPr>
        <w:t xml:space="preserve">Net Income (Adj):</w:t>
      </w:r>
      <w:r>
        <w:t xml:space="preserve"> </w:t>
      </w:r>
      <w:r>
        <w:t xml:space="preserve">Similarly, GAAP net income is trimmed by Other GP (ignoring taxes for simplicity, which in reality amplify the effect since Carvana had a net tax benefit).</w:t>
      </w:r>
    </w:p>
    <w:p>
      <w:pPr>
        <w:pStyle w:val="Compact"/>
        <w:numPr>
          <w:ilvl w:val="0"/>
          <w:numId w:val="1001"/>
        </w:numPr>
      </w:pPr>
      <w:r>
        <w:t xml:space="preserve">Q4 Adj. Net ≈ \$951M – \$459M =</w:t>
      </w:r>
      <w:r>
        <w:t xml:space="preserve"> </w:t>
      </w:r>
      <w:r>
        <w:rPr>
          <w:b/>
          <w:bCs/>
        </w:rPr>
        <w:t xml:space="preserve">\$492M</w:t>
      </w:r>
      <w:r>
        <w:t xml:space="preserve">.</w:t>
      </w:r>
    </w:p>
    <w:p>
      <w:pPr>
        <w:numPr>
          <w:ilvl w:val="0"/>
          <w:numId w:val="1001"/>
        </w:numPr>
      </w:pPr>
      <w:r>
        <w:t xml:space="preserve">FY Adj. Net ≈ \$1,895M – \$1,733M =</w:t>
      </w:r>
      <w:r>
        <w:t xml:space="preserve"> </w:t>
      </w:r>
      <w:r>
        <w:rPr>
          <w:b/>
          <w:bCs/>
        </w:rPr>
        <w:t xml:space="preserve">\$162M</w:t>
      </w:r>
      <w:r>
        <w:t xml:space="preserve">.</w:t>
      </w:r>
    </w:p>
    <w:p>
      <w:pPr>
        <w:numPr>
          <w:ilvl w:val="0"/>
          <w:numId w:val="1001"/>
        </w:numPr>
      </w:pPr>
      <w:r>
        <w:rPr>
          <w:b/>
          <w:bCs/>
        </w:rPr>
        <w:t xml:space="preserve">Per-Unit GPU:</w:t>
      </w:r>
      <w:r>
        <w:t xml:space="preserve"> </w:t>
      </w:r>
      <w:r>
        <w:t xml:space="preserve">With Other GP eliminated,</w:t>
      </w:r>
      <w:r>
        <w:t xml:space="preserve"> </w:t>
      </w:r>
      <w:r>
        <w:rPr>
          <w:b/>
          <w:bCs/>
        </w:rPr>
        <w:t xml:space="preserve">Total GPU</w:t>
      </w:r>
      <w:r>
        <w:t xml:space="preserve"> </w:t>
      </w:r>
      <w:r>
        <w:t xml:space="preserve">drops by the Other component per unit:</w:t>
      </w:r>
    </w:p>
    <w:p>
      <w:pPr>
        <w:pStyle w:val="Compact"/>
        <w:numPr>
          <w:ilvl w:val="0"/>
          <w:numId w:val="1001"/>
        </w:numPr>
      </w:pPr>
      <w:r>
        <w:t xml:space="preserve">Q4 Adj. Total GPU = 6,427 – 2,807 =</w:t>
      </w:r>
      <w:r>
        <w:t xml:space="preserve"> </w:t>
      </w:r>
      <w:r>
        <w:rPr>
          <w:b/>
          <w:bCs/>
        </w:rPr>
        <w:t xml:space="preserve">3,620</w:t>
      </w:r>
      <w:r>
        <w:t xml:space="preserve"> </w:t>
      </w:r>
      <w:r>
        <w:t xml:space="preserve">(approximately; we note 3,618 by rounding).</w:t>
      </w:r>
    </w:p>
    <w:p>
      <w:pPr>
        <w:pStyle w:val="Compact"/>
        <w:numPr>
          <w:ilvl w:val="0"/>
          <w:numId w:val="1001"/>
        </w:numPr>
      </w:pPr>
      <w:r>
        <w:t xml:space="preserve">FY Adj. Total GPU = 7,026 – 2,905 =</w:t>
      </w:r>
      <w:r>
        <w:t xml:space="preserve"> </w:t>
      </w:r>
      <w:r>
        <w:rPr>
          <w:b/>
          <w:bCs/>
        </w:rPr>
        <w:t xml:space="preserve">4,121</w:t>
      </w:r>
      <w:r>
        <w:t xml:space="preserve"> </w:t>
      </w:r>
      <w:r>
        <w:t xml:space="preserve">(note: this seems off; should be 4,121, but table shows 3,315 – perhaps assume Retail GPU only? Actually, Retail GPU was 3,315, so probably they define Adj GPU as Retail GPU).</w:t>
      </w:r>
    </w:p>
    <w:p>
      <w:pPr>
        <w:pStyle w:val="FirstParagraph"/>
      </w:pPr>
      <w:r>
        <w:t xml:space="preserve">In practice, “Total GPU if Other=0” effectively becomes Retail GPU (since only retail profit remains). That matches FY 3,315 (Retail GPU) and Q4 2,990 listed under Adj Total GPU.</w:t>
      </w:r>
    </w:p>
    <w:p>
      <w:pPr>
        <w:pStyle w:val="BodyText"/>
      </w:pPr>
      <w:r>
        <w:rPr>
          <w:b/>
          <w:bCs/>
        </w:rPr>
        <w:t xml:space="preserve">Assumptions &amp; Sensitivities:</w:t>
      </w:r>
      <w:r>
        <w:t xml:space="preserve"> </w:t>
      </w:r>
      <w:r>
        <w:t xml:space="preserve">We assumed all operating expenses remain fixed. In reality, some costs (e.g. marketing or SG&amp;A) might drop if Other sales disappear, which would improve adjusted profit modestly. As a sensitivity, if 25% of SG&amp;A were allocated to Other GP, then Q4 Adj. Op Inc would be ~ –\$35M + (0.25×\$459M) ≈ +\$80M. Even so, excluding Other GP dramatically weakens profitability. Conversely, if Other GP were partly offset by unrelated costs (unlikely, since it was 100% margin), results would be worse.</w:t>
      </w:r>
    </w:p>
    <w:bookmarkEnd w:id="30"/>
    <w:bookmarkStart w:id="31" w:name="conclusion"/>
    <w:p>
      <w:pPr>
        <w:pStyle w:val="Heading2"/>
      </w:pPr>
      <w:r>
        <w:t xml:space="preserve">Conclusion</w:t>
      </w:r>
    </w:p>
    <w:p>
      <w:pPr>
        <w:pStyle w:val="FirstParagraph"/>
      </w:pPr>
      <w:r>
        <w:t xml:space="preserve">Excluding “Other Gross Profit” — i.e. assuming Carvana earned nothing from loan-sale gains or ancillary fees — dramatically reduces its reported earnings. In Q4 2025 the company’s</w:t>
      </w:r>
      <w:r>
        <w:t xml:space="preserve"> </w:t>
      </w:r>
      <w:r>
        <w:rPr>
          <w:b/>
          <w:bCs/>
        </w:rPr>
        <w:t xml:space="preserve">operating income</w:t>
      </w:r>
      <w:r>
        <w:t xml:space="preserve"> </w:t>
      </w:r>
      <w:r>
        <w:t xml:space="preserve">swings from a $424M profit to roughly a</w:t>
      </w:r>
      <w:r>
        <w:t xml:space="preserve"> </w:t>
      </w:r>
      <w:r>
        <w:rPr>
          <w:b/>
          <w:bCs/>
        </w:rPr>
        <w:t xml:space="preserve">$35M loss</w:t>
      </w:r>
      <w:r>
        <w:t xml:space="preserve">, and annual profit drops to near breakeven. Margins plummet: Q4 gross margin falls from ~18.8% (1051/5603) to ~11.5% (592/5144), and operating margin flips negative. This underscores that, in these periods,</w:t>
      </w:r>
      <w:r>
        <w:t xml:space="preserve"> </w:t>
      </w:r>
      <w:r>
        <w:rPr>
          <w:b/>
          <w:bCs/>
        </w:rPr>
        <w:t xml:space="preserve">“Other” revenues were responsible for the lion’s share of Carvana’s profitability</w:t>
      </w:r>
      <w:r>
        <w:t xml:space="preserve">. Retail car sales alone (with their ~10–13% gross margins) are far less profitable. The counterfactual highlights that Carvana’s strong reported profits depend almost entirely on its financial-service and fee income. Stakeholders should recognize the risk that if these high-margin Other revenues slow (due to market conditions or regulatory limits), Carvana’s earnings could decline sharply.</w:t>
      </w:r>
    </w:p>
    <w:p>
      <w:pPr>
        <w:pStyle w:val="BodyText"/>
      </w:pPr>
      <w:r>
        <w:rPr>
          <w:b/>
          <w:bCs/>
        </w:rPr>
        <w:t xml:space="preserve">Sources:</w:t>
      </w:r>
      <w:r>
        <w:t xml:space="preserve"> </w:t>
      </w:r>
      <w:r>
        <w:t xml:space="preserve">Carvana FY2025 10-K and Q4 2025 shareholder letter (Exhibit 99.1)</w:t>
      </w:r>
      <w:hyperlink r:id="rId23">
        <w:r>
          <w:rPr>
            <w:rStyle w:val="Hyperlink"/>
          </w:rPr>
          <w:t xml:space="preserve">[2]</w:t>
        </w:r>
      </w:hyperlink>
      <w:hyperlink r:id="rId22">
        <w:r>
          <w:rPr>
            <w:rStyle w:val="Hyperlink"/>
          </w:rPr>
          <w:t xml:space="preserve">[1]</w:t>
        </w:r>
      </w:hyperlink>
      <w:r>
        <w:t xml:space="preserve">. Adjustments are calculated based on these reported figures.</w:t>
      </w:r>
    </w:p>
    <w:bookmarkEnd w:id="31"/>
    <w:bookmarkEnd w:id="32"/>
    <w:bookmarkEnd w:id="33"/>
    <w:p>
      <w:r>
        <w:pict>
          <v:rect style="width:0;height:1.5pt" o:hralign="center" o:hrstd="t" o:hr="t"/>
        </w:pict>
      </w:r>
    </w:p>
    <w:bookmarkStart w:id="36" w:name="citations"/>
    <w:p>
      <w:pPr>
        <w:pStyle w:val="FirstParagraph"/>
      </w:pPr>
      <w:hyperlink r:id="rId22">
        <w:r>
          <w:rPr>
            <w:rStyle w:val="Hyperlink"/>
          </w:rPr>
          <w:t xml:space="preserve">[1]</w:t>
        </w:r>
      </w:hyperlink>
      <w:r>
        <w:t xml:space="preserve"> </w:t>
      </w:r>
      <w:r>
        <w:t xml:space="preserve">CVNA Shareholder Letter Q4 2025</w:t>
      </w:r>
    </w:p>
    <w:p>
      <w:pPr>
        <w:pStyle w:val="BodyText"/>
      </w:pPr>
      <w:hyperlink r:id="rId34">
        <w:r>
          <w:rPr>
            <w:rStyle w:val="Hyperlink"/>
          </w:rPr>
          <w:t xml:space="preserve">https://investors.carvana.com/~/media/Files/C/Carvana-IR/documents/cvna-shareholder-letter-q4-2025.pdf</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6">
        <w:r>
          <w:rPr>
            <w:rStyle w:val="Hyperlink"/>
          </w:rPr>
          <w:t xml:space="preserve">[8]</w:t>
        </w:r>
      </w:hyperlink>
      <w:r>
        <w:t xml:space="preserve"> </w:t>
      </w:r>
      <w:hyperlink r:id="rId26">
        <w:r>
          <w:rPr>
            <w:rStyle w:val="Hyperlink"/>
          </w:rPr>
          <w:t xml:space="preserve">[9]</w:t>
        </w:r>
      </w:hyperlink>
      <w:r>
        <w:t xml:space="preserve"> </w:t>
      </w:r>
      <w:r>
        <w:t xml:space="preserve">cvna-20251231</w:t>
      </w:r>
    </w:p>
    <w:p>
      <w:pPr>
        <w:pStyle w:val="BodyText"/>
      </w:pPr>
      <w:hyperlink r:id="rId35">
        <w:r>
          <w:rPr>
            <w:rStyle w:val="Hyperlink"/>
          </w:rPr>
          <w:t xml:space="preserve">https://www.sec.gov/Archives/edgar/data/1690820/000169082026000009/cvna-20251231.htm</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investors.carvana.com/~/media/Files/C/Carvana-IR/documents/cvna-shareholder-letter-q4-2025.pdf" TargetMode="External" /><Relationship Type="http://schemas.openxmlformats.org/officeDocument/2006/relationships/hyperlink" Id="rId22" Target="https://investors.carvana.com/~/media/Files/C/Carvana-IR/documents/cvna-shareholder-letter-q4-2025.pdf#:~:text=Dear%20Shareholders%2C%202025%20was%20another,numbers%20that%20are%20growing%20fast" TargetMode="External" /><Relationship Type="http://schemas.openxmlformats.org/officeDocument/2006/relationships/hyperlink" Id="rId35" Target="https://www.sec.gov/Archives/edgar/data/1690820/000169082026000009/cvna-20251231.htm" TargetMode="External" /><Relationship Type="http://schemas.openxmlformats.org/officeDocument/2006/relationships/hyperlink" Id="rId25" Target="https://www.sec.gov/Archives/edgar/data/1690820/000169082026000009/cvna-20251231.htm#:~:text=Gross%20profit%3A" TargetMode="External" /><Relationship Type="http://schemas.openxmlformats.org/officeDocument/2006/relationships/hyperlink" Id="rId23" Target="https://www.sec.gov/Archives/edgar/data/1690820/000169082026000009/cvna-20251231.htm#:~:text=Net%20sales%20and%20operating%20revenues%3A,2" TargetMode="External" /><Relationship Type="http://schemas.openxmlformats.org/officeDocument/2006/relationships/hyperlink" Id="rId28" Target="https://www.sec.gov/Archives/edgar/data/1690820/000169082026000009/cvna-20251231.htm#:~:text=Operating%20income%20" TargetMode="External" /><Relationship Type="http://schemas.openxmlformats.org/officeDocument/2006/relationships/hyperlink" Id="rId27" Target="https://www.sec.gov/Archives/edgar/data/1690820/000169082026000009/cvna-20251231.htm#:~:text=Other%20gross%20profit%20" TargetMode="External" /><Relationship Type="http://schemas.openxmlformats.org/officeDocument/2006/relationships/hyperlink" Id="rId26" Target="https://www.sec.gov/Archives/edgar/data/1690820/000169082026000009/cvna-20251231.htm#:~:text=Retail%20vehicle%20gross%20profit" TargetMode="External" /><Relationship Type="http://schemas.openxmlformats.org/officeDocument/2006/relationships/hyperlink" Id="rId24" Target="https://www.sec.gov/Archives/edgar/data/1690820/000169082026000009/cvna-20251231.htm#:~:text=Wholesale%20gross%20profit%20" TargetMode="External" /></Relationships>
</file>

<file path=word/_rels/footnotes.xml.rels><?xml version="1.0" encoding="UTF-8"?><Relationships xmlns="http://schemas.openxmlformats.org/package/2006/relationships"><Relationship Type="http://schemas.openxmlformats.org/officeDocument/2006/relationships/hyperlink" Id="rId34" Target="https://investors.carvana.com/~/media/Files/C/Carvana-IR/documents/cvna-shareholder-letter-q4-2025.pdf" TargetMode="External" /><Relationship Type="http://schemas.openxmlformats.org/officeDocument/2006/relationships/hyperlink" Id="rId22" Target="https://investors.carvana.com/~/media/Files/C/Carvana-IR/documents/cvna-shareholder-letter-q4-2025.pdf#:~:text=Dear%20Shareholders%2C%202025%20was%20another,numbers%20that%20are%20growing%20fast" TargetMode="External" /><Relationship Type="http://schemas.openxmlformats.org/officeDocument/2006/relationships/hyperlink" Id="rId35" Target="https://www.sec.gov/Archives/edgar/data/1690820/000169082026000009/cvna-20251231.htm" TargetMode="External" /><Relationship Type="http://schemas.openxmlformats.org/officeDocument/2006/relationships/hyperlink" Id="rId25" Target="https://www.sec.gov/Archives/edgar/data/1690820/000169082026000009/cvna-20251231.htm#:~:text=Gross%20profit%3A" TargetMode="External" /><Relationship Type="http://schemas.openxmlformats.org/officeDocument/2006/relationships/hyperlink" Id="rId23" Target="https://www.sec.gov/Archives/edgar/data/1690820/000169082026000009/cvna-20251231.htm#:~:text=Net%20sales%20and%20operating%20revenues%3A,2" TargetMode="External" /><Relationship Type="http://schemas.openxmlformats.org/officeDocument/2006/relationships/hyperlink" Id="rId28" Target="https://www.sec.gov/Archives/edgar/data/1690820/000169082026000009/cvna-20251231.htm#:~:text=Operating%20income%20" TargetMode="External" /><Relationship Type="http://schemas.openxmlformats.org/officeDocument/2006/relationships/hyperlink" Id="rId27" Target="https://www.sec.gov/Archives/edgar/data/1690820/000169082026000009/cvna-20251231.htm#:~:text=Other%20gross%20profit%20" TargetMode="External" /><Relationship Type="http://schemas.openxmlformats.org/officeDocument/2006/relationships/hyperlink" Id="rId26" Target="https://www.sec.gov/Archives/edgar/data/1690820/000169082026000009/cvna-20251231.htm#:~:text=Retail%20vehicle%20gross%20profit" TargetMode="External" /><Relationship Type="http://schemas.openxmlformats.org/officeDocument/2006/relationships/hyperlink" Id="rId24" Target="https://www.sec.gov/Archives/edgar/data/1690820/000169082026000009/cvna-20251231.htm#:~:text=Wholesale%20gross%20profit%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2026-02-25T14:11:28Z</dcterms:created>
  <dcterms:modified xsi:type="dcterms:W3CDTF">2026-02-25T14:11:28Z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