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中国人民财产保险股份有限公司深圳市分公司与深圳市智兴鹏程物流有限公司保险人代位求偿权纠纷一案一审民事判决书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深圳市龙岗区人民法院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（2013）深龙法布民初字第1054号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原告中国人民财产保险股份有限公司深圳市分公司。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被告深圳市智兴鹏程物流有限公司。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第三人深圳南玻伟光导电膜有限公司。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深圳市分公司与被告深圳市智兴鹏程物流有限公司、第三人深圳南玻伟光导电膜有限公司保险人代位求偿权纠纷一案，本院受理后依法适用普通程序公开开庭进行了审理。原告中国人民财产保险股份有限公司深圳市分公司的委托代理人郭毅、被告深圳市智兴鹏程物流有限公司的委托代理人郑雄到庭参加了诉讼。第三人深圳南玻伟光导电膜有限公司经本院合法传唤，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12月26日，第三人为其委托被告运输的货物向原告投保了国内货物运输保险。被告签收货物后，在承运过程中导致部分货物损坏。事发后，第三人向原告提出索赔，原告向第三人支付理赔款5130元。被告作为承运人，未尽承运人义务，导致承运的货物毁损，应当承担赔偿责任。原告作为保险人，向被保险人支付了赔款，依法取得代位求偿权。故，原告诉至法院，请求判决：1、被告支付原告赔偿款5130元及付清之日止的利息（利息按银行同期贷款利率计算，自起诉之日起计算）；2、被告承担本案的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被告答辩称，根据被告与第三人签订的合同，被告无需向原告支付额外赔偿款。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答辩称，1、第三人与原告已签订货物运输保险合同。合同规定，在货物出现破损、丢失等情况下，第三人提供原告需要的相关证据、资料后，向原告提出保险索赔，并填写原告提供的资料。原告现场查勘并审核资料无误后给予保险赔偿。2、第三人与被告签订物流运输合同。第三人在货物准备好后通知被告接货运输，并安全送至第三人客户处，由客户当面签收。如有任何异常，客户将会在签收单上写明异常之处，由物流公司反馈至第三人，第三人根据情况收集资料，证据报保险公司索赔。故，第三人与原、被告之间，只存在供应商与客户之间的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2月24日，被告与第三人签订了一份《货物运输服务协议》。该协议2.1条约定被告为第三人提供货物运输代理服务及第三人要求的其他物流相关服务；2.2条约定被告承运第三人货物到第三人在托运书中具体指明的地点；4.3、4.4条约定第三人有权直接委托自身投保的保险公司全权处理货物运输投保和出险理赔事宜，保险费由第三人支付给保险公司。由于第三人货物属于易碎品，第三人有义务提供承运货物的价值、并委托自身投保的保险公司直接投保或者委托被告代买保险以降低双方风险，如第三人没有向被告委托购买保险，则视为已经自行购买货物保险，如果在第三人已经购买保险情况下，货物出现破损以及丢失，被告必须全力配合第三人做好向保险公司索赔工作，保险公司以外的免赔额由被告承担；4.8条约定第三人若自行对货物投保，投保的货物出险以后，被告有协助第三人查询并提供相关资料的义务；6.3条约定在货物外包装及封条完好无损情况下，出现包装内全部或部分货物短少，被告不承担任何责任；7.2条约定由于可归责于被告的过错造成货物毁损、丢失（包括丢失、缺少、变质、污染、损坏）的，被告按照4.4条理赔；7.3.4条约定包装完好，封志无异状，内件的缺少或损坏，被告不承担责任；10.1条约定本协议自双方代表签字当日起生效，有效期为1年，合同到期后，此合同条款对双方仍在合作的业务继续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11月9日，原告与第三人签订一份《货物运输预约保险协议》，约定：在协议时效内（2012年11月10日0时至2013年11月9日24时），凡属于保险条款（中国人民财产保险股份有限公司条款）列明的保险责任范围，由第三人运输的彩色滤光片、触摸屏面板及光刻胶属于本预约保险范围；承保险别为国内水路、陆路货物运输综合险，扩展公路货物运输盗窃抢劫险，国内航空货物运输保险一切险，航空货物运输保险一切险；运输路线为国内运输主要为深圳至江西南昌，但不限于上述路线，进出口运输主要为深圳至香港；运输工具汽车、飞机、火车；投保方式为按月申报；免陪额（率）：1、彩色滤光片、触摸屏面板每次事故免赔额为损失金额的5%，2、光刻胶每次事故免赔额为保险金额的0.3%或者损失金额的5%，两者以高者为准，3、盗窃险免陪，部分损失免陪为损失金额的20%，全损免陪为保额的30%；如损失涉及第三者责任方，第三人应配合原告向第三者责任方追偿，如第三人擅自放弃或减损此项权益，原告有权拒绝承担赔偿责任或对赔偿金作相应扣减；第三人承诺不在与承运人签订的运输协议或第三人单方出具的任何文件中放弃对相关责任方的部分或全部追偿权，在未获得原告书面同意前，不与责任方达成任何赔偿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26日，第三人委托被告对其一批货物进出承运，收货方为江西联创电子有限公司。后因货物出现破损，第三人向原告进行索赔。在索赔的过程中，被告于2012年12月28日向第三人出具了一份《事故证明书》，内容为：被告受第三人委托，托运书单号：8812039，于2012年12月27日发航空运输（航班号为：ZH9869），5个木箱到江西联创电子有限公司（其中LCGNA045678为30片），收货人：肖晶晶；客户在12月28日签收时发现破损，其中在运输途中有10PCS破损，明细如下：触摸屏面板，型号：LCGNA045678单价RMB540元/片，破损合计5400元。2013年1月22日，原告经审核后向第三人支付了赔偿款5130元。后第三人向原告出具了一份《权益转让书》，主要内容为：鉴于第三人已收到上述赔款，第三人声明将已取得赔款部分的一切权益转让给原告，并授权原告以第三人或原告的名义向责任方追偿或诉讼。2013年5月7日，原告诉至本院，提出上列诉讼请求。在庭审过程中，被告提交了一份《签收单》（打印件），用以证明涉案货物在交付时的状况即外包装完好，内里破损。原告对该签收单的真实性和关联性均不予确认，称该签收单未能显示该货物即为涉案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以上事实，有《货物运输服务协议》、《货物运输预约保险协议》、《签收单》、《事故证明书》、《中国建设银行客户专用回单》、《权益转让书》等证据以及当事人的庭审陈述为证，足以认定。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与第三人于2012年2月24日签订的《货物运输服务协议》系双方当事人经协商一致自愿达成的，未违反国家法律法规的禁止性规定，合法有效，被告与第三人应当切实全面履行各自的合同义务。虽然依照保险法的相关规定，原告自向第三人赔偿保险金之日起，在赔偿金额范围内可以代位行使第三人对被告请求赔偿的权利。但是请求权与抗辩权是相互存在的。被告得以抗辩原告的事由，包括但不限于合同法上的抗辩事由和侵权法上的抗辩事由。被告可以援引第三人对抗原告的事由来对抗原告向其行使代位求偿权，也可以援引被告对抗第三人的事由来对抗原告向其行使代位求偿权。根据被告与第三人签订的《货物运输服务协议》第4.4条、7.2条及7.3.4条的约定，即使由于可归责于被告的过错造成了货物的毁损、丢失（包括丢失、缺少、变质、污染、损坏），被告除全力配合第三人做好向原告进行索赔的工作外，仅承担保险赔偿以外的免赔额，被告对由原告赔付的赔偿金额无需承担赔偿责任。故，原告要求被告支付赔偿款5130元及至付清之日止的利息的诉讼请求，于法无据，本院不予支持。第三人经本院合法传唤，无正当理由拒不到庭，视为放弃诉讼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综上，依照《中华人民共和国合同法》第六十条、《中华人民共和国保险法》第六十条第一款、《中华人民共和国民事诉讼法》第六十四条第一款、第一百四十四条的规定，缺席判决如下：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驳回原告中国人民财产保险股份有限公司深圳市分公司的诉讼请求。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案件受理费50元（原告已预交），由原告中国人民财产保险股份有限公司深圳市分公司承担。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廖慧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梁子才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谭春梅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二○一三年九月二十二日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