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杨金红、中国人民财产保险股份有限公司广州市分公司保险人代位求偿权纠纷二审民事裁定书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（2018）粤71民辖终33号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上诉人（原审被告）：杨金红，男，1974年4月22日出生，回族，身份证住址甘肃省金昌市金川区。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被上诉人（原审原告）：中国人民财产保险股份有限公司广州市分公司，住所地广州市越秀区广州大道中人303、305号首层西面、2、6、7、8、14、22层。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负责人：陈业雄，该公司总经理。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委托诉讼代理人：卢聪，广东圣和胜律师事务所律师。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原审被告：平凉市亨通运业有限责任公司，住所地平凉市西郊路13号。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法定代表人：陈小平，该公司总经理。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上诉人杨金红不服原广州铁路运输第二法院（2018）粤7102民初405号民事裁定，向本院提出上诉。本院依法组成合议庭，对本案进行了审理。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金红上诉称：本案属于保险人代位求偿权纠纷，应由被告所在地人民法院管辖。本案件中，上诉人在甘肃省××市××区，被上诉人在原审法院起诉没有依据。保险人代位求偿权与合同法的代位求偿权是两种相似的权利，这种权利的取得知识取得被保险人的实体权利，不应以被保险人与第三人之间号合同关系或侵权关系而确认保险代位求偿权的管辖。因此，根据《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若干问题的解释一》第十四条的规定，本案应由被告所在地即甘肃省金昌市金川区人民法院管辖。据此请求：撤销原审裁定，将本案移送至甘肃省金昌市金川区人民法院审理。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被上诉人中国人民财产保险股份有限公司广州市分公司未向本院提出答辩意见。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原审被告平凉市亨通运业有限责任公司无陈述意见。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广州市三宝物流有限公司（以下简称三宝物流公司）委托上诉人杨金红承运一批货物，从广州运至乌鲁木齐。三宝物流公司为其货物向被上诉人中国人民财产保险股份有限公司广州市分公司投保了货物险。后货物在运输过程中被损毁，造成货物损失，被上诉人为此向三宝物流赔付了保险赔偿金。被上诉人据此诉至原审法院行使保险人代位求偿权，向上诉人杨金红、原审被告平凉市亨通运业有限责任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运输过程中被损毁，造成保险事故，中国人民财产保险股份有限公司广州市分公司作为保险人向被保险人进行了赔偿，现其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的货物运输始发地位于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请求撤销原审裁定，将本案移送甘肃省金昌市金川区人民法院管辖的上诉理由不能成立，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邓军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彭高芬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