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张战涛、中国人民财产保险股份有限公司广东省分公司保险人代位求偿权纠纷二审民事裁定书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（2018）粤71民辖终5号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上诉人（原审被告）：张战涛，男，汉族，1975年5月16日，身份证住址河南省鹿邑县。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被上诉人（原审原告）：中国人民财产保险股份有限公司广东省分公司，住所地广州市越秀区广州大道中人保大厦303、305号。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负责人：郭文革，该公司总经理。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原审被告：鹿邑县顺兴汽车运输有限公司，住所地河南省鹿邑县西关汽车站西300米路南。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法定代表人：朱春花，该公司经理。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上诉人张战涛不服广州铁路运输第二法院（2017）粤7102民初420号民事裁定，向本院提出上诉。本院依法组成合议庭，对本案进行了审理。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战涛上诉称：根据《民事诉讼法》第二十一条的规定，本案应当由被告住所地人民法院管辖，本案两被告的住所地均在河南省，因此本案应由河南省鹿邑县人民法院管辖。据此请求撤销原审裁定，将本案移送至河南省鹿邑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被上诉人中国人民财产保险股份有限公司广东省分公司未向本院提出答辩意见。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广州市江江达物流有限公司（以下简称江江达公司）与张战涛签订了运输合同，该合同约定：江江达公司委托张战涛承运货物860件，从广州运至武汉。江江达公司为其货物向被上诉人投保了货运险。后货物在运输过程中被盗，造成货物损失，被上诉人为此向江江达公司赔付了保险赔偿金。被上诉人据此诉至原审法院行使保险人代位求偿权，向上诉人及原审被告鹿邑县顺兴汽车运输有限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盗，造成保险事故，中国人民财产保险股份有限公司广东省分公司作为保险人向被保险人进行了赔偿，现其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位于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请求撤销原审裁定，将本案移送河南省鹿邑县人民法院管辖的上诉理由不能成立，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闵天挺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彭高芬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