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广州市达万城物流有限公司与众安在线财产保险股份有限公司财产损失保险合同纠纷一审民事裁定书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（2018）粤7102民初266号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原告：广州市达万城物流有限公司，住所地：广东省广州市白云区石门街朝阳村西侧牛轭墩A区A13栋30-38档。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法定代表人：金日东，该公司总经理。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委托诉讼代理人：毛平波，广东国道律师事务所律师。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被告：众安在线财产保险股份有限公司，住所地：上海市黄浦区圆明园路169号协进大楼4-5楼。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法定代表人：欧亚平，该公司董事长。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委托诉讼代理人：王钦，上海建纬（杭州）律师事务所律师。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委托诉讼代理人：周丰，上海建纬（杭州）律师事务所律师。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原告广州市达万城物流有限公司与被告众安在线财产保险股份有限公司财产损失保险合同纠纷一案，本院于2018年5月17日立案。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被告于2016年11月28日签订保险合同。2017年5月20日原告广州市达万城物流有限公司（以下简称达万城物流）一车货物从广州白云区发往成都。2017年5月22日凌晨，司机检查发现货物被盗，随即报警。经清查，丢失的货物为广州擎天等四家公司的奶粉、开关、化妆品等货物，价值20余万元。原告达万城物流根据与客户签订的托运单、索赔函、销售单等，向托运人赔偿共计210173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达万城物流向客户赔偿后，依据原、被告双方签订的物流责任保险合同，向被告众安在线财产保险股份有限公司（以下简称众安保险）索赔。但被告众安保险以各种理由拖延，最后退回索赔材料，不予理赔，且未说明拒赔的理由。原告达万城物流已依约缴纳保险费并购买盗抢险。被盗货物种类均属于赔偿范围，被告众安保险并无免责事由，应当根据保险合同条款向原告理赔。为维护自身合法利益，原告诉至法院，请求：1.判决被告支付货损210173*80%的保险金168138.4元；2.判决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众安在线财产保险股份有限公司在提交答辩状期间，对管辖权提出异议认为：原、被告于2016年11月28日签订物流责任保险单（保单号：823273816961508149），双方构成物流责任保险合同关系。原告达万城物流依据该基础合同关系向本院起诉，要求其支付保险金，因此本案为财产损失保险合同纠纷，本院专属管辖的是广州地区的运输合同纠纷。根据《中华人民共和国民事诉讼法》第二十七条规定：“因铁路、公路、水上、航空运输和联合运输合同纠纷提起的诉讼，由运输始发地、目的地或者被告住所地人民法院管辖”。本案中，广州虽为运输始发地，但本案并非运输合同纠纷，而系财产保险合同纠纷，原告达万城物流若依此规定向本案起诉系适用法律错误。根据《中华人民共和国民事诉讼法》第二十四条规定：“因保险合同纠纷提起的诉讼，由被告住所地或者保险标的物所在地人民法院管辖”。本院对本案不具有管辖权。根据前述规定，被告所在地人民法院，即上海市黄浦区人民法院对本案具有管辖权。故本案应移送至上海市黄浦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原告答辩认为：根据《中华人民共和国民事诉讼法》第二十四条规定“因保险合同纠纷提起的诉讼，由被告住所地或者保险标的物所在地人民法院管辖”，及《最高人民法院关于适用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二十一条规定“因财产保险合同纠纷提起的诉讼，如果保险标的物是运输工具或者运输中的货物，可以由运输工具登记注册地、运输目的地、保险事故发生地人民法院管辖”，本院对本案具有管辖权。即使本院对保险合同纠纷没有专属管辖权，那么根据保险标的明确所在地及运输工具登记地，广州市白云区人民法院对本案具有管辖权。根据移送案件节省司法资源及移送便利的情况，也应移送至广州市白云区人民法院管辖更为有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被告之间系基于履行财产损失保险合同而引发本次纠纷，应按照《中华人民共和国民事诉讼法》第二十四条“因保险合同纠纷提起的诉讼，由被告住所地或者保险标的物所在地人民法院管辖”的规定来确定管辖。另根据《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二十一条规定“因财产保险合同纠纷提起的诉讼，如果保险标的物是运输工具或者运输中的货物，可以由运输工具登记注册地、运输目的地、保险事故发生地人民法院管辖”。本案中，运输工具登记注册地位于江西省××市，运输目的地为四川省成都市，保险事故发生地为四川省成都市成华区，以上三地均不属于本院管辖范围。另，被告住所地位于上××市黄浦区，故本院对本案没有管辖权。被告众安在线财产保险股份有限公司对管辖权提出异议的理由成立，本院予以支持。依照《中华人民共和国民事诉讼法》第三十六条、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被告众安在线财产保险股份有限公司对管辖权提出的异议成立，本案移送上海市黄浦区人民法院处理。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陈小生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二〇一八年七月三日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傅蓉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