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陈延栋与中国东方航空股份有限公司航空旅客运输合同纠纷一案一审民事判决书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（2012）浦民一（民）初字第14028号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原告陈延栋。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延栋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陈延栋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延栋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陈延栋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陈延栋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驳回原告陈延栋的全部诉讼请求。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案件受理费50元，减半收取25元，由原告陈延栋负担。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