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施力扬与上海吉祥航空股份有限公司,天津滨海国际机场航空旅客运输合同纠纷一审民事裁定书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原告施力扬。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法定代理人杨祎娟。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施力扬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