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林峰与上海吉祥航空股份有限公司,天津滨海国际机场航空旅客运输合同纠纷一审民事裁定书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（2013）丽民初字第6330号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原告林峰。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被告上海吉祥航空股份有限公司，住所地上海市浦东新区康桥东路8号。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被告天津滨海国际机场，住所地天津市东丽区张贵庄。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林峰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中华人民共和国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