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戴鹏飞与中国东方航空股份有限公司航空旅客运输合同纠纷一案一审民事判决书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（2012）浦民一（民）初字第14039号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原告戴鹏飞。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鹏飞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戴鹏飞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鹏飞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戴鹏飞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戴鹏飞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驳回原告戴鹏飞的全部诉讼请求。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案件受理费50元，减半收取25元，由原告戴鹏飞负担。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