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中经得美国际快运代理有限公司广州分公司与广州曼纽科实验分析仪器有限公司航空货物运输合同纠纷二审民事裁定书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（2016）粤71民辖终34号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上诉人（原审被告）：广州曼纽科实验分析仪器有限公司，住所地：广州市番禺区番禺大道北555号番禺节能科技园内天安科技创新大厦603。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法定代表人：刘仁舫。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被上诉人（原审原告）：中经得美国际快运代理有限公司广州分公司，住所地：广州市天河区林和西路157号2510、2511、2512。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负责人：任智，分公司经理。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曼纽科实验分析仪器有限公司（下称曼纽科公司）因与中经得美国际快运代理有限公司广州分公司（下称中经得美广州分公司）航空货物运输合同纠纷一案，不服广州铁路运输第二法院（2016）粤7102民初29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曼纽科公司上诉称，原审法院依据广东省高级人民法院粤高法（2013）360号《关于指定广州铁路运输中级法院和广州、肇庆铁路运输法院管辖民商事案件的规定》及（2016）24号《关于调整广州铁路运输第一、第二法院管辖民商事案件范围的通知》裁定其对本案有管辖权错误；依据《民事诉讼法》第三十四条的规定，被上诉人的注册地址位于广州市天河区，本案应由广州市天河区人民法院管辖。据此请求撤销原审裁定，将本案移送至广州市天河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被上诉人中经得美广州分公司无答辩。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本案中，上诉人曼纽科公司与被上诉人中经得美广州分公司在协议中约定如因执行该协议发生纠纷，由被上诉人中经得美广州分公司所在地人民法院诉讼管辖，而被上诉人中经得美广州分公司所在地在广州市。根据《最高人民法院关于铁路运输法院案件管辖范围的若干规定》（法释（2012）10号）第五条第一款规定：“省、自治区、直辖市高级人民法院可以指定辖区内的铁路运输基层法院受理本规定第三条以外的其他第一审民事案件”，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三项规定：“涉及航空运输的民事诉讼”，《关于调整广州铁路运输第一、第二法院管辖民商事案件范围的通知》（粤高法（2016）24号）第一条的规定，本案属于涉及航空运输的民事纠纷，故原审法院对本案有管辖权。上诉人曼纽科公司请求撤销原审裁定，将本案移送广州市天河区人民法院审理的上诉理由不能成立，本院不予支持。原审裁定驳回上诉人曼纽科公司提出的管辖权异议正确，本院予以维持。依照《中华人民共和国民事诉讼法》第一百七十条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吴俊佳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