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某航空服务有限公司与某物流有限公司航空货物运输合同纠纷一案一审民事判决书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（2010）长民二（商）初字第1915号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原告某航空服务有限公司，住所地广东省A市A区A路A号A村A栋A室。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委托代理人刘某，公司退休员工。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委托代理人魏某，某律师事务所律师。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被告某物流有限公司，住所地上海市B区B路B号B室。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委托代理人黄某，公司员工。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与被告某物流有限公司航空货物运输合同纠纷一案，本院于2010年12月8日受理后，依法适用简易程序，由审判员钱某独任审理。2011年1月5日本院公开开庭进行了审理。原告委托代理人刘某、魏某，被告委托代理人黄某到庭参加了诉讼。因当事人不同意调解，致本案调解不成。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诉称，2010年3月27日，案外人某电子有限公司（以下简称“某公司”）委托原告运送一批电子配件至案外人深圳市某某电子有限公司（以下简称“某某公司”），货物为79件。次日，原告委托被告以航空运输方式将上述货物从上海运输至深圳，被告当天办理了航空货运手续，货运单号：781-0537XXXX，托运人为被告，收货人为原告。然原告在深圳机场提货时发现丢失电子配件540个，价值人民币（下同）11,431.80元。事后，原告多次要求被告赔偿均遭拒绝，故请求法院判令被告：1、赔偿丢失货物损失11,431.80元；2、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主张提供如下证明材料：1、结算清单及航空货运单，证明双方之间存在托运关系；2、运输装卸业务发票及货物运输事故签证，证明货物丢失情况；3、索赔函、采购订单及增值税发票，证明丢失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对原告提供证据无异议，对原告诉称的丢失货物的事实也认可，但辩称，原告所述货物其已完成代理出运义务，其系中国东方航空公司的货运代理公司，故其不应承担航空货运中货物丢失责任，原告应找航空公司索赔，且索赔金额也应按航空货运规定处理，故其不同意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被告提供如下证据以证明自己完成了出运义务及其不应承担丢失货物赔偿责任:货物交接单及网上查询记录、航空货物运输销售代理协议（国内）等。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本院查明如下事实，2010年3月27日，案外人某公司委托原告运送一批电子配件至案外人某某公司，货物为79件。次日，原告委托被告以航空运输方式将上述货物从上海虹桥机场运输至深圳，被告当天办理了航空货运手续，货运单号：781-0537XXXX。该货运单载明：托运人为被告，收货人为原告，运输声明价值栏内、运输保险价值栏内及声明价值附加费栏内均为空白，货物件数为79件，重量为530千克，运费为795元等。事后，原告就其在深圳机场提货时发现丢失货物1件，内有电子配件540个，价值11,431.80元，因与被告交涉赔偿事宜未果，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另查明，原告工商登记的企业法人营业执照载明的经营范围包括：从事国内航线除香港、澳门、台湾地区航线外的航空货运销售代理业务等。被告工商登记的经营范围包括：国内航空货运代理业务等。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之间依航空货运单建立起来的系航空货运合同关系，即由原告委托被告为其经空运运送一批货物至其指定的目的地。该合同系双方当事人真实意思一致的表示，合法有效，当事人均应按约全面履行自己的义务。现有证据表明被告虽已履行货物出运义务，但履行义务存在瑕疵，即丢失了原告委托运输的1件货物，对此被告亦予以确认。因双方均为航空货运代理企业，均应具备航空货运从业经验，应当知晓航空货运货物灭失的理赔规则，即一般情况下应遵循国家规定的理赔限额，除非有证据证明承运人一方存在故意毁损情节，或双方对所运货物有特别声明或保价约定等。故原告的诉讼请求应按本院查明事实予以相应支持，具体计算为：丢失货物按国家规定航空货运赔偿限额每公斤100元计付，即530公斤/总重量÷79/总件数×100元=670.89元。被告辩称原告货物丢失应向航空公司索赔，因没有充分依据，本院不予采信。至于被告与相关航空公司之间的权利义务关系因非本案处理范围，可另行解决。据此，为维护社会经济秩序，保护当事人合法权益，依照《中华人民共和国合同法》第一百零七条及《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一、被告某物流有限公司应赔偿原告某航空服务有限公司人民币670.89元，于本判决生效之日起十日内履行完毕。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二、驳回原告某航空服务有限公司其余诉讼请求。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本案案件受理费人民币85.80元（原告预缴），适用简易程序减半收取人民币42.90元，由原告某航空服务有限公司负担人民币40.38元，被告某物流有限公司负担人民币2.52元，于本判决生效之日起七日内缴付本院。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