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某航空服务有限公司与某物流有限公司航空货物运输合同纠纷一案一审民事判决书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上海市长宁区人民法院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（2010）长民二（商）初字第1916号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原告某航空服务有限公司，住所地广东省A市A区A路A号A村A栋A室。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法定代表人张某，董事长。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委托代理人刘某，公司退休员工。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委托代理人魏某，某律师事务所律师。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被告某物流有限公司，住所地上海市B区B路B号B室。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法定代表人周某，董事长。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委托代理人黄某，公司员工。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某航空服务有限公司与被告某物流有限公司航空货物运输合同纠纷一案，本院于2010年12月8日受理后，依法适用简易程序，由审判员钱某独任审理。2011年1月5日本院公开开庭进行了审理。原告委托代理人刘某、魏某，被告委托代理人黄某到庭参加了诉讼。因当事人不同意调解，致本案调解不成。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某航空服务有限公司诉称，2010年4月7日，案外人某电子有限公司（以下简称“某公司”）委托原告运送一批电子配件至案外人深圳市某某电子有限公司（以下简称“某某公司”），货物为38件。次日，原告委托被告以航空运输方式将上述货物从上海运输至深圳，被告当天办理了航空货运手续，货运单号：781-0562XXXX，托运人为被告，收货人为原告。然原告在深圳机场提货时发现丢失电子配件8,786个，价值人民币（下同）199,177.12元。事后，原告多次要求被告赔偿均遭拒绝，故请求法院判令被告：1、赔偿丢失货物损失199,177.12元；2、承担本案的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其主张提供如下证明材料：1、结算清单及航空货运单，证明双方之间存在托运关系；2、运输装卸业务发票及货物运输事故签证，证明货物丢失情况；3、索赔函、采购订单及增值税发票，证明丢失货物的价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某物流有限公司对原告提供证据无异议，对原告诉称的丢失货物的事实也认可，但辩称，原告所述货物其已完成代理出运义务，其系中国东方航空公司的货运代理公司，故其不应承担航空货运中货物丢失责任，原告应找航空公司索赔，且索赔金额也应按航空货运规定处理，故其不同意原告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被告提供如下证据以证明自己完成了出运义务及其不应承担丢失货物赔偿责任:货物交接单及网上查询记录、航空货物运输销售代理协议（国内）等。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原告对被告提供的证据没有异议。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庭审质证，本院查明如下事实，2010年4月7日，案外人某公司委托原告运送一批电子配件给案外人某某公司，货物为38件。次日，原告委托被告以航空运输方式将上述货物从上海虹桥机场运输至深圳，被告当天办理了航空货运手续，货运单号：781-0562XXXX。该货运单载明：托运人为被告，收货人为原告，运输声明价值栏内、运输保险价值栏内及声明价值附加费栏内均为空白，货物件数为38件，重量为185千克，运费为278元等。事后，原告就其在深圳机场提货时发现丢失货物1件，内有电子配件8,786个，价值199,177.12元，因与被告交涉赔偿事宜未果，遂起诉来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另查明，原告工商登记的企业法人营业执照载明的经营范围包括：从事国内航线除香港、澳门、台湾地区航线外的航空货运销售代理业务等。被告工商登记的经营范围包括：国内航空货运代理业务等。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与被告之间依航空货运单建立起来的系航空货运合同关系，即由原告委托被告为其经空运运送一批货物至其指定的目的地。该合同系双方当事人真实意思一致的表示，合法有效，当事人均应按约全面履行自己的义务。现有证据表明被告虽已履行货物出运义务，但履行义务存在瑕疵，即丢失了原告委托运输的1件货物，对此被告亦予以确认。因双方均为航空货运代理企业，均应具备航空货运从业经验，应当知晓航空货运货物灭失的理赔规则，即一般情况下应遵循国家规定的理赔限额，除非有证据证明承运人一方存在故意毁损情节，或双方对所运货物有特别声明或保价约定等。故原告的诉讼请求应按本院查明事实予以相应支持，具体计算为：丢失货物按国家规定航空货运赔偿限额每公斤100元计付，即185公斤/总重量÷38/总件数×100元=486.84元。被告辩称原告货物丢失应向航空公司索赔，因没有充分依据，本院不予采信。至于被告与相关航空公司之间的权利义务关系因非本案处理范围，可另行解决。据此，为维护社会经济秩序，保护当事人合法权益，依照《中华人民共和国合同法》第一百零七条及《最高人民法院关于民事诉讼证据的若干规定》第二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一、被告某物流有限公司应赔偿原告某航空服务有限公司人民币486.84元，于本判决生效之日起十日内履行完毕。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二、驳回原告某航空服务有限公司其余诉讼请求。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如果未按本判决指定的期间履行给付金钱义务，应当依照《中华人民共和国民事诉讼法》第二百二十九条之规定，加倍支付迟延履行期间的债务利息。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人民币4,283.50元（原告预缴），适用简易程序减半收取人民币2,141.75元，由原告某航空服务有限公司负担人民币2,136.52元，被告某物流有限公司负担人民币5.23元，于本判决生效之日起七日内缴付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如不服本判决，可于判决书送达之日起十五日内，向本院递交上诉状，并按对方当事人的人数提出副本，上诉于上海市第一中级人民法院。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钱卫年</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二Ｏ一一年二月十八日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张叶</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