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158C" w14:textId="4F16B96B" w:rsidR="0017581E" w:rsidRDefault="0017581E">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Regulatory Reporting System for Financial Institutions</w:t>
      </w:r>
    </w:p>
    <w:p w14:paraId="241E3CB2" w14:textId="77777777" w:rsidR="009336D5" w:rsidRDefault="009336D5">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2C32EF9" w14:textId="109D69EC" w:rsidR="0017581E" w:rsidRDefault="009336D5">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336D5">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Background</w:t>
      </w:r>
    </w:p>
    <w:p w14:paraId="7A4EAAA2" w14:textId="55242595" w:rsidR="00492265" w:rsidRPr="0047638D" w:rsidRDefault="000B2623" w:rsidP="000B262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638D">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Financial Institutions are required to submit periodic regulatory reports to the relevant regulatory authority in accordance with applicable reporting standards and requirements. The development of the regulatory reporting system is based on user requirements and data mapping to ensure accurate and consistent reporting. </w:t>
      </w:r>
    </w:p>
    <w:p w14:paraId="52DAE775" w14:textId="77777777" w:rsidR="000B2623" w:rsidRPr="000B2623" w:rsidRDefault="000B2623" w:rsidP="000B262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C160C6" w14:textId="2246F195" w:rsidR="00D07BC7" w:rsidRPr="00D07BC7" w:rsidRDefault="00D07BC7" w:rsidP="00D07BC7">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Objectives</w:t>
      </w:r>
    </w:p>
    <w:p w14:paraId="77BD2AF0" w14:textId="2F253499" w:rsidR="0047638D" w:rsidRDefault="0047638D" w:rsidP="0047638D">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63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project involved </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development of a regulatory reporting system for Financial Institutions to support monthly reporting to the relevant regulatory authority. The system was designed based on business requirements and data mapping to facilitate accurate, consistent, and standardized regulatory reporting.</w:t>
      </w:r>
    </w:p>
    <w:p w14:paraId="0971D743" w14:textId="77777777" w:rsidR="0047638D" w:rsidRPr="0047638D" w:rsidRDefault="0047638D" w:rsidP="0047638D">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E9C1C" w14:textId="25EC6596" w:rsidR="00492265" w:rsidRDefault="00492265" w:rsidP="00492265">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Approach</w:t>
      </w:r>
    </w:p>
    <w:p w14:paraId="0FAFEA0E" w14:textId="17D4B4A8" w:rsidR="00E16262" w:rsidRDefault="0047638D" w:rsidP="00625A87">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638D">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project</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followed a requirements driven approach, focusing on gathering business requirements, </w:t>
      </w:r>
      <w:proofErr w:type="spellStart"/>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analyzing</w:t>
      </w:r>
      <w:proofErr w:type="spellEnd"/>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regulatory reporting needs, mapping source data to regulatory report field</w:t>
      </w:r>
      <w:r w:rsidR="000861A6">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w:t>
      </w:r>
    </w:p>
    <w:p w14:paraId="24B70D7E" w14:textId="77777777" w:rsidR="00625A87" w:rsidRPr="00625A87" w:rsidRDefault="00625A87" w:rsidP="00625A87">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C0CACE" w14:textId="0FAE455F" w:rsidR="00E16262" w:rsidRDefault="00E16262" w:rsidP="00E16262">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Process Flow</w:t>
      </w:r>
    </w:p>
    <w:p w14:paraId="68FD110D" w14:textId="77777777" w:rsidR="00BF4DC9" w:rsidRPr="00BF4DC9" w:rsidRDefault="00BF4DC9" w:rsidP="00BF4DC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DC9">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 covers the end-to-end regulatory reporting workflow, from data collection and completeness validation to report generation, format validation, approval, and submission through the regulatory reporting platform.</w:t>
      </w:r>
    </w:p>
    <w:p w14:paraId="464EA46A" w14:textId="77777777" w:rsidR="00BF4DC9" w:rsidRDefault="00BF4DC9" w:rsidP="00E16262">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1CB270" w14:textId="6136FCDA" w:rsidR="00332AB2" w:rsidRDefault="00BF4DC9" w:rsidP="00E16262">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noProof/>
          <w:color w:val="538135" w:themeColor="accent6" w:themeShade="BF"/>
          <w:sz w:val="28"/>
          <w:szCs w:val="28"/>
        </w:rPr>
        <w:lastRenderedPageBreak/>
        <w:drawing>
          <wp:inline distT="0" distB="0" distL="0" distR="0" wp14:anchorId="158F21AC" wp14:editId="071699F7">
            <wp:extent cx="5731510" cy="7355205"/>
            <wp:effectExtent l="0" t="0" r="2540" b="0"/>
            <wp:docPr id="8684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4875" name="Picture 86844875"/>
                    <pic:cNvPicPr/>
                  </pic:nvPicPr>
                  <pic:blipFill>
                    <a:blip r:embed="rId5">
                      <a:extLst>
                        <a:ext uri="{28A0092B-C50C-407E-A947-70E740481C1C}">
                          <a14:useLocalDpi xmlns:a14="http://schemas.microsoft.com/office/drawing/2010/main" val="0"/>
                        </a:ext>
                      </a:extLst>
                    </a:blip>
                    <a:stretch>
                      <a:fillRect/>
                    </a:stretch>
                  </pic:blipFill>
                  <pic:spPr>
                    <a:xfrm>
                      <a:off x="0" y="0"/>
                      <a:ext cx="5731510" cy="7355205"/>
                    </a:xfrm>
                    <a:prstGeom prst="rect">
                      <a:avLst/>
                    </a:prstGeom>
                  </pic:spPr>
                </pic:pic>
              </a:graphicData>
            </a:graphic>
          </wp:inline>
        </w:drawing>
      </w:r>
    </w:p>
    <w:p w14:paraId="7661D77A" w14:textId="77777777" w:rsidR="00E16262" w:rsidRDefault="00E16262" w:rsidP="00E1626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4E509B" w14:textId="77777777" w:rsidR="00B929B0" w:rsidRDefault="00B929B0" w:rsidP="00E1626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A4381F" w14:textId="77777777" w:rsidR="00B929B0" w:rsidRDefault="00B929B0" w:rsidP="00E1626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95EF46" w14:textId="77777777" w:rsidR="00B929B0" w:rsidRDefault="00B929B0" w:rsidP="00E16262">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17D6D5" w14:textId="4199780E" w:rsidR="00B929B0" w:rsidRDefault="00E16262" w:rsidP="00E16262">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Functional Design</w:t>
      </w:r>
    </w:p>
    <w:tbl>
      <w:tblPr>
        <w:tblStyle w:val="TableGrid"/>
        <w:tblW w:w="0" w:type="auto"/>
        <w:tblLook w:val="04A0" w:firstRow="1" w:lastRow="0" w:firstColumn="1" w:lastColumn="0" w:noHBand="0" w:noVBand="1"/>
      </w:tblPr>
      <w:tblGrid>
        <w:gridCol w:w="3005"/>
        <w:gridCol w:w="3005"/>
        <w:gridCol w:w="3006"/>
      </w:tblGrid>
      <w:tr w:rsidR="00BF4DC9" w14:paraId="11B249EA" w14:textId="77777777" w:rsidTr="00BF4DC9">
        <w:tc>
          <w:tcPr>
            <w:tcW w:w="3005" w:type="dxa"/>
            <w:shd w:val="clear" w:color="auto" w:fill="ACB9CA" w:themeFill="text2" w:themeFillTint="66"/>
          </w:tcPr>
          <w:p w14:paraId="45CA670C" w14:textId="09647445" w:rsidR="00BF4DC9" w:rsidRPr="00BF4DC9" w:rsidRDefault="00BF4DC9" w:rsidP="00E16262">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D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w:t>
            </w:r>
          </w:p>
        </w:tc>
        <w:tc>
          <w:tcPr>
            <w:tcW w:w="3005" w:type="dxa"/>
            <w:shd w:val="clear" w:color="auto" w:fill="ACB9CA" w:themeFill="text2" w:themeFillTint="66"/>
          </w:tcPr>
          <w:p w14:paraId="00E002D1" w14:textId="0CA66F8F" w:rsidR="00BF4DC9" w:rsidRPr="00BF4DC9" w:rsidRDefault="00BF4DC9" w:rsidP="00E16262">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D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Source</w:t>
            </w:r>
          </w:p>
        </w:tc>
        <w:tc>
          <w:tcPr>
            <w:tcW w:w="3006" w:type="dxa"/>
            <w:shd w:val="clear" w:color="auto" w:fill="ACB9CA" w:themeFill="text2" w:themeFillTint="66"/>
          </w:tcPr>
          <w:p w14:paraId="2CD8BC08" w14:textId="4E824D03" w:rsidR="00BF4DC9" w:rsidRPr="00BF4DC9" w:rsidRDefault="00BF4DC9" w:rsidP="00E16262">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4DC9">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Process</w:t>
            </w:r>
          </w:p>
        </w:tc>
      </w:tr>
      <w:tr w:rsidR="00BF4DC9" w14:paraId="4DE36F80" w14:textId="77777777" w:rsidTr="00BF4DC9">
        <w:tc>
          <w:tcPr>
            <w:tcW w:w="3005" w:type="dxa"/>
          </w:tcPr>
          <w:p w14:paraId="7FCA4E2A" w14:textId="780B48A2" w:rsidR="00BF4DC9" w:rsidRPr="00B929B0" w:rsidRDefault="00B929B0" w:rsidP="00E162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01</w:t>
            </w:r>
          </w:p>
        </w:tc>
        <w:tc>
          <w:tcPr>
            <w:tcW w:w="3005" w:type="dxa"/>
          </w:tcPr>
          <w:p w14:paraId="0F2593A4" w14:textId="6EBE9C4C" w:rsidR="00BF4DC9" w:rsidRPr="00B929B0" w:rsidRDefault="00B929B0" w:rsidP="00E162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Input</w:t>
            </w:r>
          </w:p>
        </w:tc>
        <w:tc>
          <w:tcPr>
            <w:tcW w:w="3006" w:type="dxa"/>
          </w:tcPr>
          <w:p w14:paraId="2F9DA583" w14:textId="7BB5A4E1" w:rsidR="00BF4DC9" w:rsidRPr="00B929B0" w:rsidRDefault="00B929B0" w:rsidP="00E16262">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user enters the required reporting data into the designated form.</w:t>
            </w:r>
          </w:p>
        </w:tc>
      </w:tr>
      <w:tr w:rsidR="00B929B0" w14:paraId="5C2294A1" w14:textId="77777777" w:rsidTr="00BF4DC9">
        <w:tc>
          <w:tcPr>
            <w:tcW w:w="3005" w:type="dxa"/>
          </w:tcPr>
          <w:p w14:paraId="29396455" w14:textId="1FA273E3"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0</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3005" w:type="dxa"/>
          </w:tcPr>
          <w:p w14:paraId="19CADAC3" w14:textId="06FB54BB"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inancial Source System</w:t>
            </w:r>
          </w:p>
        </w:tc>
        <w:tc>
          <w:tcPr>
            <w:tcW w:w="3006" w:type="dxa"/>
          </w:tcPr>
          <w:p w14:paraId="16372211" w14:textId="0AE7613F"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retrieved from the financial source system and mapped to the required regulatory reporting form.</w:t>
            </w:r>
          </w:p>
        </w:tc>
      </w:tr>
      <w:tr w:rsidR="00B929B0" w14:paraId="38AD9351" w14:textId="77777777" w:rsidTr="00BF4DC9">
        <w:tc>
          <w:tcPr>
            <w:tcW w:w="3005" w:type="dxa"/>
          </w:tcPr>
          <w:p w14:paraId="35ACD601" w14:textId="7E1BFACC"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0</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3005" w:type="dxa"/>
          </w:tcPr>
          <w:p w14:paraId="429AC552" w14:textId="6485E8B5"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Warehouse</w:t>
            </w:r>
          </w:p>
        </w:tc>
        <w:tc>
          <w:tcPr>
            <w:tcW w:w="3006" w:type="dxa"/>
          </w:tcPr>
          <w:p w14:paraId="4690B647" w14:textId="6B407CF1"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is retrieved from the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repository</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mapped to the required regulatory reporting form.</w:t>
            </w:r>
          </w:p>
        </w:tc>
      </w:tr>
      <w:tr w:rsidR="00B929B0" w14:paraId="5536E9D0" w14:textId="77777777" w:rsidTr="00BF4DC9">
        <w:tc>
          <w:tcPr>
            <w:tcW w:w="3005" w:type="dxa"/>
          </w:tcPr>
          <w:p w14:paraId="75F955E0" w14:textId="14E6728A"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0</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3005" w:type="dxa"/>
          </w:tcPr>
          <w:p w14:paraId="79606F34" w14:textId="541BF60A"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Upload</w:t>
            </w:r>
          </w:p>
        </w:tc>
        <w:tc>
          <w:tcPr>
            <w:tcW w:w="3006" w:type="dxa"/>
          </w:tcPr>
          <w:p w14:paraId="03970F69" w14:textId="2428C917"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is retrieved from the</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manual file</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mapped to the required regulatory reporting form.</w:t>
            </w:r>
          </w:p>
        </w:tc>
      </w:tr>
      <w:tr w:rsidR="00B929B0" w14:paraId="4F020EEE" w14:textId="77777777" w:rsidTr="00BF4DC9">
        <w:tc>
          <w:tcPr>
            <w:tcW w:w="3005" w:type="dxa"/>
          </w:tcPr>
          <w:p w14:paraId="36B4B305" w14:textId="4B375CF5"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929B0">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0</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3005" w:type="dxa"/>
          </w:tcPr>
          <w:p w14:paraId="4D449438" w14:textId="7C729C1B"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Warehouse, Financial Source System and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Upload</w:t>
            </w:r>
          </w:p>
        </w:tc>
        <w:tc>
          <w:tcPr>
            <w:tcW w:w="3006" w:type="dxa"/>
          </w:tcPr>
          <w:p w14:paraId="5AF6F42B" w14:textId="1F3C71B2" w:rsidR="00B929B0" w:rsidRDefault="00B929B0" w:rsidP="00B929B0">
            <w:pPr>
              <w:rPr>
                <w:b/>
                <w:bCs/>
                <w:color w:val="538135" w:themeColor="accent6" w:themeShade="BF"/>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multiple sources, including a centralized data repository, financial source system, and manually uploaded files, is consolidates and mapped to generate the required regulatory reporting form.</w:t>
            </w:r>
          </w:p>
        </w:tc>
      </w:tr>
    </w:tbl>
    <w:p w14:paraId="36F5C387" w14:textId="77777777" w:rsidR="00D07BC7" w:rsidRPr="00D07BC7" w:rsidRDefault="00D07BC7" w:rsidP="00D07BC7">
      <w:pPr>
        <w:jc w:val="both"/>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07BC7" w:rsidRPr="00D07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F7BF5"/>
    <w:multiLevelType w:val="multilevel"/>
    <w:tmpl w:val="BD62DC2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E65A43"/>
    <w:multiLevelType w:val="multilevel"/>
    <w:tmpl w:val="0D8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7534C"/>
    <w:multiLevelType w:val="hybridMultilevel"/>
    <w:tmpl w:val="650E2AF8"/>
    <w:lvl w:ilvl="0" w:tplc="CC88F1F2">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16307047">
    <w:abstractNumId w:val="0"/>
  </w:num>
  <w:num w:numId="2" w16cid:durableId="960916416">
    <w:abstractNumId w:val="1"/>
  </w:num>
  <w:num w:numId="3" w16cid:durableId="182550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D5"/>
    <w:rsid w:val="000861A6"/>
    <w:rsid w:val="000B2623"/>
    <w:rsid w:val="0017581E"/>
    <w:rsid w:val="001802CD"/>
    <w:rsid w:val="00191F41"/>
    <w:rsid w:val="002F473A"/>
    <w:rsid w:val="00332AB2"/>
    <w:rsid w:val="00382CF4"/>
    <w:rsid w:val="0047638D"/>
    <w:rsid w:val="00492265"/>
    <w:rsid w:val="00602C5A"/>
    <w:rsid w:val="00625A87"/>
    <w:rsid w:val="00667E00"/>
    <w:rsid w:val="00897A6F"/>
    <w:rsid w:val="00901347"/>
    <w:rsid w:val="009336D5"/>
    <w:rsid w:val="00B6152A"/>
    <w:rsid w:val="00B929B0"/>
    <w:rsid w:val="00BF4DC9"/>
    <w:rsid w:val="00CF7604"/>
    <w:rsid w:val="00D07BC7"/>
    <w:rsid w:val="00E16262"/>
    <w:rsid w:val="00F2708A"/>
    <w:rsid w:val="00F948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8C9C8"/>
  <w15:chartTrackingRefBased/>
  <w15:docId w15:val="{19381980-D7C7-4272-AC62-B096B423F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6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6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6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6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6D5"/>
    <w:rPr>
      <w:rFonts w:eastAsiaTheme="majorEastAsia" w:cstheme="majorBidi"/>
      <w:color w:val="272727" w:themeColor="text1" w:themeTint="D8"/>
    </w:rPr>
  </w:style>
  <w:style w:type="paragraph" w:styleId="Title">
    <w:name w:val="Title"/>
    <w:basedOn w:val="Normal"/>
    <w:next w:val="Normal"/>
    <w:link w:val="TitleChar"/>
    <w:uiPriority w:val="10"/>
    <w:qFormat/>
    <w:rsid w:val="00933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6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6D5"/>
    <w:pPr>
      <w:spacing w:before="160"/>
      <w:jc w:val="center"/>
    </w:pPr>
    <w:rPr>
      <w:i/>
      <w:iCs/>
      <w:color w:val="404040" w:themeColor="text1" w:themeTint="BF"/>
    </w:rPr>
  </w:style>
  <w:style w:type="character" w:customStyle="1" w:styleId="QuoteChar">
    <w:name w:val="Quote Char"/>
    <w:basedOn w:val="DefaultParagraphFont"/>
    <w:link w:val="Quote"/>
    <w:uiPriority w:val="29"/>
    <w:rsid w:val="009336D5"/>
    <w:rPr>
      <w:i/>
      <w:iCs/>
      <w:color w:val="404040" w:themeColor="text1" w:themeTint="BF"/>
    </w:rPr>
  </w:style>
  <w:style w:type="paragraph" w:styleId="ListParagraph">
    <w:name w:val="List Paragraph"/>
    <w:basedOn w:val="Normal"/>
    <w:uiPriority w:val="34"/>
    <w:qFormat/>
    <w:rsid w:val="009336D5"/>
    <w:pPr>
      <w:ind w:left="720"/>
      <w:contextualSpacing/>
    </w:pPr>
  </w:style>
  <w:style w:type="character" w:styleId="IntenseEmphasis">
    <w:name w:val="Intense Emphasis"/>
    <w:basedOn w:val="DefaultParagraphFont"/>
    <w:uiPriority w:val="21"/>
    <w:qFormat/>
    <w:rsid w:val="009336D5"/>
    <w:rPr>
      <w:i/>
      <w:iCs/>
      <w:color w:val="2F5496" w:themeColor="accent1" w:themeShade="BF"/>
    </w:rPr>
  </w:style>
  <w:style w:type="paragraph" w:styleId="IntenseQuote">
    <w:name w:val="Intense Quote"/>
    <w:basedOn w:val="Normal"/>
    <w:next w:val="Normal"/>
    <w:link w:val="IntenseQuoteChar"/>
    <w:uiPriority w:val="30"/>
    <w:qFormat/>
    <w:rsid w:val="00933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6D5"/>
    <w:rPr>
      <w:i/>
      <w:iCs/>
      <w:color w:val="2F5496" w:themeColor="accent1" w:themeShade="BF"/>
    </w:rPr>
  </w:style>
  <w:style w:type="character" w:styleId="IntenseReference">
    <w:name w:val="Intense Reference"/>
    <w:basedOn w:val="DefaultParagraphFont"/>
    <w:uiPriority w:val="32"/>
    <w:qFormat/>
    <w:rsid w:val="009336D5"/>
    <w:rPr>
      <w:b/>
      <w:bCs/>
      <w:smallCaps/>
      <w:color w:val="2F5496" w:themeColor="accent1" w:themeShade="BF"/>
      <w:spacing w:val="5"/>
    </w:rPr>
  </w:style>
  <w:style w:type="table" w:styleId="TableGrid">
    <w:name w:val="Table Grid"/>
    <w:basedOn w:val="TableNormal"/>
    <w:uiPriority w:val="39"/>
    <w:rsid w:val="00BF4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3</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claudya putri</dc:creator>
  <cp:keywords/>
  <dc:description/>
  <cp:lastModifiedBy>claudya putri</cp:lastModifiedBy>
  <cp:revision>6</cp:revision>
  <dcterms:created xsi:type="dcterms:W3CDTF">2026-10-07T05:56:00Z</dcterms:created>
  <dcterms:modified xsi:type="dcterms:W3CDTF">2026-10-13T05:57:00Z</dcterms:modified>
</cp:coreProperties>
</file>