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广联智造股份有限公司 差旅与费用报销管理制度</w:t>
      </w:r>
    </w:p>
    <w:p>
      <w:r>
        <w:t>文档编号：GL-FIN-2024-004</w:t>
      </w:r>
    </w:p>
    <w:p>
      <w:r>
        <w:t>版本：V3.5</w:t>
      </w:r>
    </w:p>
    <w:p>
      <w:r>
        <w:t>生效日期：2024 年 9 月 1 日</w:t>
      </w:r>
    </w:p>
    <w:p>
      <w:r>
        <w:t>归口部门：财务部</w:t>
      </w:r>
    </w:p>
    <w:p>
      <w:pPr>
        <w:pStyle w:val="Heading1"/>
      </w:pPr>
      <w:r>
        <w:t>第一章 总则</w:t>
      </w:r>
    </w:p>
    <w:p>
      <w:r>
        <w:t>第一条 为规范公司差旅与费用报销管理，控制成本、提高效率，制定本制度。本制度适用于公司全体员工因公出差、日常费用垫付及各类费用报销业务。</w:t>
      </w:r>
    </w:p>
    <w:p>
      <w:r>
        <w:t>第二条 报销遵循先审批后支出、实事求是、单据合规三项原则。未经审批发生的费用，公司有权拒绝报销。</w:t>
      </w:r>
    </w:p>
    <w:p>
      <w:pPr>
        <w:pStyle w:val="Heading1"/>
      </w:pPr>
      <w:r>
        <w:t>第二章 出差管理</w:t>
      </w:r>
    </w:p>
    <w:p>
      <w:r>
        <w:t>第三条 出差前须在 OA 系统提交出差申请，注明出差事由、目的地、起止日期、同行人员、预计费用。审批通过后方可订票。紧急出差可先行前往，但须在出发后 1 个工作日内补交申请。</w:t>
      </w:r>
    </w:p>
    <w:p>
      <w:r>
        <w:t>第四条 出差审批权限：3 天以内由部门负责人审批；3 天以上至 7 天由分管副总审批；7 天以上或出境由总经理审批。</w:t>
      </w:r>
    </w:p>
    <w:p>
      <w:r>
        <w:t>第五条 交通工具标准：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职级</w:t>
            </w:r>
          </w:p>
        </w:tc>
        <w:tc>
          <w:tcPr>
            <w:tcW w:type="dxa" w:w="2160"/>
          </w:tcPr>
          <w:p>
            <w:r>
              <w:t>飞机</w:t>
            </w:r>
          </w:p>
        </w:tc>
        <w:tc>
          <w:tcPr>
            <w:tcW w:type="dxa" w:w="2160"/>
          </w:tcPr>
          <w:p>
            <w:r>
              <w:t>火车</w:t>
            </w:r>
          </w:p>
        </w:tc>
        <w:tc>
          <w:tcPr>
            <w:tcW w:type="dxa" w:w="2160"/>
          </w:tcPr>
          <w:p>
            <w:r>
              <w:t>市内交通</w:t>
            </w:r>
          </w:p>
        </w:tc>
      </w:tr>
      <w:tr>
        <w:tc>
          <w:tcPr>
            <w:tcW w:type="dxa" w:w="2160"/>
          </w:tcPr>
          <w:p>
            <w:r>
              <w:t>总经理及以上</w:t>
            </w:r>
          </w:p>
        </w:tc>
        <w:tc>
          <w:tcPr>
            <w:tcW w:type="dxa" w:w="2160"/>
          </w:tcPr>
          <w:p>
            <w:r>
              <w:t>公务舱</w:t>
            </w:r>
          </w:p>
        </w:tc>
        <w:tc>
          <w:tcPr>
            <w:tcW w:type="dxa" w:w="2160"/>
          </w:tcPr>
          <w:p>
            <w:r>
              <w:t>商务座</w:t>
            </w:r>
          </w:p>
        </w:tc>
        <w:tc>
          <w:tcPr>
            <w:tcW w:type="dxa" w:w="2160"/>
          </w:tcPr>
          <w:p>
            <w:r>
              <w:t>实报实销</w:t>
            </w:r>
          </w:p>
        </w:tc>
      </w:tr>
      <w:tr>
        <w:tc>
          <w:tcPr>
            <w:tcW w:type="dxa" w:w="2160"/>
          </w:tcPr>
          <w:p>
            <w:r>
              <w:t>总监 / 分管副总</w:t>
            </w:r>
          </w:p>
        </w:tc>
        <w:tc>
          <w:tcPr>
            <w:tcW w:type="dxa" w:w="2160"/>
          </w:tcPr>
          <w:p>
            <w:r>
              <w:t>经济舱</w:t>
            </w:r>
          </w:p>
        </w:tc>
        <w:tc>
          <w:tcPr>
            <w:tcW w:type="dxa" w:w="2160"/>
          </w:tcPr>
          <w:p>
            <w:r>
              <w:t>一等座</w:t>
            </w:r>
          </w:p>
        </w:tc>
        <w:tc>
          <w:tcPr>
            <w:tcW w:type="dxa" w:w="2160"/>
          </w:tcPr>
          <w:p>
            <w:r>
              <w:t>实报实销</w:t>
            </w:r>
          </w:p>
        </w:tc>
      </w:tr>
      <w:tr>
        <w:tc>
          <w:tcPr>
            <w:tcW w:type="dxa" w:w="2160"/>
          </w:tcPr>
          <w:p>
            <w:r>
              <w:t>经理 / 主管</w:t>
            </w:r>
          </w:p>
        </w:tc>
        <w:tc>
          <w:tcPr>
            <w:tcW w:type="dxa" w:w="2160"/>
          </w:tcPr>
          <w:p>
            <w:r>
              <w:t>经济舱</w:t>
            </w:r>
          </w:p>
        </w:tc>
        <w:tc>
          <w:tcPr>
            <w:tcW w:type="dxa" w:w="2160"/>
          </w:tcPr>
          <w:p>
            <w:r>
              <w:t>二等座</w:t>
            </w:r>
          </w:p>
        </w:tc>
        <w:tc>
          <w:tcPr>
            <w:tcW w:type="dxa" w:w="2160"/>
          </w:tcPr>
          <w:p>
            <w:r>
              <w:t>每日限额 100 元</w:t>
            </w:r>
          </w:p>
        </w:tc>
      </w:tr>
      <w:tr>
        <w:tc>
          <w:tcPr>
            <w:tcW w:type="dxa" w:w="2160"/>
          </w:tcPr>
          <w:p>
            <w:r>
              <w:t>普通员工</w:t>
            </w:r>
          </w:p>
        </w:tc>
        <w:tc>
          <w:tcPr>
            <w:tcW w:type="dxa" w:w="2160"/>
          </w:tcPr>
          <w:p>
            <w:r>
              <w:t>经济舱</w:t>
            </w:r>
          </w:p>
        </w:tc>
        <w:tc>
          <w:tcPr>
            <w:tcW w:type="dxa" w:w="2160"/>
          </w:tcPr>
          <w:p>
            <w:r>
              <w:t>二等座</w:t>
            </w:r>
          </w:p>
        </w:tc>
        <w:tc>
          <w:tcPr>
            <w:tcW w:type="dxa" w:w="2160"/>
          </w:tcPr>
          <w:p>
            <w:r>
              <w:t>每日限额 80 元</w:t>
            </w:r>
          </w:p>
        </w:tc>
      </w:tr>
    </w:tbl>
    <w:p>
      <w:r>
        <w:t>单程飞行时间超过 3 小时或火车运行时间超过 6 小时的，普通员工可申请升舱，需分管副总批准。</w:t>
      </w:r>
    </w:p>
    <w:p>
      <w:r>
        <w:t>第六条 住宿标准（每人每晚，含税）：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城市类别</w:t>
            </w:r>
          </w:p>
        </w:tc>
        <w:tc>
          <w:tcPr>
            <w:tcW w:type="dxa" w:w="2160"/>
          </w:tcPr>
          <w:p>
            <w:r>
              <w:t>普通员工</w:t>
            </w:r>
          </w:p>
        </w:tc>
        <w:tc>
          <w:tcPr>
            <w:tcW w:type="dxa" w:w="2160"/>
          </w:tcPr>
          <w:p>
            <w:r>
              <w:t>经理/主管</w:t>
            </w:r>
          </w:p>
        </w:tc>
        <w:tc>
          <w:tcPr>
            <w:tcW w:type="dxa" w:w="2160"/>
          </w:tcPr>
          <w:p>
            <w:r>
              <w:t>总监及以上</w:t>
            </w:r>
          </w:p>
        </w:tc>
      </w:tr>
      <w:tr>
        <w:tc>
          <w:tcPr>
            <w:tcW w:type="dxa" w:w="2160"/>
          </w:tcPr>
          <w:p>
            <w:r>
              <w:t>一类城市（北上广深）</w:t>
            </w:r>
          </w:p>
        </w:tc>
        <w:tc>
          <w:tcPr>
            <w:tcW w:type="dxa" w:w="2160"/>
          </w:tcPr>
          <w:p>
            <w:r>
              <w:t>500 元</w:t>
            </w:r>
          </w:p>
        </w:tc>
        <w:tc>
          <w:tcPr>
            <w:tcW w:type="dxa" w:w="2160"/>
          </w:tcPr>
          <w:p>
            <w:r>
              <w:t>700 元</w:t>
            </w:r>
          </w:p>
        </w:tc>
        <w:tc>
          <w:tcPr>
            <w:tcW w:type="dxa" w:w="2160"/>
          </w:tcPr>
          <w:p>
            <w:r>
              <w:t>1000 元</w:t>
            </w:r>
          </w:p>
        </w:tc>
      </w:tr>
      <w:tr>
        <w:tc>
          <w:tcPr>
            <w:tcW w:type="dxa" w:w="2160"/>
          </w:tcPr>
          <w:p>
            <w:r>
              <w:t>二类城市（省会及计划单列市）</w:t>
            </w:r>
          </w:p>
        </w:tc>
        <w:tc>
          <w:tcPr>
            <w:tcW w:type="dxa" w:w="2160"/>
          </w:tcPr>
          <w:p>
            <w:r>
              <w:t>400 元</w:t>
            </w:r>
          </w:p>
        </w:tc>
        <w:tc>
          <w:tcPr>
            <w:tcW w:type="dxa" w:w="2160"/>
          </w:tcPr>
          <w:p>
            <w:r>
              <w:t>550 元</w:t>
            </w:r>
          </w:p>
        </w:tc>
        <w:tc>
          <w:tcPr>
            <w:tcW w:type="dxa" w:w="2160"/>
          </w:tcPr>
          <w:p>
            <w:r>
              <w:t>800 元</w:t>
            </w:r>
          </w:p>
        </w:tc>
      </w:tr>
      <w:tr>
        <w:tc>
          <w:tcPr>
            <w:tcW w:type="dxa" w:w="2160"/>
          </w:tcPr>
          <w:p>
            <w:r>
              <w:t>三类城市（其他地级市）</w:t>
            </w:r>
          </w:p>
        </w:tc>
        <w:tc>
          <w:tcPr>
            <w:tcW w:type="dxa" w:w="2160"/>
          </w:tcPr>
          <w:p>
            <w:r>
              <w:t>300 元</w:t>
            </w:r>
          </w:p>
        </w:tc>
        <w:tc>
          <w:tcPr>
            <w:tcW w:type="dxa" w:w="2160"/>
          </w:tcPr>
          <w:p>
            <w:r>
              <w:t>400 元</w:t>
            </w:r>
          </w:p>
        </w:tc>
        <w:tc>
          <w:tcPr>
            <w:tcW w:type="dxa" w:w="2160"/>
          </w:tcPr>
          <w:p>
            <w:r>
              <w:t>600 元</w:t>
            </w:r>
          </w:p>
        </w:tc>
      </w:tr>
      <w:tr>
        <w:tc>
          <w:tcPr>
            <w:tcW w:type="dxa" w:w="2160"/>
          </w:tcPr>
          <w:p>
            <w:r>
              <w:t>县城及乡镇</w:t>
            </w:r>
          </w:p>
        </w:tc>
        <w:tc>
          <w:tcPr>
            <w:tcW w:type="dxa" w:w="2160"/>
          </w:tcPr>
          <w:p>
            <w:r>
              <w:t>220 元</w:t>
            </w:r>
          </w:p>
        </w:tc>
        <w:tc>
          <w:tcPr>
            <w:tcW w:type="dxa" w:w="2160"/>
          </w:tcPr>
          <w:p>
            <w:r>
              <w:t>300 元</w:t>
            </w:r>
          </w:p>
        </w:tc>
        <w:tc>
          <w:tcPr>
            <w:tcW w:type="dxa" w:w="2160"/>
          </w:tcPr>
          <w:p>
            <w:r>
              <w:t>450 元</w:t>
            </w:r>
          </w:p>
        </w:tc>
      </w:tr>
    </w:tbl>
    <w:p>
      <w:r>
        <w:t>超标准住宿需事前申请并说明原因，事后补报的一律按标准上限报销，差额自理。两名同性别员工同行的，鼓励合住标准间，节省部分按每人每晚 50 元给予补贴。</w:t>
      </w:r>
    </w:p>
    <w:p>
      <w:r>
        <w:t>第七条 出差补贴（每人每天）：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城市类别</w:t>
            </w:r>
          </w:p>
        </w:tc>
        <w:tc>
          <w:tcPr>
            <w:tcW w:type="dxa" w:w="2880"/>
          </w:tcPr>
          <w:p>
            <w:r>
              <w:t>伙食补贴</w:t>
            </w:r>
          </w:p>
        </w:tc>
        <w:tc>
          <w:tcPr>
            <w:tcW w:type="dxa" w:w="2880"/>
          </w:tcPr>
          <w:p>
            <w:r>
              <w:t>杂费补贴</w:t>
            </w:r>
          </w:p>
        </w:tc>
      </w:tr>
      <w:tr>
        <w:tc>
          <w:tcPr>
            <w:tcW w:type="dxa" w:w="2880"/>
          </w:tcPr>
          <w:p>
            <w:r>
              <w:t>一类城市</w:t>
            </w:r>
          </w:p>
        </w:tc>
        <w:tc>
          <w:tcPr>
            <w:tcW w:type="dxa" w:w="2880"/>
          </w:tcPr>
          <w:p>
            <w:r>
              <w:t>120 元</w:t>
            </w:r>
          </w:p>
        </w:tc>
        <w:tc>
          <w:tcPr>
            <w:tcW w:type="dxa" w:w="2880"/>
          </w:tcPr>
          <w:p>
            <w:r>
              <w:t>30 元</w:t>
            </w:r>
          </w:p>
        </w:tc>
      </w:tr>
      <w:tr>
        <w:tc>
          <w:tcPr>
            <w:tcW w:type="dxa" w:w="2880"/>
          </w:tcPr>
          <w:p>
            <w:r>
              <w:t>二类城市</w:t>
            </w:r>
          </w:p>
        </w:tc>
        <w:tc>
          <w:tcPr>
            <w:tcW w:type="dxa" w:w="2880"/>
          </w:tcPr>
          <w:p>
            <w:r>
              <w:t>100 元</w:t>
            </w:r>
          </w:p>
        </w:tc>
        <w:tc>
          <w:tcPr>
            <w:tcW w:type="dxa" w:w="2880"/>
          </w:tcPr>
          <w:p>
            <w:r>
              <w:t>30 元</w:t>
            </w:r>
          </w:p>
        </w:tc>
      </w:tr>
      <w:tr>
        <w:tc>
          <w:tcPr>
            <w:tcW w:type="dxa" w:w="2880"/>
          </w:tcPr>
          <w:p>
            <w:r>
              <w:t>三类城市及以下</w:t>
            </w:r>
          </w:p>
        </w:tc>
        <w:tc>
          <w:tcPr>
            <w:tcW w:type="dxa" w:w="2880"/>
          </w:tcPr>
          <w:p>
            <w:r>
              <w:t>80 元</w:t>
            </w:r>
          </w:p>
        </w:tc>
        <w:tc>
          <w:tcPr>
            <w:tcW w:type="dxa" w:w="2880"/>
          </w:tcPr>
          <w:p>
            <w:r>
              <w:t>20 元</w:t>
            </w:r>
          </w:p>
        </w:tc>
      </w:tr>
    </w:tbl>
    <w:p>
      <w:r>
        <w:t>出差当日往返不足 8 小时的不发放补贴；客户或合作方已安排餐食的，当餐补贴不予发放。客户现场连续驻场满 5 个工作日的，另按员工手册第十七条发放驻场补贴。</w:t>
      </w:r>
    </w:p>
    <w:p>
      <w:pPr>
        <w:pStyle w:val="Heading1"/>
      </w:pPr>
      <w:r>
        <w:t>第三章 费用报销</w:t>
      </w:r>
    </w:p>
    <w:p>
      <w:r>
        <w:t>第八条 报销时限：费用发生后 30 日内提交报销单，跨年度费用最迟在次年 1 月 15 日前提交，逾期不予受理。</w:t>
      </w:r>
    </w:p>
    <w:p>
      <w:r>
        <w:t>第九条 单据要求：发票抬头须为公司全称，纳税人识别号准确；增值税专用发票需在开票之日起 360 日内认证；餐费、住宿费须附消费明细；打车费须提供行程单而非仅支付截图。</w:t>
      </w:r>
    </w:p>
    <w:p>
      <w:r>
        <w:t>第十条 报销审批权限：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单笔金额</w:t>
            </w:r>
          </w:p>
        </w:tc>
        <w:tc>
          <w:tcPr>
            <w:tcW w:type="dxa" w:w="4320"/>
          </w:tcPr>
          <w:p>
            <w:r>
              <w:t>审批人</w:t>
            </w:r>
          </w:p>
        </w:tc>
      </w:tr>
      <w:tr>
        <w:tc>
          <w:tcPr>
            <w:tcW w:type="dxa" w:w="4320"/>
          </w:tcPr>
          <w:p>
            <w:r>
              <w:t>1000 元以下</w:t>
            </w:r>
          </w:p>
        </w:tc>
        <w:tc>
          <w:tcPr>
            <w:tcW w:type="dxa" w:w="4320"/>
          </w:tcPr>
          <w:p>
            <w:r>
              <w:t>部门负责人</w:t>
            </w:r>
          </w:p>
        </w:tc>
      </w:tr>
      <w:tr>
        <w:tc>
          <w:tcPr>
            <w:tcW w:type="dxa" w:w="4320"/>
          </w:tcPr>
          <w:p>
            <w:r>
              <w:t>1000 元至 5000 元</w:t>
            </w:r>
          </w:p>
        </w:tc>
        <w:tc>
          <w:tcPr>
            <w:tcW w:type="dxa" w:w="4320"/>
          </w:tcPr>
          <w:p>
            <w:r>
              <w:t>分管副总</w:t>
            </w:r>
          </w:p>
        </w:tc>
      </w:tr>
      <w:tr>
        <w:tc>
          <w:tcPr>
            <w:tcW w:type="dxa" w:w="4320"/>
          </w:tcPr>
          <w:p>
            <w:r>
              <w:t>5000 元至 30000 元</w:t>
            </w:r>
          </w:p>
        </w:tc>
        <w:tc>
          <w:tcPr>
            <w:tcW w:type="dxa" w:w="4320"/>
          </w:tcPr>
          <w:p>
            <w:r>
              <w:t>总经理</w:t>
            </w:r>
          </w:p>
        </w:tc>
      </w:tr>
      <w:tr>
        <w:tc>
          <w:tcPr>
            <w:tcW w:type="dxa" w:w="4320"/>
          </w:tcPr>
          <w:p>
            <w:r>
              <w:t>30000 元以上</w:t>
            </w:r>
          </w:p>
        </w:tc>
        <w:tc>
          <w:tcPr>
            <w:tcW w:type="dxa" w:w="4320"/>
          </w:tcPr>
          <w:p>
            <w:r>
              <w:t>总经理办公会</w:t>
            </w:r>
          </w:p>
        </w:tc>
      </w:tr>
    </w:tbl>
    <w:p>
      <w:r>
        <w:t>第十一条 付款周期：每月 10 日、25 日为固定付款日。报销单在付款日前 3 个工作日完成财务审核的，纳入本期付款，否则顺延至下一期。</w:t>
      </w:r>
    </w:p>
    <w:p>
      <w:r>
        <w:t>第十二条 借款管理：单笔预借款不超过预计费用的 80%，出差结束后 10 个工作日内核销。前次借款未核销的，不得再次借款。</w:t>
      </w:r>
    </w:p>
    <w:p>
      <w:pPr>
        <w:pStyle w:val="Heading1"/>
      </w:pPr>
      <w:r>
        <w:t>第四章 违规处理</w:t>
      </w:r>
    </w:p>
    <w:p>
      <w:r>
        <w:t>第十三条 虚开发票、虚报费用、拆分单据规避审批的，全额追回并按员工手册第三十条按严重违纪处理。</w:t>
      </w:r>
    </w:p>
    <w:p>
      <w:r>
        <w:t>第十四条 财务部每季度抽查报销单据，抽查比例不低于 10%，抽查结果报总经理。</w:t>
      </w:r>
    </w:p>
    <w:p>
      <w:pPr>
        <w:pStyle w:val="Heading1"/>
      </w:pPr>
      <w:r>
        <w:t>第五章 附则</w:t>
      </w:r>
    </w:p>
    <w:p>
      <w:r>
        <w:t>第十五条 本制度由财务部负责解释，自生效之日起施行。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