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143A" w14:textId="2B196DCC" w:rsidR="006C6BE2" w:rsidRPr="00701234" w:rsidRDefault="00701234" w:rsidP="0070123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>Архитектура ANSI-SPARC</w:t>
      </w:r>
    </w:p>
    <w:p w14:paraId="09DE2AB7" w14:textId="274AEEB8" w:rsidR="00701234" w:rsidRPr="00701234" w:rsidRDefault="00701234" w:rsidP="00701234">
      <w:p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>Цель трехуровневой архитектуры ANSI/SPARC</w:t>
      </w:r>
      <w:r w:rsidRPr="00701234">
        <w:rPr>
          <w:rFonts w:ascii="Times New Roman" w:hAnsi="Times New Roman" w:cs="Times New Roman"/>
        </w:rPr>
        <w:t xml:space="preserve"> </w:t>
      </w:r>
      <w:r w:rsidRPr="00701234">
        <w:rPr>
          <w:rFonts w:ascii="Times New Roman" w:hAnsi="Times New Roman" w:cs="Times New Roman"/>
        </w:rPr>
        <w:t>заключается в отделении пользовательского представления базы данных от ее физического представления</w:t>
      </w:r>
      <w:r w:rsidRPr="00701234">
        <w:rPr>
          <w:rFonts w:ascii="Times New Roman" w:hAnsi="Times New Roman" w:cs="Times New Roman"/>
        </w:rPr>
        <w:t xml:space="preserve">. </w:t>
      </w:r>
    </w:p>
    <w:p w14:paraId="5DB60E29" w14:textId="3D7FFC0D" w:rsidR="00701234" w:rsidRPr="00701234" w:rsidRDefault="00701234" w:rsidP="00701234">
      <w:pPr>
        <w:rPr>
          <w:rFonts w:ascii="Times New Roman" w:hAnsi="Times New Roman" w:cs="Times New Roman"/>
        </w:rPr>
      </w:pPr>
      <w:r w:rsidRPr="00701234">
        <w:rPr>
          <w:rFonts w:ascii="Times New Roman" w:hAnsi="Times New Roman" w:cs="Times New Roman"/>
        </w:rPr>
        <w:t>Уровень, на котором воспринимают данные конечные пользователи, называется внешним уровнем (</w:t>
      </w:r>
      <w:proofErr w:type="spellStart"/>
      <w:r w:rsidRPr="00701234">
        <w:rPr>
          <w:rFonts w:ascii="Times New Roman" w:hAnsi="Times New Roman" w:cs="Times New Roman"/>
        </w:rPr>
        <w:t>external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). СУБД и операционная система воспринимают данные на внутреннем уровне (</w:t>
      </w:r>
      <w:proofErr w:type="spellStart"/>
      <w:r w:rsidRPr="00701234">
        <w:rPr>
          <w:rFonts w:ascii="Times New Roman" w:hAnsi="Times New Roman" w:cs="Times New Roman"/>
        </w:rPr>
        <w:t>internal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). Концептуальный уровень (</w:t>
      </w:r>
      <w:proofErr w:type="spellStart"/>
      <w:r w:rsidRPr="00701234">
        <w:rPr>
          <w:rFonts w:ascii="Times New Roman" w:hAnsi="Times New Roman" w:cs="Times New Roman"/>
        </w:rPr>
        <w:t>conceptual</w:t>
      </w:r>
      <w:proofErr w:type="spellEnd"/>
      <w:r w:rsidRPr="00701234">
        <w:rPr>
          <w:rFonts w:ascii="Times New Roman" w:hAnsi="Times New Roman" w:cs="Times New Roman"/>
        </w:rPr>
        <w:t xml:space="preserve"> </w:t>
      </w:r>
      <w:proofErr w:type="spellStart"/>
      <w:r w:rsidRPr="00701234">
        <w:rPr>
          <w:rFonts w:ascii="Times New Roman" w:hAnsi="Times New Roman" w:cs="Times New Roman"/>
        </w:rPr>
        <w:t>level</w:t>
      </w:r>
      <w:proofErr w:type="spellEnd"/>
      <w:r w:rsidRPr="00701234">
        <w:rPr>
          <w:rFonts w:ascii="Times New Roman" w:hAnsi="Times New Roman" w:cs="Times New Roman"/>
        </w:rPr>
        <w:t>) представления данных предназначен для отображения внешнего уровня на внутренний и обеспечения необходимой независимости друг от друга.</w:t>
      </w:r>
    </w:p>
    <w:p w14:paraId="37E4F18D" w14:textId="77777777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Внешний уровень – это представление базы данных с точки зрения пользователей. Этот уровень описывает ту часть базы данных, которая относится к каждому пользователю.</w:t>
      </w:r>
    </w:p>
    <w:p w14:paraId="65136D29" w14:textId="77777777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Внешний уровень состоит из нескольких различных внешних представлений базы данных. Каждый пользователь имеет дело с представлением “реального мира”, выраженным в наиболее удобной для него форме. Пользователь может даже не подозревать о существовании сущностей, атрибутов и связей “реального мира”, необходимых для других пользователей.</w:t>
      </w:r>
    </w:p>
    <w:p w14:paraId="354FADEA" w14:textId="77777777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Концептуальный уровень – это обобщающее представление базы данных. Этот уровень описывает то, какие данные хранятся в базе данных, а также связи, существующие между ними.</w:t>
      </w:r>
    </w:p>
    <w:p w14:paraId="4CCFB2B0" w14:textId="3E5BC004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Промежуточным уровнем в трехуровневой архитектуре является концептуальный уровень. Этот уровень содержит логическую структуру всей базы данных. Фактически, это полное представление требований к данным со стороны организации, которое не зависит от способа их хранения. На концептуальном уровне представлены следующие компоненты:</w:t>
      </w:r>
    </w:p>
    <w:p w14:paraId="5706EB1E" w14:textId="77777777" w:rsidR="00701234" w:rsidRPr="00701234" w:rsidRDefault="00701234" w:rsidP="00701234">
      <w:pPr>
        <w:pStyle w:val="ac"/>
        <w:numPr>
          <w:ilvl w:val="0"/>
          <w:numId w:val="3"/>
        </w:numPr>
        <w:rPr>
          <w:color w:val="000000"/>
        </w:rPr>
      </w:pPr>
      <w:r w:rsidRPr="00701234">
        <w:rPr>
          <w:color w:val="000000"/>
        </w:rPr>
        <w:t>все сущности, атрибуты и связи;</w:t>
      </w:r>
    </w:p>
    <w:p w14:paraId="3F76CE4B" w14:textId="77777777" w:rsidR="00701234" w:rsidRPr="00701234" w:rsidRDefault="00701234" w:rsidP="00701234">
      <w:pPr>
        <w:pStyle w:val="ac"/>
        <w:numPr>
          <w:ilvl w:val="0"/>
          <w:numId w:val="3"/>
        </w:numPr>
        <w:rPr>
          <w:color w:val="000000"/>
        </w:rPr>
      </w:pPr>
      <w:r w:rsidRPr="00701234">
        <w:rPr>
          <w:color w:val="000000"/>
        </w:rPr>
        <w:t>накладываемые на данные ограничения;</w:t>
      </w:r>
    </w:p>
    <w:p w14:paraId="4BD4D868" w14:textId="77777777" w:rsidR="00701234" w:rsidRPr="00701234" w:rsidRDefault="00701234" w:rsidP="00701234">
      <w:pPr>
        <w:pStyle w:val="ac"/>
        <w:numPr>
          <w:ilvl w:val="0"/>
          <w:numId w:val="3"/>
        </w:numPr>
        <w:rPr>
          <w:color w:val="000000"/>
        </w:rPr>
      </w:pPr>
      <w:r w:rsidRPr="00701234">
        <w:rPr>
          <w:color w:val="000000"/>
        </w:rPr>
        <w:t>семантическая информация о данных;</w:t>
      </w:r>
    </w:p>
    <w:p w14:paraId="3F7EDA5C" w14:textId="77777777" w:rsidR="00701234" w:rsidRPr="00701234" w:rsidRDefault="00701234" w:rsidP="00701234">
      <w:pPr>
        <w:pStyle w:val="ac"/>
        <w:numPr>
          <w:ilvl w:val="0"/>
          <w:numId w:val="3"/>
        </w:numPr>
        <w:rPr>
          <w:color w:val="000000"/>
        </w:rPr>
      </w:pPr>
      <w:r w:rsidRPr="00701234">
        <w:rPr>
          <w:color w:val="000000"/>
        </w:rPr>
        <w:t>информация о мерах обеспечения безопасности и поддержки целостности данных.</w:t>
      </w:r>
    </w:p>
    <w:p w14:paraId="008BC754" w14:textId="77777777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Описание сущности на концептуальном уровне должно содержать сведения о типах данных атрибутов (целочисленный, действительный или символьный) и их длине (количестве значащих цифр или максимальном количестве символов), но не должно включать сведений об организации хранения данных, например, об объеме занятого пространства в байтах.</w:t>
      </w:r>
    </w:p>
    <w:p w14:paraId="0D6A9512" w14:textId="77777777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Внутренний уровень – это физическое представление базы данных в компьютере. Этот уровень описывает, как информация хранится в базе данных.</w:t>
      </w:r>
    </w:p>
    <w:p w14:paraId="4CE585D1" w14:textId="5DE68B66" w:rsidR="00701234" w:rsidRP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 xml:space="preserve">Внутренний уровень описывает физическую реализацию базы данных и предназначен для достижения оптимальной производительности и обеспечения экономичности использования дискового пространства. Он содержит описание структур данных и организации отдельных файлов, используемых для хранения данных в запоминающих устройствах. На этом уровне осуществляется взаимодействие СУБД с методами доступа операционной системы с целью размещения данных на запоминающих устройствах, создания индексов, извлечения данных и т. д. </w:t>
      </w:r>
    </w:p>
    <w:p w14:paraId="6C1FA04F" w14:textId="2D6F18EA" w:rsidR="00701234" w:rsidRDefault="00701234" w:rsidP="00701234">
      <w:pPr>
        <w:pStyle w:val="ac"/>
        <w:numPr>
          <w:ilvl w:val="0"/>
          <w:numId w:val="2"/>
        </w:numPr>
        <w:rPr>
          <w:color w:val="000000"/>
        </w:rPr>
      </w:pPr>
      <w:r w:rsidRPr="00701234">
        <w:rPr>
          <w:color w:val="000000"/>
        </w:rPr>
        <w:lastRenderedPageBreak/>
        <w:t>Модель "Сущность-Связь". Классификация сущностей. Виды связей. Ограничения целостности.</w:t>
      </w:r>
    </w:p>
    <w:p w14:paraId="4A655B5F" w14:textId="3C9C3577" w:rsidR="00701234" w:rsidRDefault="00701234" w:rsidP="00701234">
      <w:pPr>
        <w:pStyle w:val="ac"/>
        <w:rPr>
          <w:color w:val="000000"/>
        </w:rPr>
      </w:pPr>
      <w:r w:rsidRPr="00701234">
        <w:rPr>
          <w:color w:val="000000"/>
        </w:rPr>
        <w:t>Схема «сущность-связь» (ER-диаграмма) — это разновидность блок-схемы, где показано, как разные «сущности» связаны между собой внутри системы.</w:t>
      </w:r>
    </w:p>
    <w:p w14:paraId="75FEAAD7" w14:textId="16F68560" w:rsidR="00701234" w:rsidRDefault="006B4B97" w:rsidP="00701234">
      <w:pPr>
        <w:pStyle w:val="ac"/>
        <w:rPr>
          <w:color w:val="000000"/>
        </w:rPr>
      </w:pPr>
      <w:r w:rsidRPr="006B4B97">
        <w:rPr>
          <w:color w:val="000000"/>
        </w:rPr>
        <w:drawing>
          <wp:inline distT="0" distB="0" distL="0" distR="0" wp14:anchorId="0A677D88" wp14:editId="049E43A2">
            <wp:extent cx="4633860" cy="3101788"/>
            <wp:effectExtent l="0" t="0" r="1905" b="0"/>
            <wp:docPr id="211226581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581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722" cy="31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1ED3" w14:textId="4EEF1C7D" w:rsidR="006B4B97" w:rsidRPr="006B4B97" w:rsidRDefault="006B4B97" w:rsidP="006B4B97">
      <w:pPr>
        <w:pStyle w:val="ac"/>
        <w:rPr>
          <w:color w:val="000000"/>
        </w:rPr>
      </w:pPr>
      <w:r>
        <w:rPr>
          <w:color w:val="000000"/>
        </w:rPr>
        <w:t>Допустим, а</w:t>
      </w:r>
      <w:r w:rsidRPr="006B4B97">
        <w:rPr>
          <w:color w:val="000000"/>
        </w:rPr>
        <w:t>эропорт, авиакомпания, дата, рейс, пассажир, пункты прибытия и назначения, багаж —сущност</w:t>
      </w:r>
      <w:r>
        <w:rPr>
          <w:color w:val="000000"/>
        </w:rPr>
        <w:t xml:space="preserve">и. </w:t>
      </w:r>
    </w:p>
    <w:p w14:paraId="5D924834" w14:textId="4624C1A0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В системе сущность представлена в виде экземпляров. Например, экземпляры сущности «Аэропорт» ― аэропорты «Домодедово», «Пулково», «Воронеж».</w:t>
      </w:r>
    </w:p>
    <w:p w14:paraId="335BB894" w14:textId="0B24E547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У сущностей есть атрибуты — характеристики, которые их описывают. Например, атрибутами сущности «Аэропорт» будут код, адрес, номер телефона. Атрибуты есть у каждого экземпляра сущности, но у них разные значения. У аэропортов «Домодедово» и «Воронеж» есть одинаковый атрибут «Адрес», но у каждого из них разное значение этого атрибута.</w:t>
      </w:r>
    </w:p>
    <w:p w14:paraId="7919CDA1" w14:textId="217C9994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 xml:space="preserve">Собрав все сущности будущего проекта, системный аналитик выясняет, как они связаны между собой, и составляет ER-модель (сокр. от </w:t>
      </w:r>
      <w:proofErr w:type="spellStart"/>
      <w:r w:rsidRPr="006B4B97">
        <w:rPr>
          <w:color w:val="000000"/>
        </w:rPr>
        <w:t>entity</w:t>
      </w:r>
      <w:proofErr w:type="spellEnd"/>
      <w:r w:rsidRPr="006B4B97">
        <w:rPr>
          <w:color w:val="000000"/>
        </w:rPr>
        <w:t>–</w:t>
      </w:r>
      <w:proofErr w:type="spellStart"/>
      <w:r w:rsidRPr="006B4B97">
        <w:rPr>
          <w:color w:val="000000"/>
        </w:rPr>
        <w:t>relationship</w:t>
      </w:r>
      <w:proofErr w:type="spellEnd"/>
      <w:r w:rsidRPr="006B4B97">
        <w:rPr>
          <w:color w:val="000000"/>
        </w:rPr>
        <w:t xml:space="preserve"> модель или модель «сущность-связь»). В модели есть три типа связей:</w:t>
      </w:r>
    </w:p>
    <w:p w14:paraId="6DF2847C" w14:textId="77777777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●</w:t>
      </w:r>
      <w:r w:rsidRPr="006B4B97">
        <w:rPr>
          <w:color w:val="000000"/>
        </w:rPr>
        <w:tab/>
        <w:t>«Один-к-одному» — один экземпляр сущности связан только с одним экземпляром другой сущности. Например, пассажир рейса и его место в самолете.</w:t>
      </w:r>
    </w:p>
    <w:p w14:paraId="0BD17193" w14:textId="77777777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●</w:t>
      </w:r>
      <w:r w:rsidRPr="006B4B97">
        <w:rPr>
          <w:color w:val="000000"/>
        </w:rPr>
        <w:tab/>
        <w:t>«Один-ко-многим» — один экземпляр сущности связан со множеством экземпляров другой сущности. Например, у одного пассажира может быть несколько единиц багажа, при этом каждая единица багажа может быть связана только с одним пассажиром.</w:t>
      </w:r>
    </w:p>
    <w:p w14:paraId="3BAFFADF" w14:textId="7CFED6DC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●</w:t>
      </w:r>
      <w:r w:rsidRPr="006B4B97">
        <w:rPr>
          <w:color w:val="000000"/>
        </w:rPr>
        <w:tab/>
        <w:t xml:space="preserve">«Многие-ко-многим» — множество экземпляров одной сущности связаны со множеством экземпляров другой сущности. Например, аэропорт обслуживает несколько </w:t>
      </w:r>
      <w:r w:rsidRPr="006B4B97">
        <w:rPr>
          <w:color w:val="000000"/>
        </w:rPr>
        <w:lastRenderedPageBreak/>
        <w:t>авиакомпаний. При этом каждая авиакомпания может обслуживаться в нескольких аэропортах.</w:t>
      </w:r>
    </w:p>
    <w:p w14:paraId="173B08CC" w14:textId="5E57217D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drawing>
          <wp:inline distT="0" distB="0" distL="0" distR="0" wp14:anchorId="4FAC8F7A" wp14:editId="2191E08D">
            <wp:extent cx="3478306" cy="2098138"/>
            <wp:effectExtent l="0" t="0" r="1905" b="0"/>
            <wp:docPr id="1757955079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5079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385" cy="21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FDD6" w14:textId="064005C6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drawing>
          <wp:inline distT="0" distB="0" distL="0" distR="0" wp14:anchorId="612A38DF" wp14:editId="5A0840BD">
            <wp:extent cx="4760259" cy="2783390"/>
            <wp:effectExtent l="0" t="0" r="2540" b="0"/>
            <wp:docPr id="172542153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153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7148" cy="27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0C45" w14:textId="224A1A56" w:rsidR="006B4B97" w:rsidRDefault="006B4B97" w:rsidP="006B4B97">
      <w:pPr>
        <w:pStyle w:val="ac"/>
        <w:rPr>
          <w:color w:val="000000"/>
        </w:rPr>
      </w:pPr>
      <w:r>
        <w:rPr>
          <w:color w:val="000000"/>
        </w:rPr>
        <w:t>Ограничения целостности:</w:t>
      </w:r>
    </w:p>
    <w:p w14:paraId="20F7B267" w14:textId="3EBA2203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NOT NULL гарантирует, что в столбце таблицы не будет значений NULL. То есть при вставке новой или обновлении существующей строки столбец, для которого установлено ограничение, не должен остаться пустым.</w:t>
      </w:r>
    </w:p>
    <w:p w14:paraId="71ED85BC" w14:textId="655FD6ED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Ограничение UNIQUE используется для того, чтобы гарантировать уникальность значений в столбцах.</w:t>
      </w:r>
    </w:p>
    <w:p w14:paraId="090F3F19" w14:textId="25E0BBD8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Ограничение PRIMARY KEY используется для уникальной идентификации каждой записи в таблице. Ограничение первичного ключа предотвращает дублирование информации и гарантирует, что значения в столбце (или группе столбцов) не будут пустыми (NULL).</w:t>
      </w:r>
    </w:p>
    <w:p w14:paraId="3CE581A8" w14:textId="425ADC66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 xml:space="preserve">Внешний ключ </w:t>
      </w:r>
      <w:r w:rsidR="00BD460C">
        <w:rPr>
          <w:color w:val="000000"/>
        </w:rPr>
        <w:t>(</w:t>
      </w:r>
      <w:r w:rsidR="00BD460C">
        <w:rPr>
          <w:color w:val="000000"/>
          <w:lang w:val="en-US"/>
        </w:rPr>
        <w:t>FOREIGN</w:t>
      </w:r>
      <w:r w:rsidR="00BD460C" w:rsidRPr="00BD460C">
        <w:rPr>
          <w:color w:val="000000"/>
        </w:rPr>
        <w:t xml:space="preserve"> </w:t>
      </w:r>
      <w:r w:rsidR="00BD460C">
        <w:rPr>
          <w:color w:val="000000"/>
          <w:lang w:val="en-US"/>
        </w:rPr>
        <w:t>KEY</w:t>
      </w:r>
      <w:r w:rsidR="00BD460C" w:rsidRPr="00BD460C">
        <w:rPr>
          <w:color w:val="000000"/>
        </w:rPr>
        <w:t xml:space="preserve">) </w:t>
      </w:r>
      <w:r w:rsidRPr="006B4B97">
        <w:rPr>
          <w:color w:val="000000"/>
        </w:rPr>
        <w:t>определяет связь между столбцами дочерней таблицы и столбцами родительской таблицы.</w:t>
      </w:r>
    </w:p>
    <w:p w14:paraId="4BABD0C3" w14:textId="77777777" w:rsidR="006B4B97" w:rsidRPr="006B4B97" w:rsidRDefault="006B4B97" w:rsidP="006B4B97">
      <w:pPr>
        <w:pStyle w:val="ac"/>
        <w:rPr>
          <w:color w:val="000000"/>
        </w:rPr>
      </w:pPr>
    </w:p>
    <w:p w14:paraId="2D439FD9" w14:textId="2C98926A" w:rsidR="006B4B97" w:rsidRP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lastRenderedPageBreak/>
        <w:t>Родительская таблица — это таблица, которая содержит первичный ключ или уникальный идентификатор каждой записи. Другие таблицы, связанные с ней, ссылаются на ее первичный ключ через внешний.</w:t>
      </w:r>
    </w:p>
    <w:p w14:paraId="50EE9867" w14:textId="16580341" w:rsidR="006B4B97" w:rsidRDefault="006B4B97" w:rsidP="006B4B97">
      <w:pPr>
        <w:pStyle w:val="ac"/>
        <w:rPr>
          <w:color w:val="000000"/>
        </w:rPr>
      </w:pPr>
      <w:r w:rsidRPr="006B4B97">
        <w:rPr>
          <w:color w:val="000000"/>
        </w:rPr>
        <w:t>Дочерняя таблица — это таблица, которая содержит внешний ключ и с его помощью ссылается на первичный ключ родительской таблицы.</w:t>
      </w:r>
    </w:p>
    <w:p w14:paraId="4B8612D8" w14:textId="17F4A39A" w:rsidR="006B4B97" w:rsidRDefault="00BD460C" w:rsidP="006B4B97">
      <w:pPr>
        <w:pStyle w:val="ac"/>
        <w:rPr>
          <w:color w:val="000000"/>
        </w:rPr>
      </w:pPr>
      <w:r w:rsidRPr="00BD460C">
        <w:rPr>
          <w:color w:val="000000"/>
        </w:rPr>
        <w:t>CHECK проверяет, соответствуют ли значения в столбце заданным условиям, и запрещает вставку или обновление строк, которые не соответствуют этим условиям.</w:t>
      </w:r>
    </w:p>
    <w:p w14:paraId="4E64CEAA" w14:textId="6E8ADED8" w:rsidR="00BD460C" w:rsidRDefault="00BD460C" w:rsidP="006B4B97">
      <w:pPr>
        <w:pStyle w:val="ac"/>
        <w:rPr>
          <w:color w:val="000000"/>
        </w:rPr>
      </w:pPr>
      <w:r w:rsidRPr="00BD460C">
        <w:rPr>
          <w:color w:val="000000"/>
        </w:rPr>
        <w:t>DEFAULT определяет для столбца значение по умолчанию. То есть, если вставляемая строка не содержит значения для этого столбца, будет использоваться значение по умолчанию. DEFAULT можно применять к любому столбцу, независимо от его типа данных.</w:t>
      </w:r>
    </w:p>
    <w:p w14:paraId="31BF5483" w14:textId="3D09AA44" w:rsidR="00682610" w:rsidRDefault="00682610" w:rsidP="00682610">
      <w:pPr>
        <w:pStyle w:val="ac"/>
        <w:numPr>
          <w:ilvl w:val="0"/>
          <w:numId w:val="2"/>
        </w:numPr>
        <w:rPr>
          <w:color w:val="000000"/>
          <w:lang w:val="en-US"/>
        </w:rPr>
      </w:pPr>
      <w:r>
        <w:rPr>
          <w:color w:val="000000"/>
          <w:lang w:val="en-US"/>
        </w:rPr>
        <w:t>DDL</w:t>
      </w:r>
    </w:p>
    <w:p w14:paraId="05495B99" w14:textId="31FABDCC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 xml:space="preserve">DDL (Data Definition Language) </w:t>
      </w:r>
      <w:proofErr w:type="gramStart"/>
      <w:r w:rsidRPr="00682610">
        <w:rPr>
          <w:color w:val="000000"/>
        </w:rPr>
        <w:t>- это</w:t>
      </w:r>
      <w:proofErr w:type="gramEnd"/>
      <w:r w:rsidRPr="00682610">
        <w:rPr>
          <w:color w:val="000000"/>
        </w:rPr>
        <w:t xml:space="preserve"> подмножество языка SQL, используемое для определения структуры базы данных и ее объектов, таких как таблицы, представления, индексы и процедуры. DDL Операторы используются для создания, изменения и удаления объектов базы данных</w:t>
      </w:r>
      <w:r>
        <w:rPr>
          <w:color w:val="000000"/>
        </w:rPr>
        <w:t>.</w:t>
      </w:r>
    </w:p>
    <w:p w14:paraId="49DBE47A" w14:textId="7D6362EB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>CREATE: Этот оператор создает новый объект базы данных, такой как таблица, представление или индекс.</w:t>
      </w:r>
    </w:p>
    <w:p w14:paraId="4FE00FA8" w14:textId="15024A82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 xml:space="preserve">ALTER позволяет изменять текущие объекты базы данных. Например, добавлять новые столбцы, изменять тип </w:t>
      </w:r>
      <w:proofErr w:type="gramStart"/>
      <w:r w:rsidRPr="00682610">
        <w:rPr>
          <w:color w:val="000000"/>
        </w:rPr>
        <w:t>уже существующих</w:t>
      </w:r>
      <w:proofErr w:type="gramEnd"/>
      <w:r w:rsidRPr="00682610">
        <w:rPr>
          <w:color w:val="000000"/>
        </w:rPr>
        <w:t>, удалять столбцы и так далее.</w:t>
      </w:r>
    </w:p>
    <w:p w14:paraId="23F7C599" w14:textId="5ADF839C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 xml:space="preserve">DROP применяется для удаления объектов (таблицы, индексы и так далее) базы данных. Использовать DROP нужно с осторожностью, так как удаленные данные не подлежат восстановлению. </w:t>
      </w:r>
    </w:p>
    <w:p w14:paraId="7467A5BF" w14:textId="1B6E8FE9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>TRUNCATE: Этот оператор используется для удаления всех строк в таблице, но в отличие от оператора DROP он сохраняет структуру таблицы и индексы.</w:t>
      </w:r>
    </w:p>
    <w:p w14:paraId="41EB8C90" w14:textId="7B56F744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>RENAME: Этот оператор используется для переименования существующего объекта базы данных.</w:t>
      </w:r>
    </w:p>
    <w:p w14:paraId="0C705B59" w14:textId="40CAB856" w:rsidR="00682610" w:rsidRDefault="00682610" w:rsidP="00682610">
      <w:pPr>
        <w:pStyle w:val="ac"/>
        <w:numPr>
          <w:ilvl w:val="0"/>
          <w:numId w:val="2"/>
        </w:numPr>
        <w:rPr>
          <w:color w:val="000000"/>
          <w:lang w:val="en-US"/>
        </w:rPr>
      </w:pPr>
      <w:r>
        <w:rPr>
          <w:color w:val="000000"/>
          <w:lang w:val="en-US"/>
        </w:rPr>
        <w:t>DML</w:t>
      </w:r>
    </w:p>
    <w:p w14:paraId="7DCD1C7C" w14:textId="5D55D5B5" w:rsidR="00682610" w:rsidRDefault="00682610" w:rsidP="00682610">
      <w:pPr>
        <w:pStyle w:val="ac"/>
        <w:rPr>
          <w:color w:val="000000"/>
        </w:rPr>
      </w:pPr>
      <w:r w:rsidRPr="00682610">
        <w:rPr>
          <w:color w:val="000000"/>
        </w:rPr>
        <w:t xml:space="preserve">DML (Data </w:t>
      </w:r>
      <w:proofErr w:type="spellStart"/>
      <w:r w:rsidRPr="00682610">
        <w:rPr>
          <w:color w:val="000000"/>
        </w:rPr>
        <w:t>Manipulation</w:t>
      </w:r>
      <w:proofErr w:type="spellEnd"/>
      <w:r w:rsidRPr="00682610">
        <w:rPr>
          <w:color w:val="000000"/>
        </w:rPr>
        <w:t xml:space="preserve"> Language) </w:t>
      </w:r>
      <w:proofErr w:type="gramStart"/>
      <w:r w:rsidRPr="00682610">
        <w:rPr>
          <w:color w:val="000000"/>
        </w:rPr>
        <w:t>- это</w:t>
      </w:r>
      <w:proofErr w:type="gramEnd"/>
      <w:r w:rsidRPr="00682610">
        <w:rPr>
          <w:color w:val="000000"/>
        </w:rPr>
        <w:t xml:space="preserve"> подмножество языка SQL, котор</w:t>
      </w:r>
      <w:r>
        <w:rPr>
          <w:color w:val="000000"/>
        </w:rPr>
        <w:t xml:space="preserve">ое </w:t>
      </w:r>
      <w:r w:rsidRPr="00682610">
        <w:rPr>
          <w:color w:val="000000"/>
        </w:rPr>
        <w:t>применя</w:t>
      </w:r>
      <w:r>
        <w:rPr>
          <w:color w:val="000000"/>
        </w:rPr>
        <w:t>е</w:t>
      </w:r>
      <w:r w:rsidRPr="00682610">
        <w:rPr>
          <w:color w:val="000000"/>
        </w:rPr>
        <w:t>тся для работы с данными, которые уже хранятся в базе данных. DML Операторы используются для вставки, обновления и удаления данных в базе данных.</w:t>
      </w:r>
    </w:p>
    <w:p w14:paraId="7C01AB55" w14:textId="1B4A0F99" w:rsidR="00682610" w:rsidRDefault="00CF073C" w:rsidP="00682610">
      <w:pPr>
        <w:pStyle w:val="ac"/>
        <w:rPr>
          <w:color w:val="000000"/>
        </w:rPr>
      </w:pPr>
      <w:r w:rsidRPr="00CF073C">
        <w:rPr>
          <w:color w:val="000000"/>
        </w:rPr>
        <w:t>SELECT применяется для извлечения данных из базы данных. Можно выбрать одну, несколько, или сразу все столбцы таблицы.</w:t>
      </w:r>
    </w:p>
    <w:p w14:paraId="0C13D5A4" w14:textId="46AB3615" w:rsidR="00CF073C" w:rsidRDefault="00CF073C" w:rsidP="00682610">
      <w:pPr>
        <w:pStyle w:val="ac"/>
        <w:rPr>
          <w:color w:val="000000"/>
        </w:rPr>
      </w:pPr>
      <w:r w:rsidRPr="00CF073C">
        <w:rPr>
          <w:color w:val="000000"/>
        </w:rPr>
        <w:t>INSERT: Этот оператор используется для вставки новых данных в таблицу.</w:t>
      </w:r>
      <w:r>
        <w:rPr>
          <w:color w:val="000000"/>
        </w:rPr>
        <w:t xml:space="preserve"> </w:t>
      </w:r>
      <w:r w:rsidRPr="00CF073C">
        <w:rPr>
          <w:color w:val="000000"/>
        </w:rPr>
        <w:t>INSERT INTO применяется для добавления новых строк в таблицу.</w:t>
      </w:r>
    </w:p>
    <w:p w14:paraId="30FC2527" w14:textId="77777777" w:rsidR="00CF073C" w:rsidRDefault="00CF073C" w:rsidP="00682610">
      <w:pPr>
        <w:pStyle w:val="ac"/>
        <w:rPr>
          <w:color w:val="000000"/>
        </w:rPr>
      </w:pPr>
      <w:r w:rsidRPr="00CF073C">
        <w:rPr>
          <w:color w:val="000000"/>
        </w:rPr>
        <w:lastRenderedPageBreak/>
        <w:t>DELETE применяется для удаления из таблицы тех записей, которые соответствуют заданному с помощью WHERE условию.</w:t>
      </w:r>
      <w:r>
        <w:rPr>
          <w:color w:val="000000"/>
        </w:rPr>
        <w:t xml:space="preserve"> </w:t>
      </w:r>
      <w:r w:rsidRPr="00CF073C">
        <w:rPr>
          <w:color w:val="000000"/>
        </w:rPr>
        <w:t>Если условие с WHERE отсутствует, то удалены будут все записи данной таблицы.</w:t>
      </w:r>
      <w:r>
        <w:rPr>
          <w:color w:val="000000"/>
        </w:rPr>
        <w:t xml:space="preserve"> </w:t>
      </w:r>
    </w:p>
    <w:p w14:paraId="7618D57B" w14:textId="1978D05E" w:rsidR="00CF073C" w:rsidRDefault="00CF073C" w:rsidP="00682610">
      <w:pPr>
        <w:pStyle w:val="ac"/>
        <w:rPr>
          <w:color w:val="000000"/>
        </w:rPr>
      </w:pPr>
      <w:r w:rsidRPr="00CF073C">
        <w:rPr>
          <w:color w:val="000000"/>
        </w:rPr>
        <w:t>UPDATE: Этот оператор используется для изменения существующих данных в таблице.</w:t>
      </w:r>
      <w:r>
        <w:rPr>
          <w:color w:val="000000"/>
        </w:rPr>
        <w:t xml:space="preserve"> </w:t>
      </w:r>
      <w:r w:rsidRPr="00CF073C">
        <w:rPr>
          <w:color w:val="000000"/>
        </w:rPr>
        <w:t>Если пропустить оператор WHERE в таком случае, то будут изменены все данные в таблице, поэтому при обновлении данных важно обращать внимание на его наличие.</w:t>
      </w:r>
    </w:p>
    <w:p w14:paraId="5283579C" w14:textId="77777777" w:rsidR="00682610" w:rsidRPr="00682610" w:rsidRDefault="00682610" w:rsidP="00682610">
      <w:pPr>
        <w:pStyle w:val="ac"/>
        <w:rPr>
          <w:color w:val="000000"/>
        </w:rPr>
      </w:pPr>
    </w:p>
    <w:p w14:paraId="25457D1E" w14:textId="77777777" w:rsidR="00BD460C" w:rsidRDefault="00BD460C" w:rsidP="006B4B97">
      <w:pPr>
        <w:pStyle w:val="ac"/>
        <w:rPr>
          <w:color w:val="000000"/>
        </w:rPr>
      </w:pPr>
    </w:p>
    <w:p w14:paraId="058188E5" w14:textId="6A38EFCB" w:rsidR="006B4B97" w:rsidRDefault="006B4B97" w:rsidP="006B4B97">
      <w:pPr>
        <w:pStyle w:val="ac"/>
        <w:rPr>
          <w:color w:val="000000"/>
        </w:rPr>
      </w:pPr>
    </w:p>
    <w:p w14:paraId="5E93E159" w14:textId="77777777" w:rsidR="006B4B97" w:rsidRPr="00701234" w:rsidRDefault="006B4B97" w:rsidP="006B4B97">
      <w:pPr>
        <w:pStyle w:val="ac"/>
        <w:rPr>
          <w:color w:val="000000"/>
        </w:rPr>
      </w:pPr>
    </w:p>
    <w:sectPr w:rsidR="006B4B97" w:rsidRPr="00701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012"/>
    <w:multiLevelType w:val="multilevel"/>
    <w:tmpl w:val="48E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D2E9B"/>
    <w:multiLevelType w:val="multilevel"/>
    <w:tmpl w:val="64AE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B4EDB"/>
    <w:multiLevelType w:val="hybridMultilevel"/>
    <w:tmpl w:val="4F364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50E94"/>
    <w:multiLevelType w:val="multilevel"/>
    <w:tmpl w:val="06D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34880">
    <w:abstractNumId w:val="1"/>
  </w:num>
  <w:num w:numId="2" w16cid:durableId="1131165226">
    <w:abstractNumId w:val="2"/>
  </w:num>
  <w:num w:numId="3" w16cid:durableId="1097750966">
    <w:abstractNumId w:val="0"/>
  </w:num>
  <w:num w:numId="4" w16cid:durableId="847251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7"/>
    <w:rsid w:val="00081DE7"/>
    <w:rsid w:val="00421EFB"/>
    <w:rsid w:val="004B4032"/>
    <w:rsid w:val="005459FC"/>
    <w:rsid w:val="00682610"/>
    <w:rsid w:val="006B4B97"/>
    <w:rsid w:val="006C6BE2"/>
    <w:rsid w:val="00701234"/>
    <w:rsid w:val="007421E9"/>
    <w:rsid w:val="00B0348E"/>
    <w:rsid w:val="00BD460C"/>
    <w:rsid w:val="00CF073C"/>
    <w:rsid w:val="00D6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8B31D"/>
  <w15:chartTrackingRefBased/>
  <w15:docId w15:val="{683A7909-7752-E148-8220-69CDD369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D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D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D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D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DE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0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6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Байбурина Карина Ильшатовна</dc:creator>
  <cp:keywords/>
  <dc:description/>
  <cp:lastModifiedBy>Байбурина Карина Ильшатовна</cp:lastModifiedBy>
  <cp:revision>4</cp:revision>
  <dcterms:created xsi:type="dcterms:W3CDTF">2025-02-24T13:34:00Z</dcterms:created>
  <dcterms:modified xsi:type="dcterms:W3CDTF">2025-02-24T14:15:00Z</dcterms:modified>
</cp:coreProperties>
</file>