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68" w:x="3888" w:y="1762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NWMIPP+TimesNewRomanPS-BoldMT"/>
          <w:color w:val="000000"/>
          <w:spacing w:val="0"/>
          <w:sz w:val="36"/>
        </w:rPr>
      </w:pPr>
      <w:r>
        <w:rPr>
          <w:rFonts w:ascii="NWMIPP+TimesNewRomanPS-BoldMT"/>
          <w:color w:val="000000"/>
          <w:spacing w:val="0"/>
          <w:sz w:val="36"/>
        </w:rPr>
        <w:t>4P</w:t>
      </w:r>
      <w:r>
        <w:rPr>
          <w:rFonts w:ascii="NWMIPP+TimesNewRomanPS-BoldMT"/>
          <w:color w:val="000000"/>
          <w:spacing w:val="0"/>
          <w:sz w:val="36"/>
        </w:rPr>
        <w:t xml:space="preserve"> </w:t>
      </w:r>
      <w:r>
        <w:rPr>
          <w:rFonts w:ascii="NWMIPP+TimesNewRomanPS-BoldMT"/>
          <w:color w:val="000000"/>
          <w:spacing w:val="0"/>
          <w:sz w:val="36"/>
        </w:rPr>
        <w:t>Mobile</w:t>
      </w:r>
      <w:r>
        <w:rPr>
          <w:rFonts w:ascii="NWMIPP+TimesNewRomanPS-BoldMT"/>
          <w:color w:val="000000"/>
          <w:spacing w:val="1"/>
          <w:sz w:val="36"/>
        </w:rPr>
        <w:t xml:space="preserve"> </w:t>
      </w:r>
      <w:r>
        <w:rPr>
          <w:rFonts w:ascii="NWMIPP+TimesNewRomanPS-BoldMT"/>
          <w:color w:val="000000"/>
          <w:spacing w:val="0"/>
          <w:sz w:val="36"/>
        </w:rPr>
        <w:t>Data</w:t>
      </w:r>
      <w:r>
        <w:rPr>
          <w:rFonts w:ascii="NWMIPP+TimesNewRomanPS-BoldMT"/>
          <w:color w:val="000000"/>
          <w:spacing w:val="0"/>
          <w:sz w:val="36"/>
        </w:rPr>
        <w:t xml:space="preserve"> </w:t>
      </w:r>
      <w:r>
        <w:rPr>
          <w:rFonts w:ascii="NWMIPP+TimesNewRomanPS-BoldMT"/>
          <w:color w:val="000000"/>
          <w:spacing w:val="0"/>
          <w:sz w:val="36"/>
        </w:rPr>
        <w:t>Processing</w:t>
      </w:r>
      <w:r>
        <w:rPr>
          <w:rFonts w:ascii="NWMIPP+TimesNewRomanPS-BoldMT"/>
          <w:color w:val="000000"/>
          <w:spacing w:val="0"/>
          <w:sz w:val="36"/>
        </w:rPr>
      </w:r>
    </w:p>
    <w:p>
      <w:pPr>
        <w:pStyle w:val="Normal"/>
        <w:framePr w:w="2893" w:x="1152" w:y="240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NWMIPP+TimesNewRomanPS-BoldMT"/>
          <w:color w:val="000000"/>
          <w:spacing w:val="0"/>
          <w:sz w:val="24"/>
        </w:rPr>
        <w:t>Date</w:t>
      </w:r>
      <w:r>
        <w:rPr>
          <w:rFonts w:ascii="NWMIPP+TimesNewRomanPS-BoldMT"/>
          <w:color w:val="000000"/>
          <w:spacing w:val="0"/>
          <w:sz w:val="24"/>
        </w:rPr>
        <w:t xml:space="preserve"> </w:t>
      </w:r>
      <w:r>
        <w:rPr>
          <w:rFonts w:ascii="NWMIPP+TimesNewRomanPS-BoldMT"/>
          <w:color w:val="000000"/>
          <w:spacing w:val="0"/>
          <w:sz w:val="24"/>
        </w:rPr>
        <w:t>Posted:</w:t>
      </w:r>
      <w:r>
        <w:rPr>
          <w:rFonts w:ascii="NWMIPP+TimesNewRomanPS-BoldMT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21-Aug-2018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2" w:x="1152" w:y="290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NWMIPP+TimesNewRomanPS-BoldMT"/>
          <w:color w:val="000000"/>
          <w:spacing w:val="0"/>
          <w:sz w:val="24"/>
        </w:rPr>
        <w:t>Publication:</w:t>
      </w:r>
      <w:r>
        <w:rPr>
          <w:rFonts w:ascii="NWMIPP+TimesNewRomanPS-BoldMT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Jane's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Railways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01" w:x="9593" w:y="347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QIUPRU+TimesNewRomanPS-BoldItalicMT"/>
          <w:color w:val="000000"/>
          <w:spacing w:val="0"/>
          <w:sz w:val="24"/>
        </w:rPr>
        <w:t>VERIFIED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84" w:x="1152" w:y="395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Germania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15,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I-35127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Padova,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Italy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84" w:x="1152" w:y="3957"/>
        <w:widowControl w:val="off"/>
        <w:autoSpaceDE w:val="off"/>
        <w:autoSpaceDN w:val="off"/>
        <w:spacing w:before="24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Tel: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(+39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049)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806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98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11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Fax: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(+39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049)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806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98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43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84" w:x="1152" w:y="3957"/>
        <w:widowControl w:val="off"/>
        <w:autoSpaceDE w:val="off"/>
        <w:autoSpaceDN w:val="off"/>
        <w:spacing w:before="24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email: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info@4p-online.com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33" w:x="1152" w:y="547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Web:</w:t>
      </w:r>
      <w:r>
        <w:rPr>
          <w:rFonts w:ascii="RDCMDD+TimesNewRomanPSMT"/>
          <w:color w:val="0000ee"/>
          <w:spacing w:val="0"/>
          <w:sz w:val="24"/>
          <w:u w:val="single"/>
        </w:rPr>
        <w:t>www.4p-online.com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713" w:x="1152" w:y="598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NWMIPP+TimesNewRomanPS-BoldMT"/>
          <w:color w:val="000000"/>
          <w:spacing w:val="0"/>
          <w:sz w:val="24"/>
          <w:u w:val="single"/>
        </w:rPr>
      </w:pPr>
      <w:r>
        <w:rPr>
          <w:rFonts w:ascii="NWMIPP+TimesNewRomanPS-BoldMT"/>
          <w:color w:val="000000"/>
          <w:spacing w:val="0"/>
          <w:sz w:val="24"/>
          <w:u w:val="single"/>
        </w:rPr>
        <w:t>Key</w:t>
      </w:r>
      <w:r>
        <w:rPr>
          <w:rFonts w:ascii="NWMIPP+TimesNewRomanPS-BoldMT"/>
          <w:color w:val="000000"/>
          <w:spacing w:val="1"/>
          <w:sz w:val="24"/>
          <w:u w:val="single"/>
        </w:rPr>
        <w:t xml:space="preserve"> </w:t>
      </w:r>
      <w:r>
        <w:rPr>
          <w:rFonts w:ascii="NWMIPP+TimesNewRomanPS-BoldMT"/>
          <w:color w:val="000000"/>
          <w:spacing w:val="0"/>
          <w:sz w:val="24"/>
          <w:u w:val="single"/>
        </w:rPr>
        <w:t>personnel</w:t>
      </w:r>
      <w:r>
        <w:rPr>
          <w:rFonts w:ascii="NWMIPP+TimesNewRomanPS-BoldMT"/>
          <w:color w:val="000000"/>
          <w:spacing w:val="0"/>
          <w:sz w:val="24"/>
          <w:u w:val="single"/>
        </w:rPr>
      </w:r>
    </w:p>
    <w:p>
      <w:pPr>
        <w:pStyle w:val="Normal"/>
        <w:framePr w:w="2139" w:x="1152" w:y="666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Managing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Director: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886" w:x="6412" w:y="666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Silvano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Mansutti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26" w:x="1152" w:y="723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NWMIPP+TimesNewRomanPS-BoldMT"/>
          <w:color w:val="000000"/>
          <w:spacing w:val="0"/>
          <w:sz w:val="24"/>
          <w:u w:val="single"/>
        </w:rPr>
      </w:pPr>
      <w:r>
        <w:rPr>
          <w:rFonts w:ascii="NWMIPP+TimesNewRomanPS-BoldMT"/>
          <w:color w:val="000000"/>
          <w:spacing w:val="0"/>
          <w:sz w:val="24"/>
          <w:u w:val="single"/>
        </w:rPr>
        <w:t>Overview</w:t>
      </w:r>
      <w:r>
        <w:rPr>
          <w:rFonts w:ascii="NWMIPP+TimesNewRomanPS-BoldMT"/>
          <w:color w:val="000000"/>
          <w:spacing w:val="0"/>
          <w:sz w:val="24"/>
          <w:u w:val="single"/>
        </w:rPr>
      </w:r>
    </w:p>
    <w:p>
      <w:pPr>
        <w:pStyle w:val="Normal"/>
        <w:framePr w:w="9841" w:x="1152" w:y="773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4P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1989,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manufacturer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rugged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handheld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computers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41" w:x="1152" w:y="7737"/>
        <w:widowControl w:val="off"/>
        <w:autoSpaceDE w:val="off"/>
        <w:autoSpaceDN w:val="off"/>
        <w:spacing w:before="4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applications.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67" w:x="1152" w:y="854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NWMIPP+TimesNewRomanPS-BoldMT"/>
          <w:color w:val="000000"/>
          <w:spacing w:val="0"/>
          <w:sz w:val="24"/>
          <w:u w:val="single"/>
        </w:rPr>
      </w:pPr>
      <w:r>
        <w:rPr>
          <w:rFonts w:ascii="NWMIPP+TimesNewRomanPS-BoldMT"/>
          <w:color w:val="000000"/>
          <w:spacing w:val="0"/>
          <w:sz w:val="24"/>
          <w:u w:val="single"/>
        </w:rPr>
        <w:t>Product</w:t>
      </w:r>
      <w:r>
        <w:rPr>
          <w:rFonts w:ascii="NWMIPP+TimesNewRomanPS-BoldMT"/>
          <w:color w:val="000000"/>
          <w:spacing w:val="0"/>
          <w:sz w:val="24"/>
          <w:u w:val="single"/>
        </w:rPr>
      </w:r>
    </w:p>
    <w:p>
      <w:pPr>
        <w:pStyle w:val="Normal"/>
        <w:framePr w:w="9841" w:x="1152" w:y="905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FDA600-POS: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Multifunctional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all-in-one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handheld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printer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EFTPOS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841" w:x="1152" w:y="9054"/>
        <w:widowControl w:val="off"/>
        <w:autoSpaceDE w:val="off"/>
        <w:autoSpaceDN w:val="off"/>
        <w:spacing w:before="4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RDCMDD+TimesNewRomanPSMT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chip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pin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RDCMDD+TimesNewRomanPSMT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155" w:x="1152" w:y="15268"/>
        <w:widowControl w:val="off"/>
        <w:autoSpaceDE w:val="off"/>
        <w:autoSpaceDN w:val="off"/>
        <w:spacing w:before="0" w:after="0" w:line="14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Verdana" w:hAnsi="Verdana" w:cs="Verdana"/>
          <w:color w:val="f06c00"/>
          <w:spacing w:val="0"/>
          <w:sz w:val="12"/>
        </w:rPr>
        <w:t>©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2022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Jane</w:t>
      </w:r>
      <w:r>
        <w:rPr>
          <w:rFonts w:ascii="Verdana" w:hAnsi="Verdana" w:cs="Verdana"/>
          <w:color w:val="f06c00"/>
          <w:spacing w:val="0"/>
          <w:sz w:val="12"/>
        </w:rPr>
        <w:t>’</w:t>
      </w:r>
      <w:r>
        <w:rPr>
          <w:rFonts w:ascii="Verdana"/>
          <w:color w:val="f06c00"/>
          <w:spacing w:val="0"/>
          <w:sz w:val="12"/>
        </w:rPr>
        <w:t>s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Group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UK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Limited.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No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portion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of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this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report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may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be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reproduced,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reused,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or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otherwise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distributed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in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form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8155" w:x="1152" w:y="15268"/>
        <w:widowControl w:val="off"/>
        <w:autoSpaceDE w:val="off"/>
        <w:autoSpaceDN w:val="off"/>
        <w:spacing w:before="0" w:after="0" w:line="14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Verdana"/>
          <w:color w:val="f06c00"/>
          <w:spacing w:val="0"/>
          <w:sz w:val="12"/>
        </w:rPr>
        <w:t>without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prior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written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consent,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with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the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exception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of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internal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client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distribution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as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may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be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permitted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in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the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license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agreement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8155" w:x="1152" w:y="15268"/>
        <w:widowControl w:val="off"/>
        <w:autoSpaceDE w:val="off"/>
        <w:autoSpaceDN w:val="off"/>
        <w:spacing w:before="0" w:after="0" w:line="14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Verdana"/>
          <w:color w:val="f06c00"/>
          <w:spacing w:val="0"/>
          <w:sz w:val="12"/>
        </w:rPr>
        <w:t>between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client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and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Jane</w:t>
      </w:r>
      <w:r>
        <w:rPr>
          <w:rFonts w:ascii="Verdana" w:hAnsi="Verdana" w:cs="Verdana"/>
          <w:color w:val="f06c00"/>
          <w:spacing w:val="0"/>
          <w:sz w:val="12"/>
        </w:rPr>
        <w:t>’</w:t>
      </w:r>
      <w:r>
        <w:rPr>
          <w:rFonts w:ascii="Verdana"/>
          <w:color w:val="f06c00"/>
          <w:spacing w:val="0"/>
          <w:sz w:val="12"/>
        </w:rPr>
        <w:t>s.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Content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reproduced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or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redistributed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with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Jane</w:t>
      </w:r>
      <w:r>
        <w:rPr>
          <w:rFonts w:ascii="Verdana" w:hAnsi="Verdana" w:cs="Verdana"/>
          <w:color w:val="f06c00"/>
          <w:spacing w:val="0"/>
          <w:sz w:val="12"/>
        </w:rPr>
        <w:t>’</w:t>
      </w:r>
      <w:r>
        <w:rPr>
          <w:rFonts w:ascii="Verdana"/>
          <w:color w:val="f06c00"/>
          <w:spacing w:val="0"/>
          <w:sz w:val="12"/>
        </w:rPr>
        <w:t>s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permission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must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display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Jane</w:t>
      </w:r>
      <w:r>
        <w:rPr>
          <w:rFonts w:ascii="Verdana" w:hAnsi="Verdana" w:cs="Verdana"/>
          <w:color w:val="f06c00"/>
          <w:spacing w:val="0"/>
          <w:sz w:val="12"/>
        </w:rPr>
        <w:t>’</w:t>
      </w:r>
      <w:r>
        <w:rPr>
          <w:rFonts w:ascii="Verdana"/>
          <w:color w:val="f06c00"/>
          <w:spacing w:val="0"/>
          <w:sz w:val="12"/>
        </w:rPr>
        <w:t>s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legal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notices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and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8155" w:x="1152" w:y="15268"/>
        <w:widowControl w:val="off"/>
        <w:autoSpaceDE w:val="off"/>
        <w:autoSpaceDN w:val="off"/>
        <w:spacing w:before="0" w:after="0" w:line="14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Verdana"/>
          <w:color w:val="f06c00"/>
          <w:spacing w:val="0"/>
          <w:sz w:val="12"/>
        </w:rPr>
        <w:t>attributions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of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authorship.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The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information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contained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herein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is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from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sources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considered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reliable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but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its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accuracy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and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completeness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8155" w:x="1152" w:y="15268"/>
        <w:widowControl w:val="off"/>
        <w:autoSpaceDE w:val="off"/>
        <w:autoSpaceDN w:val="off"/>
        <w:spacing w:before="0" w:after="0" w:line="14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Verdana"/>
          <w:color w:val="f06c00"/>
          <w:spacing w:val="0"/>
          <w:sz w:val="12"/>
        </w:rPr>
        <w:t>are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not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warranted,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nor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are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the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opinions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and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analyses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which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are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based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upon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it,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and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to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the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extent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permitted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by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law,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Jane</w:t>
      </w:r>
      <w:r>
        <w:rPr>
          <w:rFonts w:ascii="Verdana" w:hAnsi="Verdana" w:cs="Verdana"/>
          <w:color w:val="f06c00"/>
          <w:spacing w:val="0"/>
          <w:sz w:val="12"/>
        </w:rPr>
        <w:t>’</w:t>
      </w:r>
      <w:r>
        <w:rPr>
          <w:rFonts w:ascii="Verdana"/>
          <w:color w:val="f06c00"/>
          <w:spacing w:val="0"/>
          <w:sz w:val="12"/>
        </w:rPr>
        <w:t>s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shall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not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8155" w:x="1152" w:y="15268"/>
        <w:widowControl w:val="off"/>
        <w:autoSpaceDE w:val="off"/>
        <w:autoSpaceDN w:val="off"/>
        <w:spacing w:before="0" w:after="0" w:line="14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Verdana"/>
          <w:color w:val="f06c00"/>
          <w:spacing w:val="0"/>
          <w:sz w:val="12"/>
        </w:rPr>
        <w:t>be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liable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for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errors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or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omissions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or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loss,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damage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or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expense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incurred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by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reliance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on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information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or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any</w:t>
      </w:r>
      <w:r>
        <w:rPr>
          <w:rFonts w:ascii="Times New Roman"/>
          <w:color w:val="f06c00"/>
          <w:spacing w:val="12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statement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8155" w:x="1152" w:y="15268"/>
        <w:widowControl w:val="off"/>
        <w:autoSpaceDE w:val="off"/>
        <w:autoSpaceDN w:val="off"/>
        <w:spacing w:before="0" w:after="0" w:line="146" w:lineRule="exact"/>
        <w:ind w:left="0" w:right="0" w:first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Verdana"/>
          <w:color w:val="f06c00"/>
          <w:spacing w:val="0"/>
          <w:sz w:val="12"/>
        </w:rPr>
        <w:t>contained</w:t>
      </w:r>
      <w:r>
        <w:rPr>
          <w:rFonts w:ascii="Times New Roman"/>
          <w:color w:val="f06c00"/>
          <w:spacing w:val="13"/>
          <w:sz w:val="12"/>
        </w:rPr>
        <w:t xml:space="preserve"> </w:t>
      </w:r>
      <w:r>
        <w:rPr>
          <w:rFonts w:ascii="Verdana"/>
          <w:color w:val="f06c00"/>
          <w:spacing w:val="0"/>
          <w:sz w:val="12"/>
        </w:rPr>
        <w:t>herein.</w:t>
      </w:r>
      <w:r>
        <w:rPr>
          <w:rFonts w:ascii="Times New Roman"/>
          <w:color w:val="000000"/>
          <w:spacing w:val="0"/>
          <w:sz w:val="12"/>
        </w:rPr>
      </w:r>
    </w:p>
    <w:p>
      <w:pPr>
        <w:pStyle w:val="Normal"/>
        <w:framePr w:w="1153" w:x="9841" w:y="15268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Verdana"/>
          <w:color w:val="f06c00"/>
          <w:spacing w:val="0"/>
          <w:sz w:val="16"/>
        </w:rPr>
        <w:t>Page</w:t>
      </w:r>
      <w:r>
        <w:rPr>
          <w:rFonts w:ascii="Times New Roman"/>
          <w:color w:val="f06c00"/>
          <w:spacing w:val="16"/>
          <w:sz w:val="16"/>
        </w:rPr>
        <w:t xml:space="preserve"> </w:t>
      </w:r>
      <w:r>
        <w:rPr>
          <w:rFonts w:ascii="Verdana"/>
          <w:color w:val="f06c00"/>
          <w:spacing w:val="0"/>
          <w:sz w:val="16"/>
        </w:rPr>
        <w:t>1</w:t>
      </w:r>
      <w:r>
        <w:rPr>
          <w:rFonts w:ascii="Times New Roman"/>
          <w:color w:val="f06c00"/>
          <w:spacing w:val="16"/>
          <w:sz w:val="16"/>
        </w:rPr>
        <w:t xml:space="preserve"> </w:t>
      </w:r>
      <w:r>
        <w:rPr>
          <w:rFonts w:ascii="Verdana"/>
          <w:color w:val="f06c00"/>
          <w:spacing w:val="0"/>
          <w:sz w:val="16"/>
        </w:rPr>
        <w:t>of</w:t>
      </w:r>
      <w:r>
        <w:rPr>
          <w:rFonts w:ascii="Times New Roman"/>
          <w:color w:val="f06c00"/>
          <w:spacing w:val="17"/>
          <w:sz w:val="16"/>
        </w:rPr>
        <w:t xml:space="preserve"> </w:t>
      </w:r>
      <w:r>
        <w:rPr>
          <w:rFonts w:ascii="Verdana"/>
          <w:color w:val="f06c00"/>
          <w:spacing w:val="0"/>
          <w:sz w:val="16"/>
        </w:rPr>
        <w:t>1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6.5999984741211pt;margin-top:67.1999969482422pt;z-index:-3;width:482.100006103516pt;height:3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2.75pt;margin-top:19.7999992370605pt;z-index:-7;width:76pt;height:29.7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51.0999984741211pt;margin-top:759.299987792969pt;z-index:-11;width:493.149993896484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-1pt;margin-top:-1pt;z-index:-1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47.5999984741211pt;margin-top:323.25pt;z-index:-19;width:500.600006103516pt;height:33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NWMIPP+TimesNewRomanPS-BoldMT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5C22A41-0000-0000-0000-000000000000}"/>
  </w:font>
  <w:font w:name="RDCMDD+TimesNewRomanPSMT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908B3550-0000-0000-0000-000000000000}"/>
  </w:font>
  <w:font w:name="QIUPRU+TimesNewRomanPS-BoldItal">
    <w:panose1 w:val="0202070306050509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B97B9DF9-0000-0000-0000-000000000000}"/>
  </w:font>
  <w:font w:name="Verdan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fontTable" Target="fontTable.xml" /><Relationship Id="rId8" Type="http://schemas.openxmlformats.org/officeDocument/2006/relationships/settings" Target="settings.xml" /><Relationship Id="rId9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211</Words>
  <Characters>1142</Characters>
  <Application>Aspose</Application>
  <DocSecurity>0</DocSecurity>
  <Lines>25</Lines>
  <Paragraphs>25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1317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study</dc:creator>
  <lastModifiedBy>study</lastModifiedBy>
  <revision>1</revision>
  <dcterms:created xmlns:xsi="http://www.w3.org/2001/XMLSchema-instance" xmlns:dcterms="http://purl.org/dc/terms/" xsi:type="dcterms:W3CDTF">2024-02-02T14:17:48+08:00</dcterms:created>
  <dcterms:modified xmlns:xsi="http://www.w3.org/2001/XMLSchema-instance" xmlns:dcterms="http://purl.org/dc/terms/" xsi:type="dcterms:W3CDTF">2024-02-02T14:17:48+08:00</dcterms:modified>
</coreProperties>
</file>