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101CF" w14:textId="02351E7D" w:rsidR="0008431E" w:rsidRPr="00B65A2D" w:rsidRDefault="007E615A" w:rsidP="00B65A2D">
      <w:pPr>
        <w:pStyle w:val="Heading2"/>
        <w:rPr>
          <w:rFonts w:ascii="Times New Roman" w:hAnsi="Times New Roman" w:cs="Times New Roman"/>
        </w:rPr>
      </w:pPr>
      <w:r w:rsidRPr="00B65A2D">
        <w:rPr>
          <w:rFonts w:ascii="Times New Roman" w:hAnsi="Times New Roman" w:cs="Times New Roman"/>
        </w:rPr>
        <w:t>Levelized cost of heat (LCOH) comparison of electric heat vs natural gas using EU E-PRTR facilities</w:t>
      </w:r>
    </w:p>
    <w:p w14:paraId="23C83A98" w14:textId="32C39AE5" w:rsidR="00523B8B" w:rsidRPr="00B65A2D" w:rsidRDefault="007E615A" w:rsidP="007E615A">
      <w:r w:rsidRPr="00B65A2D">
        <w:t>&lt;some kind of background with Jan Rosenow’s work on decarbonizing industrial heat</w:t>
      </w:r>
      <w:r w:rsidR="00523B8B" w:rsidRPr="00B65A2D">
        <w:t xml:space="preserve">. </w:t>
      </w:r>
      <w:r w:rsidR="00F0570D" w:rsidRPr="00B65A2D">
        <w:t>Show</w:t>
      </w:r>
      <w:r w:rsidR="00523B8B" w:rsidRPr="00B65A2D">
        <w:t xml:space="preserve"> motivation to decarbonize industrial heat with renewable resources, thermal heat battery and heat pumps vs natural gas baseline.</w:t>
      </w:r>
      <w:r w:rsidR="00F0570D" w:rsidRPr="00B65A2D">
        <w:t>&gt;</w:t>
      </w:r>
    </w:p>
    <w:p w14:paraId="55979E9D" w14:textId="3A25B74F" w:rsidR="00312639" w:rsidRPr="00B65A2D" w:rsidRDefault="00312639" w:rsidP="007E615A">
      <w:r w:rsidRPr="00B65A2D">
        <w:t>By comparing grid electricity with off-grid electricity, we show that the most cost competitive path is off-grid solar with thermal heat battery to supply clean thermal heat for manufacturing processes.</w:t>
      </w:r>
      <w:r w:rsidR="00C16ECF" w:rsidRPr="00B65A2D">
        <w:t xml:space="preserve"> The significant decrease in electricity prices shifts heat battery LCOH from 183.2 to 45.5. </w:t>
      </w:r>
      <w:r w:rsidR="0090672F" w:rsidRPr="00B65A2D">
        <w:t>With off grid electricity prices, all 110 sites have cheaper LCOH with heat battery pathway. With grid electricity prices, 99 of those sites have natural gas as the least cost pathway and 11 of the sites have heat pump as the cheapest pathway</w:t>
      </w:r>
      <w:r w:rsidR="000F7DD8" w:rsidRPr="00B65A2D">
        <w:t>, indicating a complete reversal with grid electricity prices</w:t>
      </w:r>
      <w:r w:rsidR="0090672F" w:rsidRPr="00B65A2D">
        <w:t xml:space="preserve">.  </w:t>
      </w:r>
    </w:p>
    <w:tbl>
      <w:tblPr>
        <w:tblStyle w:val="PlainTable3"/>
        <w:tblW w:w="0" w:type="auto"/>
        <w:tblLook w:val="04A0" w:firstRow="1" w:lastRow="0" w:firstColumn="1" w:lastColumn="0" w:noHBand="0" w:noVBand="1"/>
      </w:tblPr>
      <w:tblGrid>
        <w:gridCol w:w="3116"/>
        <w:gridCol w:w="3117"/>
        <w:gridCol w:w="3117"/>
      </w:tblGrid>
      <w:tr w:rsidR="0071593E" w:rsidRPr="00B65A2D" w14:paraId="053526CD" w14:textId="77777777" w:rsidTr="007159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6" w:type="dxa"/>
          </w:tcPr>
          <w:p w14:paraId="216BD86F" w14:textId="0F460595" w:rsidR="0071593E" w:rsidRPr="00B65A2D" w:rsidRDefault="00DB258C">
            <w:r w:rsidRPr="00B65A2D">
              <w:t>pathway</w:t>
            </w:r>
          </w:p>
        </w:tc>
        <w:tc>
          <w:tcPr>
            <w:tcW w:w="3117" w:type="dxa"/>
          </w:tcPr>
          <w:p w14:paraId="415AE88D" w14:textId="038B4E63" w:rsidR="0071593E" w:rsidRPr="00B65A2D" w:rsidRDefault="00DB258C">
            <w:pPr>
              <w:cnfStyle w:val="100000000000" w:firstRow="1" w:lastRow="0" w:firstColumn="0" w:lastColumn="0" w:oddVBand="0" w:evenVBand="0" w:oddHBand="0" w:evenHBand="0" w:firstRowFirstColumn="0" w:firstRowLastColumn="0" w:lastRowFirstColumn="0" w:lastRowLastColumn="0"/>
            </w:pPr>
            <w:r w:rsidRPr="00B65A2D">
              <w:t>Off-grid price</w:t>
            </w:r>
          </w:p>
        </w:tc>
        <w:tc>
          <w:tcPr>
            <w:tcW w:w="3117" w:type="dxa"/>
          </w:tcPr>
          <w:p w14:paraId="579834F9" w14:textId="798F2F90" w:rsidR="0071593E" w:rsidRPr="00B65A2D" w:rsidRDefault="00DB258C">
            <w:pPr>
              <w:cnfStyle w:val="100000000000" w:firstRow="1" w:lastRow="0" w:firstColumn="0" w:lastColumn="0" w:oddVBand="0" w:evenVBand="0" w:oddHBand="0" w:evenHBand="0" w:firstRowFirstColumn="0" w:firstRowLastColumn="0" w:lastRowFirstColumn="0" w:lastRowLastColumn="0"/>
            </w:pPr>
            <w:r w:rsidRPr="00B65A2D">
              <w:t>grid price</w:t>
            </w:r>
          </w:p>
        </w:tc>
      </w:tr>
      <w:tr w:rsidR="0071593E" w:rsidRPr="00B65A2D" w14:paraId="4058A868" w14:textId="77777777" w:rsidTr="00715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31E40FD" w14:textId="4BC2017E" w:rsidR="00DB258C" w:rsidRPr="00B65A2D" w:rsidRDefault="00DB258C">
            <w:pPr>
              <w:rPr>
                <w:b w:val="0"/>
                <w:bCs w:val="0"/>
                <w:caps w:val="0"/>
              </w:rPr>
            </w:pPr>
            <w:r w:rsidRPr="00B65A2D">
              <w:rPr>
                <w:b w:val="0"/>
                <w:bCs w:val="0"/>
              </w:rPr>
              <w:t>natural gas</w:t>
            </w:r>
          </w:p>
        </w:tc>
        <w:tc>
          <w:tcPr>
            <w:tcW w:w="3117" w:type="dxa"/>
          </w:tcPr>
          <w:p w14:paraId="1AB024CC" w14:textId="500B8DFB" w:rsidR="0071593E" w:rsidRPr="00B65A2D" w:rsidRDefault="00DB258C">
            <w:pPr>
              <w:cnfStyle w:val="000000100000" w:firstRow="0" w:lastRow="0" w:firstColumn="0" w:lastColumn="0" w:oddVBand="0" w:evenVBand="0" w:oddHBand="1" w:evenHBand="0" w:firstRowFirstColumn="0" w:firstRowLastColumn="0" w:lastRowFirstColumn="0" w:lastRowLastColumn="0"/>
            </w:pPr>
            <w:r w:rsidRPr="00B65A2D">
              <w:t>83.8</w:t>
            </w:r>
          </w:p>
        </w:tc>
        <w:tc>
          <w:tcPr>
            <w:tcW w:w="3117" w:type="dxa"/>
          </w:tcPr>
          <w:p w14:paraId="72805563" w14:textId="719513CF" w:rsidR="0071593E" w:rsidRPr="00B65A2D" w:rsidRDefault="009D4D37">
            <w:pPr>
              <w:cnfStyle w:val="000000100000" w:firstRow="0" w:lastRow="0" w:firstColumn="0" w:lastColumn="0" w:oddVBand="0" w:evenVBand="0" w:oddHBand="1" w:evenHBand="0" w:firstRowFirstColumn="0" w:firstRowLastColumn="0" w:lastRowFirstColumn="0" w:lastRowLastColumn="0"/>
            </w:pPr>
            <w:r w:rsidRPr="00B65A2D">
              <w:t>83.8</w:t>
            </w:r>
          </w:p>
        </w:tc>
      </w:tr>
      <w:tr w:rsidR="0071593E" w:rsidRPr="00B65A2D" w14:paraId="438E6A30" w14:textId="77777777" w:rsidTr="009D4D37">
        <w:trPr>
          <w:trHeight w:val="64"/>
        </w:trPr>
        <w:tc>
          <w:tcPr>
            <w:cnfStyle w:val="001000000000" w:firstRow="0" w:lastRow="0" w:firstColumn="1" w:lastColumn="0" w:oddVBand="0" w:evenVBand="0" w:oddHBand="0" w:evenHBand="0" w:firstRowFirstColumn="0" w:firstRowLastColumn="0" w:lastRowFirstColumn="0" w:lastRowLastColumn="0"/>
            <w:tcW w:w="3116" w:type="dxa"/>
          </w:tcPr>
          <w:p w14:paraId="244177C6" w14:textId="601236BE" w:rsidR="0071593E" w:rsidRPr="00B65A2D" w:rsidRDefault="00DB258C">
            <w:pPr>
              <w:rPr>
                <w:b w:val="0"/>
                <w:bCs w:val="0"/>
              </w:rPr>
            </w:pPr>
            <w:r w:rsidRPr="00B65A2D">
              <w:rPr>
                <w:b w:val="0"/>
                <w:bCs w:val="0"/>
              </w:rPr>
              <w:t>heat battery</w:t>
            </w:r>
          </w:p>
        </w:tc>
        <w:tc>
          <w:tcPr>
            <w:tcW w:w="3117" w:type="dxa"/>
          </w:tcPr>
          <w:p w14:paraId="7E9CA02C" w14:textId="4854D39B" w:rsidR="0071593E" w:rsidRPr="00B65A2D" w:rsidRDefault="00DB258C">
            <w:pPr>
              <w:cnfStyle w:val="000000000000" w:firstRow="0" w:lastRow="0" w:firstColumn="0" w:lastColumn="0" w:oddVBand="0" w:evenVBand="0" w:oddHBand="0" w:evenHBand="0" w:firstRowFirstColumn="0" w:firstRowLastColumn="0" w:lastRowFirstColumn="0" w:lastRowLastColumn="0"/>
              <w:rPr>
                <w:color w:val="C00000"/>
              </w:rPr>
            </w:pPr>
            <w:r w:rsidRPr="00B65A2D">
              <w:rPr>
                <w:color w:val="C00000"/>
              </w:rPr>
              <w:t>45.5</w:t>
            </w:r>
          </w:p>
        </w:tc>
        <w:tc>
          <w:tcPr>
            <w:tcW w:w="3117" w:type="dxa"/>
          </w:tcPr>
          <w:p w14:paraId="59B9AF7E" w14:textId="4EA7E867" w:rsidR="0071593E" w:rsidRPr="00B65A2D" w:rsidRDefault="009D4D37">
            <w:pPr>
              <w:cnfStyle w:val="000000000000" w:firstRow="0" w:lastRow="0" w:firstColumn="0" w:lastColumn="0" w:oddVBand="0" w:evenVBand="0" w:oddHBand="0" w:evenHBand="0" w:firstRowFirstColumn="0" w:firstRowLastColumn="0" w:lastRowFirstColumn="0" w:lastRowLastColumn="0"/>
              <w:rPr>
                <w:color w:val="C00000"/>
              </w:rPr>
            </w:pPr>
            <w:r w:rsidRPr="00B65A2D">
              <w:rPr>
                <w:color w:val="C00000"/>
              </w:rPr>
              <w:t>183.2</w:t>
            </w:r>
          </w:p>
        </w:tc>
      </w:tr>
      <w:tr w:rsidR="0071593E" w:rsidRPr="00B65A2D" w14:paraId="6A793FA9" w14:textId="77777777" w:rsidTr="00715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98C7F1D" w14:textId="17BA5547" w:rsidR="0071593E" w:rsidRPr="00B65A2D" w:rsidRDefault="00DB258C">
            <w:pPr>
              <w:rPr>
                <w:b w:val="0"/>
                <w:bCs w:val="0"/>
              </w:rPr>
            </w:pPr>
            <w:r w:rsidRPr="00B65A2D">
              <w:rPr>
                <w:b w:val="0"/>
                <w:bCs w:val="0"/>
              </w:rPr>
              <w:t>heat pump</w:t>
            </w:r>
          </w:p>
        </w:tc>
        <w:tc>
          <w:tcPr>
            <w:tcW w:w="3117" w:type="dxa"/>
          </w:tcPr>
          <w:p w14:paraId="2DF566E9" w14:textId="019772FA" w:rsidR="0071593E" w:rsidRPr="00B65A2D" w:rsidRDefault="00DB258C">
            <w:pPr>
              <w:cnfStyle w:val="000000100000" w:firstRow="0" w:lastRow="0" w:firstColumn="0" w:lastColumn="0" w:oddVBand="0" w:evenVBand="0" w:oddHBand="1" w:evenHBand="0" w:firstRowFirstColumn="0" w:firstRowLastColumn="0" w:lastRowFirstColumn="0" w:lastRowLastColumn="0"/>
            </w:pPr>
            <w:r w:rsidRPr="00B65A2D">
              <w:t>70.8</w:t>
            </w:r>
          </w:p>
        </w:tc>
        <w:tc>
          <w:tcPr>
            <w:tcW w:w="3117" w:type="dxa"/>
          </w:tcPr>
          <w:p w14:paraId="3A79B749" w14:textId="4D7F0B4A" w:rsidR="0071593E" w:rsidRPr="00B65A2D" w:rsidRDefault="009D4D37">
            <w:pPr>
              <w:cnfStyle w:val="000000100000" w:firstRow="0" w:lastRow="0" w:firstColumn="0" w:lastColumn="0" w:oddVBand="0" w:evenVBand="0" w:oddHBand="1" w:evenHBand="0" w:firstRowFirstColumn="0" w:firstRowLastColumn="0" w:lastRowFirstColumn="0" w:lastRowLastColumn="0"/>
            </w:pPr>
            <w:r w:rsidRPr="00B65A2D">
              <w:t>79.3</w:t>
            </w:r>
          </w:p>
        </w:tc>
      </w:tr>
    </w:tbl>
    <w:p w14:paraId="61B705CC" w14:textId="77777777" w:rsidR="0071593E" w:rsidRPr="00B65A2D" w:rsidRDefault="0071593E"/>
    <w:p w14:paraId="417C36C7" w14:textId="3BC3CDB2" w:rsidR="00312639" w:rsidRPr="00B65A2D" w:rsidRDefault="0008431E">
      <w:r w:rsidRPr="00B65A2D">
        <w:t xml:space="preserve">Inputs </w:t>
      </w:r>
      <w:r w:rsidR="00312639" w:rsidRPr="00B65A2D">
        <w:t>–</w:t>
      </w:r>
      <w:r w:rsidRPr="00B65A2D">
        <w:t xml:space="preserve"> data</w:t>
      </w:r>
    </w:p>
    <w:p w14:paraId="578C0BFF" w14:textId="77777777" w:rsidR="00785A64" w:rsidRPr="00B65A2D" w:rsidRDefault="00A575FA" w:rsidP="0008431E">
      <w:pPr>
        <w:pStyle w:val="ListParagraph"/>
        <w:numPr>
          <w:ilvl w:val="0"/>
          <w:numId w:val="1"/>
        </w:numPr>
      </w:pPr>
      <w:r w:rsidRPr="00B65A2D">
        <w:t>European Pollutant Release and Transfer Register (</w:t>
      </w:r>
      <w:r w:rsidR="0008431E" w:rsidRPr="00B65A2D">
        <w:t>EPRTR</w:t>
      </w:r>
      <w:r w:rsidRPr="00B65A2D">
        <w:t xml:space="preserve">) </w:t>
      </w:r>
      <w:r w:rsidR="00F53098" w:rsidRPr="00B65A2D">
        <w:t>contain emissions</w:t>
      </w:r>
      <w:r w:rsidRPr="00B65A2D">
        <w:t xml:space="preserve"> data </w:t>
      </w:r>
      <w:r w:rsidR="00F53098" w:rsidRPr="00B65A2D">
        <w:t xml:space="preserve">at the facility level. There is also a large combustion plant (LCP) dataset that </w:t>
      </w:r>
      <w:r w:rsidR="00AF67D6" w:rsidRPr="00B65A2D">
        <w:t>has the amount of fuel used at each plant and plants can be linked to individual facility. In total, there are 110 sites with linked LCP and fuel information across Europe and across different manufacturing activities</w:t>
      </w:r>
      <w:r w:rsidR="00C00730" w:rsidRPr="00B65A2D">
        <w:t xml:space="preserve"> in 2024</w:t>
      </w:r>
      <w:r w:rsidR="00AF67D6" w:rsidRPr="00B65A2D">
        <w:t>.</w:t>
      </w:r>
    </w:p>
    <w:p w14:paraId="06DC4DFE" w14:textId="08188AE1" w:rsidR="0008431E" w:rsidRPr="00B65A2D" w:rsidRDefault="00AF67D6" w:rsidP="00785A64">
      <w:pPr>
        <w:pStyle w:val="ListParagraph"/>
        <w:numPr>
          <w:ilvl w:val="1"/>
          <w:numId w:val="1"/>
        </w:numPr>
      </w:pPr>
      <w:r w:rsidRPr="00B65A2D">
        <w:t xml:space="preserve"> </w:t>
      </w:r>
      <w:r w:rsidR="00060FE9" w:rsidRPr="00B65A2D">
        <w:t>Activity 1c is removed because it is activity for thermal power stations and combustible installations which is</w:t>
      </w:r>
      <w:r w:rsidR="00902DCF" w:rsidRPr="00B65A2D">
        <w:t xml:space="preserve"> used to generate electricity</w:t>
      </w:r>
      <w:r w:rsidR="00060FE9" w:rsidRPr="00B65A2D">
        <w:t>.</w:t>
      </w:r>
      <w:r w:rsidR="00C92E9A" w:rsidRPr="00B65A2D">
        <w:t xml:space="preserve"> It is not used to for industrial process heat. </w:t>
      </w:r>
      <w:r w:rsidR="00060FE9" w:rsidRPr="00B65A2D">
        <w:t xml:space="preserve"> </w:t>
      </w:r>
    </w:p>
    <w:p w14:paraId="4E1FA6F8" w14:textId="2424B4C6" w:rsidR="00C92E9A" w:rsidRPr="00B65A2D" w:rsidRDefault="00C92E9A" w:rsidP="00785A64">
      <w:pPr>
        <w:pStyle w:val="ListParagraph"/>
        <w:numPr>
          <w:ilvl w:val="1"/>
          <w:numId w:val="1"/>
        </w:numPr>
      </w:pPr>
      <w:r w:rsidRPr="00B65A2D">
        <w:t xml:space="preserve">LCP only includes </w:t>
      </w:r>
      <w:r w:rsidR="00320DA1" w:rsidRPr="00B65A2D">
        <w:t>total rated input</w:t>
      </w:r>
      <w:r w:rsidRPr="00B65A2D">
        <w:t xml:space="preserve"> above 50 MW </w:t>
      </w:r>
      <w:r w:rsidR="00C675A9" w:rsidRPr="00B65A2D">
        <w:t xml:space="preserve">(maximum total energy it can burn per second) </w:t>
      </w:r>
      <w:r w:rsidRPr="00B65A2D">
        <w:t xml:space="preserve">which is why heat demand </w:t>
      </w:r>
      <w:r w:rsidR="00D336AC" w:rsidRPr="00B65A2D">
        <w:t>might be l</w:t>
      </w:r>
      <w:r w:rsidRPr="00B65A2D">
        <w:t xml:space="preserve">ower than other published data. </w:t>
      </w:r>
    </w:p>
    <w:p w14:paraId="7318174C" w14:textId="4E584A81" w:rsidR="00D038AC" w:rsidRDefault="00D038AC" w:rsidP="00785A64">
      <w:pPr>
        <w:pStyle w:val="ListParagraph"/>
        <w:numPr>
          <w:ilvl w:val="1"/>
          <w:numId w:val="1"/>
        </w:numPr>
      </w:pPr>
      <w:r w:rsidRPr="00B65A2D">
        <w:t xml:space="preserve">When converting LCP fuel to heat demand, I applied a fuel to heat factor (epsilon) because the technology used for each industry has different efficiency factors. This factor is the weighted average of efficiencies </w:t>
      </w:r>
      <w:r w:rsidR="00D404C6" w:rsidRPr="00B65A2D">
        <w:t xml:space="preserve">and heat usage </w:t>
      </w:r>
      <w:r w:rsidRPr="00B65A2D">
        <w:t>of the technologies used in each industry detailed in eprtr_epsilon_reference.csv</w:t>
      </w:r>
      <w:r w:rsidR="00290432" w:rsidRPr="00B65A2D">
        <w:t xml:space="preserve">. </w:t>
      </w:r>
      <w:r w:rsidR="00436DD1" w:rsidRPr="00B65A2D">
        <w:t xml:space="preserve">For </w:t>
      </w:r>
      <w:r w:rsidR="00E51C87" w:rsidRPr="00B65A2D">
        <w:t>example,</w:t>
      </w:r>
      <w:r w:rsidR="00436DD1" w:rsidRPr="00B65A2D">
        <w:t xml:space="preserve"> if CHP plants account for a portion of the final </w:t>
      </w:r>
      <w:r w:rsidR="006E2FE7" w:rsidRPr="00B65A2D">
        <w:t>output,</w:t>
      </w:r>
      <w:r w:rsidR="00257720" w:rsidRPr="00B65A2D">
        <w:t xml:space="preserve"> then it </w:t>
      </w:r>
      <w:r w:rsidR="00F24851" w:rsidRPr="00B65A2D">
        <w:t>has</w:t>
      </w:r>
      <w:r w:rsidR="00257720" w:rsidRPr="00B65A2D">
        <w:t xml:space="preserve"> a lower epsilon because only half of the fuel input is used for heat. </w:t>
      </w:r>
    </w:p>
    <w:p w14:paraId="34B52509" w14:textId="60854A48" w:rsidR="00AE14EC" w:rsidRPr="00B65A2D" w:rsidRDefault="00AE14EC" w:rsidP="00785A64">
      <w:pPr>
        <w:pStyle w:val="ListParagraph"/>
        <w:numPr>
          <w:ilvl w:val="1"/>
          <w:numId w:val="1"/>
        </w:numPr>
      </w:pPr>
      <w:r>
        <w:t>Biomass and Other Gases are not included because they are not substitutable heat.</w:t>
      </w:r>
    </w:p>
    <w:p w14:paraId="382D6947" w14:textId="0B773E30" w:rsidR="00371F6B" w:rsidRPr="00B65A2D" w:rsidRDefault="00E52CF4" w:rsidP="00F86C53">
      <w:pPr>
        <w:pStyle w:val="ListParagraph"/>
        <w:numPr>
          <w:ilvl w:val="0"/>
          <w:numId w:val="1"/>
        </w:numPr>
      </w:pPr>
      <w:hyperlink r:id="rId5" w:history="1">
        <w:r w:rsidRPr="00B65A2D">
          <w:rPr>
            <w:rStyle w:val="Hyperlink"/>
          </w:rPr>
          <w:t>Gas price</w:t>
        </w:r>
        <w:r w:rsidR="00F86C53" w:rsidRPr="00B65A2D">
          <w:rPr>
            <w:rStyle w:val="Hyperlink"/>
          </w:rPr>
          <w:t>s</w:t>
        </w:r>
      </w:hyperlink>
      <w:r w:rsidR="00F86C53" w:rsidRPr="00B65A2D">
        <w:t xml:space="preserve"> were gathered from the Eurostat dataset for large industrial consumers consumption band for 2024. </w:t>
      </w:r>
      <w:r w:rsidR="00ED5776" w:rsidRPr="00B65A2D">
        <w:t xml:space="preserve">This dataset uses national average, not site-specific prices. </w:t>
      </w:r>
      <w:r w:rsidR="00F86C53" w:rsidRPr="00B65A2D">
        <w:t xml:space="preserve">Band I3 </w:t>
      </w:r>
      <w:r w:rsidR="00FB7028" w:rsidRPr="00B65A2D">
        <w:t xml:space="preserve">(mid-large industrial sites) </w:t>
      </w:r>
      <w:r w:rsidR="00F86C53" w:rsidRPr="00B65A2D">
        <w:t xml:space="preserve">was used for all facilities which might slightly overstate gas costs for the largest industrial facilities. </w:t>
      </w:r>
      <w:r w:rsidR="00253C9E" w:rsidRPr="00B65A2D">
        <w:t xml:space="preserve">Prices range from 50-81 EUR/MWh LHV. </w:t>
      </w:r>
      <w:r w:rsidR="004E0491" w:rsidRPr="00B65A2D">
        <w:t>Eurostat reports prices in gross heating value but the energy in water vapor from combustion is not used in process heat so to get the lower heat value</w:t>
      </w:r>
      <w:r w:rsidR="004C5B8C" w:rsidRPr="00B65A2D">
        <w:t xml:space="preserve"> (LHV)</w:t>
      </w:r>
      <w:r w:rsidR="004E0491" w:rsidRPr="00B65A2D">
        <w:t xml:space="preserve">, we applied a 1.1098 factor to get </w:t>
      </w:r>
      <w:r w:rsidR="001C6781" w:rsidRPr="00B65A2D">
        <w:t>the LHV</w:t>
      </w:r>
      <w:r w:rsidR="004E0491" w:rsidRPr="00B65A2D">
        <w:t xml:space="preserve">. </w:t>
      </w:r>
    </w:p>
    <w:p w14:paraId="00ACC735" w14:textId="2378D779" w:rsidR="00653B56" w:rsidRPr="00B65A2D" w:rsidRDefault="003901E1" w:rsidP="0008431E">
      <w:pPr>
        <w:pStyle w:val="ListParagraph"/>
        <w:numPr>
          <w:ilvl w:val="0"/>
          <w:numId w:val="1"/>
        </w:numPr>
      </w:pPr>
      <w:r w:rsidRPr="00B65A2D">
        <w:t>Grid e</w:t>
      </w:r>
      <w:r w:rsidR="00653B56" w:rsidRPr="00B65A2D">
        <w:t>lectricity prices</w:t>
      </w:r>
      <w:r w:rsidR="00FB7028" w:rsidRPr="00B65A2D">
        <w:t xml:space="preserve"> </w:t>
      </w:r>
      <w:r w:rsidRPr="00B65A2D">
        <w:t xml:space="preserve">were gathered from the Eurostat nrg_pc_205 dataset for industrial electricity prices for 2024. </w:t>
      </w:r>
      <w:r w:rsidR="008402D2" w:rsidRPr="00B65A2D">
        <w:t xml:space="preserve">Same caveat as gas prices where the consumption band might be slightly overestimating costs for electricity. </w:t>
      </w:r>
      <w:r w:rsidR="00442ADA" w:rsidRPr="00B65A2D">
        <w:t>Prices range from 139-218 Euro/MWh</w:t>
      </w:r>
    </w:p>
    <w:p w14:paraId="7464DA40" w14:textId="721EE3E9" w:rsidR="0008431E" w:rsidRPr="00B65A2D" w:rsidRDefault="00442ADA" w:rsidP="00584262">
      <w:pPr>
        <w:pStyle w:val="ListParagraph"/>
        <w:numPr>
          <w:ilvl w:val="0"/>
          <w:numId w:val="1"/>
        </w:numPr>
      </w:pPr>
      <w:r w:rsidRPr="00B65A2D">
        <w:t xml:space="preserve">Off grid electricity prices </w:t>
      </w:r>
      <w:r w:rsidR="008962DA" w:rsidRPr="00B65A2D">
        <w:t>is the</w:t>
      </w:r>
      <w:r w:rsidRPr="00B65A2D">
        <w:t xml:space="preserve"> </w:t>
      </w:r>
      <w:r w:rsidR="00BD48A2" w:rsidRPr="00B65A2D">
        <w:t xml:space="preserve">levelized cost of electricity calculated </w:t>
      </w:r>
      <w:r w:rsidRPr="00B65A2D">
        <w:t xml:space="preserve">from </w:t>
      </w:r>
      <w:r w:rsidR="00BD48A2" w:rsidRPr="00B65A2D">
        <w:t xml:space="preserve">Bloomberg </w:t>
      </w:r>
      <w:r w:rsidR="00FE24F4" w:rsidRPr="00B65A2D">
        <w:t>cost data from PV fixed axis and utility scale battery</w:t>
      </w:r>
      <w:r w:rsidR="00B764CD" w:rsidRPr="00B65A2D">
        <w:t xml:space="preserve">. </w:t>
      </w:r>
      <w:r w:rsidR="005A6DBB" w:rsidRPr="00B65A2D">
        <w:t xml:space="preserve">Capital, operational cost, cost of capital are pulled from BNEF data by country. </w:t>
      </w:r>
      <w:r w:rsidR="00B764CD" w:rsidRPr="00B65A2D">
        <w:t xml:space="preserve">84 sites were directly covered in the BNEF country </w:t>
      </w:r>
      <w:r w:rsidR="00FE24F4" w:rsidRPr="00B65A2D">
        <w:t>data,</w:t>
      </w:r>
      <w:r w:rsidR="00B764CD" w:rsidRPr="00B65A2D">
        <w:t xml:space="preserve"> and 26 sites were proxied from peer countries (based on income). </w:t>
      </w:r>
    </w:p>
    <w:p w14:paraId="14207DA2" w14:textId="2DEBD56A" w:rsidR="000A2C58" w:rsidRPr="00B65A2D" w:rsidRDefault="000A2C58" w:rsidP="0008431E">
      <w:pPr>
        <w:pStyle w:val="ListParagraph"/>
        <w:numPr>
          <w:ilvl w:val="0"/>
          <w:numId w:val="1"/>
        </w:numPr>
      </w:pPr>
      <w:r w:rsidRPr="00B65A2D">
        <w:t>PVGIS</w:t>
      </w:r>
      <w:r w:rsidR="00FC325A" w:rsidRPr="00B65A2D">
        <w:t xml:space="preserve"> </w:t>
      </w:r>
      <w:r w:rsidR="00DA752F" w:rsidRPr="00B65A2D">
        <w:t xml:space="preserve">provides solar capacity factor data based on a </w:t>
      </w:r>
      <w:proofErr w:type="spellStart"/>
      <w:r w:rsidR="00DA752F" w:rsidRPr="00B65A2D">
        <w:t>lat</w:t>
      </w:r>
      <w:proofErr w:type="spellEnd"/>
      <w:r w:rsidR="00DA752F" w:rsidRPr="00B65A2D">
        <w:t>/</w:t>
      </w:r>
      <w:proofErr w:type="spellStart"/>
      <w:r w:rsidR="00DA752F" w:rsidRPr="00B65A2D">
        <w:t>lon</w:t>
      </w:r>
      <w:proofErr w:type="spellEnd"/>
      <w:r w:rsidR="00BC52E1" w:rsidRPr="00B65A2D">
        <w:t xml:space="preserve"> on a fixed axis. </w:t>
      </w:r>
      <w:r w:rsidR="001B6098" w:rsidRPr="00B65A2D">
        <w:t xml:space="preserve">The solar capacity factor is how much of the year is solar radiation able to produce electricity. </w:t>
      </w:r>
    </w:p>
    <w:p w14:paraId="0CBAD2AE" w14:textId="48D850D9" w:rsidR="000F422B" w:rsidRPr="00B65A2D" w:rsidRDefault="000F422B" w:rsidP="0008431E">
      <w:pPr>
        <w:pStyle w:val="ListParagraph"/>
        <w:numPr>
          <w:ilvl w:val="0"/>
          <w:numId w:val="1"/>
        </w:numPr>
      </w:pPr>
      <w:r w:rsidRPr="00B65A2D">
        <w:t xml:space="preserve">Capex </w:t>
      </w:r>
      <w:r w:rsidR="007D51C5" w:rsidRPr="00B65A2D">
        <w:t xml:space="preserve">and </w:t>
      </w:r>
      <w:proofErr w:type="spellStart"/>
      <w:r w:rsidR="007D51C5" w:rsidRPr="00B65A2D">
        <w:t>opex</w:t>
      </w:r>
      <w:proofErr w:type="spellEnd"/>
      <w:r w:rsidR="007D51C5" w:rsidRPr="00B65A2D">
        <w:t xml:space="preserve"> </w:t>
      </w:r>
      <w:r w:rsidRPr="00B65A2D">
        <w:t>of gas boiler</w:t>
      </w:r>
      <w:r w:rsidR="00BF020D" w:rsidRPr="00B65A2D">
        <w:t>, heat battery and heat pump</w:t>
      </w:r>
    </w:p>
    <w:tbl>
      <w:tblPr>
        <w:tblStyle w:val="PlainTable3"/>
        <w:tblW w:w="0" w:type="auto"/>
        <w:tblLook w:val="04A0" w:firstRow="1" w:lastRow="0" w:firstColumn="1" w:lastColumn="0" w:noHBand="0" w:noVBand="1"/>
      </w:tblPr>
      <w:tblGrid>
        <w:gridCol w:w="1963"/>
        <w:gridCol w:w="1847"/>
        <w:gridCol w:w="1853"/>
        <w:gridCol w:w="1844"/>
        <w:gridCol w:w="1853"/>
      </w:tblGrid>
      <w:tr w:rsidR="00736707" w:rsidRPr="00B65A2D" w14:paraId="17B79319" w14:textId="77777777" w:rsidTr="007367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63" w:type="dxa"/>
          </w:tcPr>
          <w:p w14:paraId="7FB3B4EA" w14:textId="420ADAAA" w:rsidR="00736707" w:rsidRPr="00B65A2D" w:rsidRDefault="00736707" w:rsidP="00736707">
            <w:r w:rsidRPr="00B65A2D">
              <w:t>Technology</w:t>
            </w:r>
          </w:p>
        </w:tc>
        <w:tc>
          <w:tcPr>
            <w:tcW w:w="1847" w:type="dxa"/>
          </w:tcPr>
          <w:p w14:paraId="2C306122" w14:textId="4B3EA72F" w:rsidR="00736707" w:rsidRPr="00B65A2D" w:rsidRDefault="00736707" w:rsidP="00736707">
            <w:pPr>
              <w:cnfStyle w:val="100000000000" w:firstRow="1" w:lastRow="0" w:firstColumn="0" w:lastColumn="0" w:oddVBand="0" w:evenVBand="0" w:oddHBand="0" w:evenHBand="0" w:firstRowFirstColumn="0" w:firstRowLastColumn="0" w:lastRowFirstColumn="0" w:lastRowLastColumn="0"/>
            </w:pPr>
            <w:r w:rsidRPr="00B65A2D">
              <w:t xml:space="preserve">capex </w:t>
            </w:r>
          </w:p>
        </w:tc>
        <w:tc>
          <w:tcPr>
            <w:tcW w:w="1853" w:type="dxa"/>
          </w:tcPr>
          <w:p w14:paraId="570B0D06" w14:textId="165B4489" w:rsidR="00736707" w:rsidRPr="00B65A2D" w:rsidRDefault="00736707" w:rsidP="00736707">
            <w:pPr>
              <w:cnfStyle w:val="100000000000" w:firstRow="1" w:lastRow="0" w:firstColumn="0" w:lastColumn="0" w:oddVBand="0" w:evenVBand="0" w:oddHBand="0" w:evenHBand="0" w:firstRowFirstColumn="0" w:firstRowLastColumn="0" w:lastRowFirstColumn="0" w:lastRowLastColumn="0"/>
            </w:pPr>
            <w:r w:rsidRPr="00B65A2D">
              <w:t>source</w:t>
            </w:r>
          </w:p>
        </w:tc>
        <w:tc>
          <w:tcPr>
            <w:tcW w:w="1844" w:type="dxa"/>
          </w:tcPr>
          <w:p w14:paraId="5DFF7772" w14:textId="776DDD6E" w:rsidR="00736707" w:rsidRPr="00B65A2D" w:rsidRDefault="00736707" w:rsidP="00736707">
            <w:pPr>
              <w:cnfStyle w:val="100000000000" w:firstRow="1" w:lastRow="0" w:firstColumn="0" w:lastColumn="0" w:oddVBand="0" w:evenVBand="0" w:oddHBand="0" w:evenHBand="0" w:firstRowFirstColumn="0" w:firstRowLastColumn="0" w:lastRowFirstColumn="0" w:lastRowLastColumn="0"/>
            </w:pPr>
            <w:r w:rsidRPr="00B65A2D">
              <w:t>opex</w:t>
            </w:r>
          </w:p>
        </w:tc>
        <w:tc>
          <w:tcPr>
            <w:tcW w:w="1853" w:type="dxa"/>
          </w:tcPr>
          <w:p w14:paraId="2C962935" w14:textId="5173E329" w:rsidR="00736707" w:rsidRPr="00B65A2D" w:rsidRDefault="00736707" w:rsidP="00736707">
            <w:pPr>
              <w:cnfStyle w:val="100000000000" w:firstRow="1" w:lastRow="0" w:firstColumn="0" w:lastColumn="0" w:oddVBand="0" w:evenVBand="0" w:oddHBand="0" w:evenHBand="0" w:firstRowFirstColumn="0" w:firstRowLastColumn="0" w:lastRowFirstColumn="0" w:lastRowLastColumn="0"/>
            </w:pPr>
            <w:r w:rsidRPr="00B65A2D">
              <w:t>source</w:t>
            </w:r>
          </w:p>
        </w:tc>
      </w:tr>
      <w:tr w:rsidR="00736707" w:rsidRPr="00B65A2D" w14:paraId="47F03ED0" w14:textId="77777777" w:rsidTr="00736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tcPr>
          <w:p w14:paraId="7892EC70" w14:textId="1B31FDCF" w:rsidR="00736707" w:rsidRPr="00B65A2D" w:rsidRDefault="00736707" w:rsidP="00736707">
            <w:r w:rsidRPr="00B65A2D">
              <w:t>gas boiler</w:t>
            </w:r>
          </w:p>
        </w:tc>
        <w:tc>
          <w:tcPr>
            <w:tcW w:w="1847" w:type="dxa"/>
          </w:tcPr>
          <w:p w14:paraId="37857408" w14:textId="2EE2FC8C" w:rsidR="00736707" w:rsidRPr="00B65A2D" w:rsidRDefault="0034237B" w:rsidP="00736707">
            <w:pPr>
              <w:cnfStyle w:val="000000100000" w:firstRow="0" w:lastRow="0" w:firstColumn="0" w:lastColumn="0" w:oddVBand="0" w:evenVBand="0" w:oddHBand="1" w:evenHBand="0" w:firstRowFirstColumn="0" w:firstRowLastColumn="0" w:lastRowFirstColumn="0" w:lastRowLastColumn="0"/>
            </w:pPr>
            <w:r w:rsidRPr="00B65A2D">
              <w:t>75</w:t>
            </w:r>
            <w:r w:rsidR="00917CB1" w:rsidRPr="00B65A2D">
              <w:t xml:space="preserve"> euro</w:t>
            </w:r>
            <w:r w:rsidRPr="00B65A2D">
              <w:t>/</w:t>
            </w:r>
            <w:proofErr w:type="spellStart"/>
            <w:r w:rsidRPr="00B65A2D">
              <w:t>kW_th</w:t>
            </w:r>
            <w:proofErr w:type="spellEnd"/>
          </w:p>
        </w:tc>
        <w:tc>
          <w:tcPr>
            <w:tcW w:w="1853" w:type="dxa"/>
          </w:tcPr>
          <w:p w14:paraId="15C12D9A" w14:textId="0138A0A2" w:rsidR="00736707" w:rsidRPr="00B65A2D" w:rsidRDefault="00736707" w:rsidP="00736707">
            <w:pPr>
              <w:cnfStyle w:val="000000100000" w:firstRow="0" w:lastRow="0" w:firstColumn="0" w:lastColumn="0" w:oddVBand="0" w:evenVBand="0" w:oddHBand="1" w:evenHBand="0" w:firstRowFirstColumn="0" w:firstRowLastColumn="0" w:lastRowFirstColumn="0" w:lastRowLastColumn="0"/>
            </w:pPr>
          </w:p>
        </w:tc>
        <w:tc>
          <w:tcPr>
            <w:tcW w:w="1844" w:type="dxa"/>
          </w:tcPr>
          <w:p w14:paraId="2EFF267E" w14:textId="017EBDE6" w:rsidR="00736707" w:rsidRPr="00B65A2D" w:rsidRDefault="001C4BF2" w:rsidP="00736707">
            <w:pPr>
              <w:cnfStyle w:val="000000100000" w:firstRow="0" w:lastRow="0" w:firstColumn="0" w:lastColumn="0" w:oddVBand="0" w:evenVBand="0" w:oddHBand="1" w:evenHBand="0" w:firstRowFirstColumn="0" w:firstRowLastColumn="0" w:lastRowFirstColumn="0" w:lastRowLastColumn="0"/>
            </w:pPr>
            <w:r w:rsidRPr="00B65A2D">
              <w:t>1.5% of capex</w:t>
            </w:r>
          </w:p>
        </w:tc>
        <w:tc>
          <w:tcPr>
            <w:tcW w:w="1853" w:type="dxa"/>
          </w:tcPr>
          <w:p w14:paraId="0D74766F" w14:textId="77777777" w:rsidR="00736707" w:rsidRPr="00B65A2D" w:rsidRDefault="00736707" w:rsidP="00736707">
            <w:pPr>
              <w:cnfStyle w:val="000000100000" w:firstRow="0" w:lastRow="0" w:firstColumn="0" w:lastColumn="0" w:oddVBand="0" w:evenVBand="0" w:oddHBand="1" w:evenHBand="0" w:firstRowFirstColumn="0" w:firstRowLastColumn="0" w:lastRowFirstColumn="0" w:lastRowLastColumn="0"/>
            </w:pPr>
          </w:p>
        </w:tc>
      </w:tr>
      <w:tr w:rsidR="00736707" w:rsidRPr="00B65A2D" w14:paraId="4EC9FDF8" w14:textId="77777777" w:rsidTr="00736707">
        <w:tc>
          <w:tcPr>
            <w:cnfStyle w:val="001000000000" w:firstRow="0" w:lastRow="0" w:firstColumn="1" w:lastColumn="0" w:oddVBand="0" w:evenVBand="0" w:oddHBand="0" w:evenHBand="0" w:firstRowFirstColumn="0" w:firstRowLastColumn="0" w:lastRowFirstColumn="0" w:lastRowLastColumn="0"/>
            <w:tcW w:w="1963" w:type="dxa"/>
          </w:tcPr>
          <w:p w14:paraId="66A69E22" w14:textId="69DF3518" w:rsidR="00736707" w:rsidRPr="00B65A2D" w:rsidRDefault="00736707" w:rsidP="00736707">
            <w:pPr>
              <w:rPr>
                <w:b w:val="0"/>
                <w:bCs w:val="0"/>
                <w:caps w:val="0"/>
              </w:rPr>
            </w:pPr>
            <w:r w:rsidRPr="00B65A2D">
              <w:t>heat battery</w:t>
            </w:r>
          </w:p>
        </w:tc>
        <w:tc>
          <w:tcPr>
            <w:tcW w:w="1847" w:type="dxa"/>
          </w:tcPr>
          <w:p w14:paraId="210D5FC3" w14:textId="54723AB7" w:rsidR="00736707" w:rsidRPr="00B65A2D" w:rsidRDefault="0034237B" w:rsidP="00736707">
            <w:pPr>
              <w:cnfStyle w:val="000000000000" w:firstRow="0" w:lastRow="0" w:firstColumn="0" w:lastColumn="0" w:oddVBand="0" w:evenVBand="0" w:oddHBand="0" w:evenHBand="0" w:firstRowFirstColumn="0" w:firstRowLastColumn="0" w:lastRowFirstColumn="0" w:lastRowLastColumn="0"/>
            </w:pPr>
            <w:r w:rsidRPr="00B65A2D">
              <w:t>150</w:t>
            </w:r>
            <w:r w:rsidR="00917CB1" w:rsidRPr="00B65A2D">
              <w:t xml:space="preserve"> euro</w:t>
            </w:r>
            <w:r w:rsidRPr="00B65A2D">
              <w:t>/</w:t>
            </w:r>
            <w:proofErr w:type="spellStart"/>
            <w:r w:rsidRPr="00B65A2D">
              <w:t>kW_th</w:t>
            </w:r>
            <w:proofErr w:type="spellEnd"/>
            <w:r w:rsidR="001D6182" w:rsidRPr="00B65A2D">
              <w:t xml:space="preserve">, </w:t>
            </w:r>
            <w:proofErr w:type="gramStart"/>
            <w:r w:rsidR="001D6182" w:rsidRPr="00B65A2D">
              <w:t>8 hour</w:t>
            </w:r>
            <w:proofErr w:type="gramEnd"/>
            <w:r w:rsidR="001D6182" w:rsidRPr="00B65A2D">
              <w:t xml:space="preserve"> storage</w:t>
            </w:r>
          </w:p>
        </w:tc>
        <w:tc>
          <w:tcPr>
            <w:tcW w:w="1853" w:type="dxa"/>
          </w:tcPr>
          <w:p w14:paraId="191F746A" w14:textId="2532C306" w:rsidR="00736707" w:rsidRPr="00B65A2D" w:rsidRDefault="0034237B" w:rsidP="00736707">
            <w:pPr>
              <w:cnfStyle w:val="000000000000" w:firstRow="0" w:lastRow="0" w:firstColumn="0" w:lastColumn="0" w:oddVBand="0" w:evenVBand="0" w:oddHBand="0" w:evenHBand="0" w:firstRowFirstColumn="0" w:firstRowLastColumn="0" w:lastRowFirstColumn="0" w:lastRowLastColumn="0"/>
            </w:pPr>
            <w:r w:rsidRPr="00B65A2D">
              <w:t>NREL 2025</w:t>
            </w:r>
          </w:p>
        </w:tc>
        <w:tc>
          <w:tcPr>
            <w:tcW w:w="1844" w:type="dxa"/>
          </w:tcPr>
          <w:p w14:paraId="66C1BF4D" w14:textId="656C279D" w:rsidR="00736707" w:rsidRPr="00B65A2D" w:rsidRDefault="001C4BF2" w:rsidP="00736707">
            <w:pPr>
              <w:cnfStyle w:val="000000000000" w:firstRow="0" w:lastRow="0" w:firstColumn="0" w:lastColumn="0" w:oddVBand="0" w:evenVBand="0" w:oddHBand="0" w:evenHBand="0" w:firstRowFirstColumn="0" w:firstRowLastColumn="0" w:lastRowFirstColumn="0" w:lastRowLastColumn="0"/>
            </w:pPr>
            <w:r w:rsidRPr="00B65A2D">
              <w:t>0.5% of capex</w:t>
            </w:r>
          </w:p>
        </w:tc>
        <w:tc>
          <w:tcPr>
            <w:tcW w:w="1853" w:type="dxa"/>
          </w:tcPr>
          <w:p w14:paraId="31D4E10A" w14:textId="6525920D" w:rsidR="00736707" w:rsidRPr="00B65A2D" w:rsidRDefault="001C4BF2" w:rsidP="00736707">
            <w:pPr>
              <w:cnfStyle w:val="000000000000" w:firstRow="0" w:lastRow="0" w:firstColumn="0" w:lastColumn="0" w:oddVBand="0" w:evenVBand="0" w:oddHBand="0" w:evenHBand="0" w:firstRowFirstColumn="0" w:firstRowLastColumn="0" w:lastRowFirstColumn="0" w:lastRowLastColumn="0"/>
            </w:pPr>
            <w:r w:rsidRPr="00B65A2D">
              <w:t>NREL 2025 (Wikoff et al.); Rondo states "essentially no degradation, O&amp;M ~0"</w:t>
            </w:r>
          </w:p>
        </w:tc>
      </w:tr>
      <w:tr w:rsidR="00736707" w:rsidRPr="00B65A2D" w14:paraId="11DA1B97" w14:textId="77777777" w:rsidTr="00736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3" w:type="dxa"/>
          </w:tcPr>
          <w:p w14:paraId="3438599F" w14:textId="5C057B1A" w:rsidR="00736707" w:rsidRPr="00B65A2D" w:rsidRDefault="00736707" w:rsidP="00736707">
            <w:r w:rsidRPr="00B65A2D">
              <w:t>Heat pump</w:t>
            </w:r>
          </w:p>
        </w:tc>
        <w:tc>
          <w:tcPr>
            <w:tcW w:w="1847" w:type="dxa"/>
          </w:tcPr>
          <w:p w14:paraId="70D303DF" w14:textId="6F551020" w:rsidR="00736707" w:rsidRPr="00B65A2D" w:rsidRDefault="0034237B" w:rsidP="00736707">
            <w:pPr>
              <w:cnfStyle w:val="000000100000" w:firstRow="0" w:lastRow="0" w:firstColumn="0" w:lastColumn="0" w:oddVBand="0" w:evenVBand="0" w:oddHBand="1" w:evenHBand="0" w:firstRowFirstColumn="0" w:firstRowLastColumn="0" w:lastRowFirstColumn="0" w:lastRowLastColumn="0"/>
            </w:pPr>
            <w:r w:rsidRPr="00B65A2D">
              <w:t>1200</w:t>
            </w:r>
            <w:r w:rsidR="00917CB1" w:rsidRPr="00B65A2D">
              <w:t xml:space="preserve"> euro</w:t>
            </w:r>
            <w:r w:rsidRPr="00B65A2D">
              <w:t>/</w:t>
            </w:r>
            <w:proofErr w:type="spellStart"/>
            <w:r w:rsidRPr="00B65A2D">
              <w:t>kWh_th</w:t>
            </w:r>
            <w:proofErr w:type="spellEnd"/>
          </w:p>
        </w:tc>
        <w:tc>
          <w:tcPr>
            <w:tcW w:w="1853" w:type="dxa"/>
          </w:tcPr>
          <w:p w14:paraId="6A487D6B" w14:textId="2D3239A1" w:rsidR="00736707" w:rsidRPr="00B65A2D" w:rsidRDefault="00B16D63" w:rsidP="00736707">
            <w:pPr>
              <w:cnfStyle w:val="000000100000" w:firstRow="0" w:lastRow="0" w:firstColumn="0" w:lastColumn="0" w:oddVBand="0" w:evenVBand="0" w:oddHBand="1" w:evenHBand="0" w:firstRowFirstColumn="0" w:firstRowLastColumn="0" w:lastRowFirstColumn="0" w:lastRowLastColumn="0"/>
            </w:pPr>
            <w:r w:rsidRPr="00B65A2D">
              <w:t>IRENA 2022</w:t>
            </w:r>
          </w:p>
        </w:tc>
        <w:tc>
          <w:tcPr>
            <w:tcW w:w="1844" w:type="dxa"/>
          </w:tcPr>
          <w:p w14:paraId="7A005200" w14:textId="59CFA87F" w:rsidR="00736707" w:rsidRPr="00B65A2D" w:rsidRDefault="001C4BF2" w:rsidP="00736707">
            <w:pPr>
              <w:cnfStyle w:val="000000100000" w:firstRow="0" w:lastRow="0" w:firstColumn="0" w:lastColumn="0" w:oddVBand="0" w:evenVBand="0" w:oddHBand="1" w:evenHBand="0" w:firstRowFirstColumn="0" w:firstRowLastColumn="0" w:lastRowFirstColumn="0" w:lastRowLastColumn="0"/>
            </w:pPr>
            <w:r w:rsidRPr="00B65A2D">
              <w:t>2.5% of capex</w:t>
            </w:r>
          </w:p>
        </w:tc>
        <w:tc>
          <w:tcPr>
            <w:tcW w:w="1853" w:type="dxa"/>
          </w:tcPr>
          <w:p w14:paraId="7956CBEC" w14:textId="7AF0DB9A" w:rsidR="00736707" w:rsidRPr="00B65A2D" w:rsidRDefault="001C4BF2" w:rsidP="00736707">
            <w:pPr>
              <w:cnfStyle w:val="000000100000" w:firstRow="0" w:lastRow="0" w:firstColumn="0" w:lastColumn="0" w:oddVBand="0" w:evenVBand="0" w:oddHBand="1" w:evenHBand="0" w:firstRowFirstColumn="0" w:firstRowLastColumn="0" w:lastRowFirstColumn="0" w:lastRowLastColumn="0"/>
            </w:pPr>
            <w:r w:rsidRPr="00B65A2D">
              <w:t>IRENA 2022 HP report</w:t>
            </w:r>
          </w:p>
        </w:tc>
      </w:tr>
    </w:tbl>
    <w:p w14:paraId="7B731A38" w14:textId="77777777" w:rsidR="008E6F2B" w:rsidRPr="00B65A2D" w:rsidRDefault="008E6F2B" w:rsidP="00736707"/>
    <w:p w14:paraId="55D67362" w14:textId="546C63C8" w:rsidR="0008431E" w:rsidRPr="00B65A2D" w:rsidRDefault="0008431E">
      <w:r w:rsidRPr="00B65A2D">
        <w:t>Outputs</w:t>
      </w:r>
    </w:p>
    <w:p w14:paraId="188C6767" w14:textId="78ABC9CD" w:rsidR="00E52CF4" w:rsidRDefault="00E52CF4" w:rsidP="00E52CF4">
      <w:pPr>
        <w:pStyle w:val="ListParagraph"/>
        <w:numPr>
          <w:ilvl w:val="0"/>
          <w:numId w:val="1"/>
        </w:numPr>
      </w:pPr>
      <w:r w:rsidRPr="00B65A2D">
        <w:t xml:space="preserve">Map of facilities with feasible solar power and cheaper LCOH than </w:t>
      </w:r>
      <w:r w:rsidR="00851EE7" w:rsidRPr="00B65A2D">
        <w:t>natural gas options</w:t>
      </w:r>
    </w:p>
    <w:p w14:paraId="100D7FB5" w14:textId="745B2ACE" w:rsidR="008434F7" w:rsidRDefault="008434F7" w:rsidP="00E52CF4">
      <w:pPr>
        <w:pStyle w:val="ListParagraph"/>
        <w:numPr>
          <w:ilvl w:val="0"/>
          <w:numId w:val="1"/>
        </w:numPr>
      </w:pPr>
      <w:r w:rsidRPr="008434F7">
        <w:t>F</w:t>
      </w:r>
      <w:r w:rsidR="00704644">
        <w:t>easible</w:t>
      </w:r>
      <w:r w:rsidRPr="008434F7">
        <w:t>=75, I</w:t>
      </w:r>
      <w:r w:rsidR="00704644">
        <w:t>nfeasible</w:t>
      </w:r>
      <w:r w:rsidRPr="008434F7">
        <w:t>=35</w:t>
      </w:r>
    </w:p>
    <w:tbl>
      <w:tblPr>
        <w:tblW w:w="0" w:type="auto"/>
        <w:shd w:val="clear" w:color="auto" w:fill="141414"/>
        <w:tblCellMar>
          <w:top w:w="15" w:type="dxa"/>
          <w:left w:w="15" w:type="dxa"/>
          <w:bottom w:w="15" w:type="dxa"/>
          <w:right w:w="15" w:type="dxa"/>
        </w:tblCellMar>
        <w:tblLook w:val="04A0" w:firstRow="1" w:lastRow="0" w:firstColumn="1" w:lastColumn="0" w:noHBand="0" w:noVBand="1"/>
      </w:tblPr>
      <w:tblGrid>
        <w:gridCol w:w="3005"/>
        <w:gridCol w:w="1404"/>
        <w:gridCol w:w="1848"/>
      </w:tblGrid>
      <w:tr w:rsidR="00F87651" w:rsidRPr="00F87651" w14:paraId="2E10A9C4" w14:textId="77777777" w:rsidTr="00F87651">
        <w:trPr>
          <w:tblHeader/>
        </w:trPr>
        <w:tc>
          <w:tcPr>
            <w:tcW w:w="0" w:type="auto"/>
            <w:tcBorders>
              <w:top w:val="nil"/>
              <w:left w:val="nil"/>
              <w:bottom w:val="nil"/>
              <w:right w:val="nil"/>
            </w:tcBorders>
            <w:shd w:val="clear" w:color="auto" w:fill="141414"/>
          </w:tcPr>
          <w:p w14:paraId="4F9C31A5" w14:textId="77777777" w:rsidR="00F87651" w:rsidRPr="00F87651" w:rsidRDefault="00F87651" w:rsidP="00F87651">
            <w:pPr>
              <w:spacing w:after="0" w:line="240" w:lineRule="auto"/>
              <w:jc w:val="center"/>
              <w:rPr>
                <w:rFonts w:ascii="Segoe UI" w:eastAsia="Times New Roman" w:hAnsi="Segoe UI" w:cs="Segoe UI"/>
                <w:b/>
                <w:bCs/>
                <w:kern w:val="0"/>
                <w:sz w:val="20"/>
                <w:szCs w:val="20"/>
                <w14:ligatures w14:val="none"/>
              </w:rPr>
            </w:pP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6DDED91C" w14:textId="74071ACD" w:rsidR="00F87651" w:rsidRPr="00F87651" w:rsidRDefault="00F87651" w:rsidP="00F87651">
            <w:pPr>
              <w:spacing w:after="0" w:line="240" w:lineRule="auto"/>
              <w:jc w:val="center"/>
              <w:rPr>
                <w:rFonts w:ascii="Segoe UI" w:eastAsia="Times New Roman" w:hAnsi="Segoe UI" w:cs="Segoe UI"/>
                <w:b/>
                <w:bCs/>
                <w:kern w:val="0"/>
                <w:sz w:val="20"/>
                <w:szCs w:val="20"/>
                <w14:ligatures w14:val="none"/>
              </w:rPr>
            </w:pPr>
            <w:r w:rsidRPr="00F87651">
              <w:rPr>
                <w:rFonts w:ascii="Segoe UI" w:eastAsia="Times New Roman" w:hAnsi="Segoe UI" w:cs="Segoe UI"/>
                <w:b/>
                <w:bCs/>
                <w:kern w:val="0"/>
                <w:sz w:val="20"/>
                <w:szCs w:val="20"/>
                <w14:ligatures w14:val="none"/>
              </w:rPr>
              <w:t>Infeasible (35)</w:t>
            </w:r>
          </w:p>
        </w:tc>
        <w:tc>
          <w:tcPr>
            <w:tcW w:w="1848" w:type="dxa"/>
            <w:tcBorders>
              <w:top w:val="nil"/>
              <w:left w:val="nil"/>
              <w:bottom w:val="nil"/>
              <w:right w:val="nil"/>
            </w:tcBorders>
            <w:shd w:val="clear" w:color="auto" w:fill="141414"/>
            <w:tcMar>
              <w:top w:w="30" w:type="dxa"/>
              <w:left w:w="30" w:type="dxa"/>
              <w:bottom w:w="30" w:type="dxa"/>
              <w:right w:w="30" w:type="dxa"/>
            </w:tcMar>
            <w:vAlign w:val="center"/>
            <w:hideMark/>
          </w:tcPr>
          <w:p w14:paraId="193C0175" w14:textId="77777777" w:rsidR="00F87651" w:rsidRPr="00F87651" w:rsidRDefault="00F87651" w:rsidP="00F87651">
            <w:pPr>
              <w:spacing w:after="0" w:line="240" w:lineRule="auto"/>
              <w:jc w:val="center"/>
              <w:rPr>
                <w:rFonts w:ascii="Segoe UI" w:eastAsia="Times New Roman" w:hAnsi="Segoe UI" w:cs="Segoe UI"/>
                <w:b/>
                <w:bCs/>
                <w:kern w:val="0"/>
                <w:sz w:val="20"/>
                <w:szCs w:val="20"/>
                <w14:ligatures w14:val="none"/>
              </w:rPr>
            </w:pPr>
            <w:r w:rsidRPr="00F87651">
              <w:rPr>
                <w:rFonts w:ascii="Segoe UI" w:eastAsia="Times New Roman" w:hAnsi="Segoe UI" w:cs="Segoe UI"/>
                <w:b/>
                <w:bCs/>
                <w:kern w:val="0"/>
                <w:sz w:val="20"/>
                <w:szCs w:val="20"/>
                <w14:ligatures w14:val="none"/>
              </w:rPr>
              <w:t>Feasible (75)</w:t>
            </w:r>
          </w:p>
        </w:tc>
      </w:tr>
      <w:tr w:rsidR="00F87651" w:rsidRPr="00F87651" w14:paraId="5B0AA345" w14:textId="77777777" w:rsidTr="00F87651">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504D89E3"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Mean heat demand (</w:t>
            </w:r>
            <w:proofErr w:type="spellStart"/>
            <w:r w:rsidRPr="00F87651">
              <w:rPr>
                <w:rFonts w:ascii="Segoe UI" w:eastAsia="Times New Roman" w:hAnsi="Segoe UI" w:cs="Segoe UI"/>
                <w:kern w:val="0"/>
                <w:sz w:val="20"/>
                <w:szCs w:val="20"/>
                <w14:ligatures w14:val="none"/>
              </w:rPr>
              <w:t>MWh_th</w:t>
            </w:r>
            <w:proofErr w:type="spellEnd"/>
            <w:r w:rsidRPr="00F87651">
              <w:rPr>
                <w:rFonts w:ascii="Segoe UI" w:eastAsia="Times New Roman" w:hAnsi="Segoe UI" w:cs="Segoe UI"/>
                <w:kern w:val="0"/>
                <w:sz w:val="20"/>
                <w:szCs w:val="20"/>
                <w14:ligatures w14:val="none"/>
              </w:rPr>
              <w:t>/yr)</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49AFA075"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1,092,000</w:t>
            </w:r>
          </w:p>
        </w:tc>
        <w:tc>
          <w:tcPr>
            <w:tcW w:w="1848" w:type="dxa"/>
            <w:tcBorders>
              <w:top w:val="nil"/>
              <w:left w:val="nil"/>
              <w:bottom w:val="nil"/>
              <w:right w:val="nil"/>
            </w:tcBorders>
            <w:shd w:val="clear" w:color="auto" w:fill="141414"/>
            <w:tcMar>
              <w:top w:w="30" w:type="dxa"/>
              <w:left w:w="30" w:type="dxa"/>
              <w:bottom w:w="30" w:type="dxa"/>
              <w:right w:w="30" w:type="dxa"/>
            </w:tcMar>
            <w:vAlign w:val="center"/>
            <w:hideMark/>
          </w:tcPr>
          <w:p w14:paraId="71AB7DEB"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300,000</w:t>
            </w:r>
          </w:p>
        </w:tc>
      </w:tr>
      <w:tr w:rsidR="00F87651" w:rsidRPr="00F87651" w14:paraId="50672532" w14:textId="77777777" w:rsidTr="00F87651">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4226747E"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Mean land needed (km²)</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584FEB3A"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74.3</w:t>
            </w:r>
          </w:p>
        </w:tc>
        <w:tc>
          <w:tcPr>
            <w:tcW w:w="1848" w:type="dxa"/>
            <w:tcBorders>
              <w:top w:val="nil"/>
              <w:left w:val="nil"/>
              <w:bottom w:val="nil"/>
              <w:right w:val="nil"/>
            </w:tcBorders>
            <w:shd w:val="clear" w:color="auto" w:fill="141414"/>
            <w:tcMar>
              <w:top w:w="30" w:type="dxa"/>
              <w:left w:w="30" w:type="dxa"/>
              <w:bottom w:w="30" w:type="dxa"/>
              <w:right w:w="30" w:type="dxa"/>
            </w:tcMar>
            <w:vAlign w:val="center"/>
            <w:hideMark/>
          </w:tcPr>
          <w:p w14:paraId="0CFFE7AA"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22.4</w:t>
            </w:r>
          </w:p>
        </w:tc>
      </w:tr>
      <w:tr w:rsidR="00F87651" w:rsidRPr="00F87651" w14:paraId="7F70C684" w14:textId="77777777" w:rsidTr="00F87651">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200AD119"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Mean suitable land adj. (km²)</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5A046F11"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26.2</w:t>
            </w:r>
          </w:p>
        </w:tc>
        <w:tc>
          <w:tcPr>
            <w:tcW w:w="1848" w:type="dxa"/>
            <w:tcBorders>
              <w:top w:val="nil"/>
              <w:left w:val="nil"/>
              <w:bottom w:val="nil"/>
              <w:right w:val="nil"/>
            </w:tcBorders>
            <w:shd w:val="clear" w:color="auto" w:fill="141414"/>
            <w:tcMar>
              <w:top w:w="30" w:type="dxa"/>
              <w:left w:w="30" w:type="dxa"/>
              <w:bottom w:w="30" w:type="dxa"/>
              <w:right w:w="30" w:type="dxa"/>
            </w:tcMar>
            <w:vAlign w:val="center"/>
            <w:hideMark/>
          </w:tcPr>
          <w:p w14:paraId="7725C7D9"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111.5</w:t>
            </w:r>
          </w:p>
        </w:tc>
      </w:tr>
      <w:tr w:rsidR="00F87651" w:rsidRPr="00F87651" w14:paraId="113D5714" w14:textId="77777777" w:rsidTr="00F87651">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247CAB5E"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Mean coverage ratio</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5DC700E6"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0.32</w:t>
            </w:r>
          </w:p>
        </w:tc>
        <w:tc>
          <w:tcPr>
            <w:tcW w:w="1848" w:type="dxa"/>
            <w:tcBorders>
              <w:top w:val="nil"/>
              <w:left w:val="nil"/>
              <w:bottom w:val="nil"/>
              <w:right w:val="nil"/>
            </w:tcBorders>
            <w:shd w:val="clear" w:color="auto" w:fill="141414"/>
            <w:tcMar>
              <w:top w:w="30" w:type="dxa"/>
              <w:left w:w="30" w:type="dxa"/>
              <w:bottom w:w="30" w:type="dxa"/>
              <w:right w:w="30" w:type="dxa"/>
            </w:tcMar>
            <w:vAlign w:val="center"/>
            <w:hideMark/>
          </w:tcPr>
          <w:p w14:paraId="367A69E5"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194× (median: 7.7×)</w:t>
            </w:r>
          </w:p>
        </w:tc>
      </w:tr>
      <w:tr w:rsidR="00F87651" w:rsidRPr="00F87651" w14:paraId="12A7D1DD" w14:textId="77777777" w:rsidTr="00F87651">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7942486B"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Mean suitability fraction of buffer</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7EE12CE0"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8.4%</w:t>
            </w:r>
          </w:p>
        </w:tc>
        <w:tc>
          <w:tcPr>
            <w:tcW w:w="1848" w:type="dxa"/>
            <w:tcBorders>
              <w:top w:val="nil"/>
              <w:left w:val="nil"/>
              <w:bottom w:val="nil"/>
              <w:right w:val="nil"/>
            </w:tcBorders>
            <w:shd w:val="clear" w:color="auto" w:fill="141414"/>
            <w:tcMar>
              <w:top w:w="30" w:type="dxa"/>
              <w:left w:w="30" w:type="dxa"/>
              <w:bottom w:w="30" w:type="dxa"/>
              <w:right w:w="30" w:type="dxa"/>
            </w:tcMar>
            <w:vAlign w:val="center"/>
            <w:hideMark/>
          </w:tcPr>
          <w:p w14:paraId="1F837EE5" w14:textId="77777777" w:rsidR="00F87651" w:rsidRPr="00F87651" w:rsidRDefault="00F87651" w:rsidP="00F87651">
            <w:pPr>
              <w:spacing w:after="0" w:line="240" w:lineRule="auto"/>
              <w:rPr>
                <w:rFonts w:ascii="Segoe UI" w:eastAsia="Times New Roman" w:hAnsi="Segoe UI" w:cs="Segoe UI"/>
                <w:kern w:val="0"/>
                <w:sz w:val="20"/>
                <w:szCs w:val="20"/>
                <w14:ligatures w14:val="none"/>
              </w:rPr>
            </w:pPr>
            <w:r w:rsidRPr="00F87651">
              <w:rPr>
                <w:rFonts w:ascii="Segoe UI" w:eastAsia="Times New Roman" w:hAnsi="Segoe UI" w:cs="Segoe UI"/>
                <w:kern w:val="0"/>
                <w:sz w:val="20"/>
                <w:szCs w:val="20"/>
                <w14:ligatures w14:val="none"/>
              </w:rPr>
              <w:t>35.5%</w:t>
            </w:r>
          </w:p>
        </w:tc>
      </w:tr>
    </w:tbl>
    <w:p w14:paraId="18EEC1F9" w14:textId="0BCCEC09" w:rsidR="00F87651" w:rsidRDefault="00F87651" w:rsidP="00E52CF4">
      <w:pPr>
        <w:pStyle w:val="ListParagraph"/>
        <w:numPr>
          <w:ilvl w:val="0"/>
          <w:numId w:val="1"/>
        </w:numPr>
      </w:pPr>
      <w:r>
        <w:t>The main factor that determines feasibility is the heat demand</w:t>
      </w:r>
    </w:p>
    <w:p w14:paraId="07BEBEB5" w14:textId="386A3F89" w:rsidR="008B2073" w:rsidRDefault="008B2073" w:rsidP="008B2073">
      <w:pPr>
        <w:pStyle w:val="ListParagraph"/>
        <w:numPr>
          <w:ilvl w:val="0"/>
          <w:numId w:val="1"/>
        </w:numPr>
      </w:pPr>
      <w:r>
        <w:lastRenderedPageBreak/>
        <w:t>Coastal industrial zones, where refineries and petrochemical complexes usually are, are surrounded by port infrastructure and sea</w:t>
      </w:r>
    </w:p>
    <w:p w14:paraId="23B37339" w14:textId="030F1463" w:rsidR="008B2073" w:rsidRPr="008434F7" w:rsidRDefault="008B2073" w:rsidP="008B2073">
      <w:pPr>
        <w:pStyle w:val="ListParagraph"/>
        <w:numPr>
          <w:ilvl w:val="0"/>
          <w:numId w:val="1"/>
        </w:numPr>
      </w:pPr>
      <w:r>
        <w:t>The low temperature plan</w:t>
      </w:r>
      <w:r w:rsidR="00283E2B">
        <w:t>t</w:t>
      </w:r>
      <w:r>
        <w:t>s</w:t>
      </w:r>
      <w:r w:rsidR="00283E2B">
        <w:t xml:space="preserve"> (sugar, pulp and paper, glass, waste to </w:t>
      </w:r>
      <w:r w:rsidR="008C36D0">
        <w:t>energy)</w:t>
      </w:r>
      <w:r>
        <w:t xml:space="preserve"> are most feasible because they are in rural places and requires less heat demand</w:t>
      </w:r>
    </w:p>
    <w:p w14:paraId="16E42989" w14:textId="1DEBE5C9" w:rsidR="00C04E84" w:rsidRPr="00B65A2D" w:rsidRDefault="0033219C" w:rsidP="00C04E84">
      <w:pPr>
        <w:ind w:left="360"/>
      </w:pPr>
      <w:r w:rsidRPr="0033219C">
        <w:drawing>
          <wp:inline distT="0" distB="0" distL="0" distR="0" wp14:anchorId="7DDB061D" wp14:editId="40490283">
            <wp:extent cx="5943600" cy="3726180"/>
            <wp:effectExtent l="0" t="0" r="0" b="0"/>
            <wp:docPr id="42621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10370" name=""/>
                    <pic:cNvPicPr/>
                  </pic:nvPicPr>
                  <pic:blipFill>
                    <a:blip r:embed="rId6"/>
                    <a:stretch>
                      <a:fillRect/>
                    </a:stretch>
                  </pic:blipFill>
                  <pic:spPr>
                    <a:xfrm>
                      <a:off x="0" y="0"/>
                      <a:ext cx="5943600" cy="3726180"/>
                    </a:xfrm>
                    <a:prstGeom prst="rect">
                      <a:avLst/>
                    </a:prstGeom>
                  </pic:spPr>
                </pic:pic>
              </a:graphicData>
            </a:graphic>
          </wp:inline>
        </w:drawing>
      </w:r>
    </w:p>
    <w:p w14:paraId="7E8F6FE0" w14:textId="6C62B2D6" w:rsidR="0008431E" w:rsidRPr="00B65A2D" w:rsidRDefault="0008431E">
      <w:r w:rsidRPr="00B65A2D">
        <w:t>Methodology</w:t>
      </w:r>
    </w:p>
    <w:p w14:paraId="69458D94" w14:textId="07B9D274" w:rsidR="008E6F2B" w:rsidRPr="00B65A2D" w:rsidRDefault="008E6F2B" w:rsidP="007508B8">
      <w:pPr>
        <w:pStyle w:val="ListParagraph"/>
        <w:numPr>
          <w:ilvl w:val="0"/>
          <w:numId w:val="1"/>
        </w:numPr>
      </w:pPr>
      <w:r w:rsidRPr="00B65A2D">
        <w:t xml:space="preserve">For each facility calculate LCOH. </w:t>
      </w:r>
    </w:p>
    <w:p w14:paraId="11CCFF8D" w14:textId="75A72CF1" w:rsidR="002F2742" w:rsidRPr="00B65A2D" w:rsidRDefault="002F2742" w:rsidP="002F2742">
      <w:pPr>
        <w:pStyle w:val="ListParagraph"/>
        <w:numPr>
          <w:ilvl w:val="1"/>
          <w:numId w:val="1"/>
        </w:numPr>
      </w:pPr>
      <w:r w:rsidRPr="00B65A2D">
        <w:t>Get the substitutable heat demand from fuel used.</w:t>
      </w:r>
      <w:r w:rsidR="00B3507F" w:rsidRPr="00B65A2D">
        <w:t xml:space="preserve"> Using the amount of energy that is generated by the amount of natural gas, coal, lignite, Other Solid Fuels, Liquid Fuels, Peat, we can get the heat demand. </w:t>
      </w:r>
    </w:p>
    <w:p w14:paraId="7EF087DB" w14:textId="6EE387ED" w:rsidR="00462D5C" w:rsidRPr="00B65A2D" w:rsidRDefault="00462D5C" w:rsidP="002F2742">
      <w:pPr>
        <w:pStyle w:val="ListParagraph"/>
        <w:numPr>
          <w:ilvl w:val="1"/>
          <w:numId w:val="1"/>
        </w:numPr>
      </w:pPr>
      <w:r w:rsidRPr="00B65A2D">
        <w:t xml:space="preserve">The conversion rate of fuel to heat </w:t>
      </w:r>
      <w:r w:rsidR="00E203B2" w:rsidRPr="00B65A2D">
        <w:t xml:space="preserve">output </w:t>
      </w:r>
      <w:r w:rsidRPr="00B65A2D">
        <w:t xml:space="preserve">is not adjusted. </w:t>
      </w:r>
      <w:r w:rsidR="007328F8" w:rsidRPr="00B65A2D">
        <w:t xml:space="preserve">Because the amount of energy is not converted when accounting for end use heat, the final amount might overestimate what the heat demand is. </w:t>
      </w:r>
    </w:p>
    <w:p w14:paraId="44688944" w14:textId="396283CC" w:rsidR="007508B8" w:rsidRPr="00B65A2D" w:rsidRDefault="007508B8" w:rsidP="007508B8">
      <w:pPr>
        <w:pStyle w:val="ListParagraph"/>
        <w:numPr>
          <w:ilvl w:val="0"/>
          <w:numId w:val="1"/>
        </w:numPr>
      </w:pPr>
      <w:r w:rsidRPr="00B65A2D">
        <w:t>LCOH calculations</w:t>
      </w:r>
      <w:r w:rsidR="0068110B" w:rsidRPr="00B65A2D">
        <w:t xml:space="preserve"> – least cost path</w:t>
      </w:r>
    </w:p>
    <w:p w14:paraId="2EFDC3D6" w14:textId="1C56CB3A" w:rsidR="007508B8" w:rsidRPr="00B65A2D" w:rsidRDefault="007508B8" w:rsidP="007508B8">
      <w:pPr>
        <w:pStyle w:val="ListParagraph"/>
        <w:numPr>
          <w:ilvl w:val="1"/>
          <w:numId w:val="1"/>
        </w:numPr>
      </w:pPr>
      <w:r w:rsidRPr="00B65A2D">
        <w:t>Boiler fuel use factor</w:t>
      </w:r>
      <w:r w:rsidR="002F2742" w:rsidRPr="00B65A2D">
        <w:t>: 0.9</w:t>
      </w:r>
    </w:p>
    <w:p w14:paraId="3569DA65" w14:textId="1B4D9925" w:rsidR="002F2742" w:rsidRPr="00B65A2D" w:rsidRDefault="002F2742" w:rsidP="002F2742">
      <w:pPr>
        <w:pStyle w:val="ListParagraph"/>
        <w:numPr>
          <w:ilvl w:val="2"/>
          <w:numId w:val="1"/>
        </w:numPr>
      </w:pPr>
      <w:r w:rsidRPr="00B65A2D">
        <w:t>1/0.9 = 1.111</w:t>
      </w:r>
    </w:p>
    <w:p w14:paraId="6B89D913" w14:textId="1CBD87FD" w:rsidR="007508B8" w:rsidRPr="00B65A2D" w:rsidRDefault="007508B8" w:rsidP="007508B8">
      <w:pPr>
        <w:pStyle w:val="ListParagraph"/>
        <w:numPr>
          <w:ilvl w:val="1"/>
          <w:numId w:val="1"/>
        </w:numPr>
      </w:pPr>
      <w:r w:rsidRPr="00B65A2D">
        <w:t>Energy component</w:t>
      </w:r>
      <w:r w:rsidR="002F2742" w:rsidRPr="00B65A2D">
        <w:t xml:space="preserve">: </w:t>
      </w:r>
      <w:r w:rsidR="00643577" w:rsidRPr="00B65A2D">
        <w:t>if gas price = 30.63</w:t>
      </w:r>
    </w:p>
    <w:p w14:paraId="5DCE5120" w14:textId="15EDB1B7" w:rsidR="00643577" w:rsidRPr="00B65A2D" w:rsidRDefault="00643577" w:rsidP="00643577">
      <w:pPr>
        <w:pStyle w:val="ListParagraph"/>
        <w:numPr>
          <w:ilvl w:val="2"/>
          <w:numId w:val="1"/>
        </w:numPr>
      </w:pPr>
      <w:r w:rsidRPr="00B65A2D">
        <w:t>1.111 * 30.63 = 34.033</w:t>
      </w:r>
    </w:p>
    <w:p w14:paraId="18B1CAD1" w14:textId="57CE7637" w:rsidR="007508B8" w:rsidRPr="00B65A2D" w:rsidRDefault="007508B8" w:rsidP="007508B8">
      <w:pPr>
        <w:pStyle w:val="ListParagraph"/>
        <w:numPr>
          <w:ilvl w:val="1"/>
          <w:numId w:val="1"/>
        </w:numPr>
      </w:pPr>
      <w:r w:rsidRPr="00B65A2D">
        <w:t>Carbon component</w:t>
      </w:r>
      <w:r w:rsidR="00643577" w:rsidRPr="00B65A2D">
        <w:t>: add carbon tax</w:t>
      </w:r>
    </w:p>
    <w:p w14:paraId="71D37C13" w14:textId="05FEECAA" w:rsidR="00643577" w:rsidRPr="00B65A2D" w:rsidRDefault="00643577" w:rsidP="00643577">
      <w:pPr>
        <w:pStyle w:val="ListParagraph"/>
        <w:numPr>
          <w:ilvl w:val="2"/>
          <w:numId w:val="1"/>
        </w:numPr>
      </w:pPr>
      <w:r w:rsidRPr="00B65A2D">
        <w:t>Natural gas emission factor: 0.202 tCO_2 per MWh of natural gas (LHV)</w:t>
      </w:r>
    </w:p>
    <w:p w14:paraId="316F105F" w14:textId="189BAD96" w:rsidR="00643577" w:rsidRPr="00B65A2D" w:rsidRDefault="00F13B65" w:rsidP="00643577">
      <w:pPr>
        <w:pStyle w:val="ListParagraph"/>
        <w:numPr>
          <w:ilvl w:val="2"/>
          <w:numId w:val="1"/>
        </w:numPr>
      </w:pPr>
      <w:r w:rsidRPr="00B65A2D">
        <w:t xml:space="preserve">EU_ETS price </w:t>
      </w:r>
      <w:r w:rsidR="008F06CE" w:rsidRPr="00B65A2D">
        <w:t xml:space="preserve">for carbon </w:t>
      </w:r>
      <w:r w:rsidRPr="00B65A2D">
        <w:t>= 60 in 2024</w:t>
      </w:r>
    </w:p>
    <w:p w14:paraId="13684586" w14:textId="065B0A48" w:rsidR="007508B8" w:rsidRPr="00B65A2D" w:rsidRDefault="007508B8" w:rsidP="007508B8">
      <w:pPr>
        <w:pStyle w:val="ListParagraph"/>
        <w:numPr>
          <w:ilvl w:val="1"/>
          <w:numId w:val="1"/>
        </w:numPr>
      </w:pPr>
      <w:r w:rsidRPr="00B65A2D">
        <w:lastRenderedPageBreak/>
        <w:t xml:space="preserve">Fixed components (capex, </w:t>
      </w:r>
      <w:proofErr w:type="spellStart"/>
      <w:r w:rsidRPr="00B65A2D">
        <w:t>opex</w:t>
      </w:r>
      <w:proofErr w:type="spellEnd"/>
      <w:r w:rsidRPr="00B65A2D">
        <w:t>)</w:t>
      </w:r>
    </w:p>
    <w:p w14:paraId="2E0ECF11" w14:textId="5CB1D7A7" w:rsidR="008F06CE" w:rsidRPr="00B65A2D" w:rsidRDefault="008F06CE" w:rsidP="008F06CE">
      <w:pPr>
        <w:pStyle w:val="ListParagraph"/>
        <w:numPr>
          <w:ilvl w:val="2"/>
          <w:numId w:val="1"/>
        </w:numPr>
      </w:pPr>
      <w:r w:rsidRPr="00B65A2D">
        <w:t>CRF = 8% for 20 years</w:t>
      </w:r>
    </w:p>
    <w:p w14:paraId="49A7693E" w14:textId="10FCD5FA" w:rsidR="00DC4C5C" w:rsidRPr="00B65A2D" w:rsidRDefault="00DC4C5C" w:rsidP="008F06CE">
      <w:pPr>
        <w:pStyle w:val="ListParagraph"/>
        <w:numPr>
          <w:ilvl w:val="2"/>
          <w:numId w:val="1"/>
        </w:numPr>
      </w:pPr>
      <w:r w:rsidRPr="00B65A2D">
        <w:t xml:space="preserve">0.85 industrial process </w:t>
      </w:r>
      <w:r w:rsidR="00CE038C" w:rsidRPr="00B65A2D">
        <w:t>capacity</w:t>
      </w:r>
      <w:r w:rsidR="002402EE" w:rsidRPr="00B65A2D">
        <w:t xml:space="preserve"> factor</w:t>
      </w:r>
    </w:p>
    <w:p w14:paraId="1039059D" w14:textId="74C19EAA" w:rsidR="00502261" w:rsidRPr="00B65A2D" w:rsidRDefault="00502261" w:rsidP="007508B8">
      <w:pPr>
        <w:pStyle w:val="ListParagraph"/>
        <w:numPr>
          <w:ilvl w:val="1"/>
          <w:numId w:val="1"/>
        </w:numPr>
      </w:pPr>
      <w:r w:rsidRPr="00B65A2D">
        <w:t>Sum</w:t>
      </w:r>
      <w:r w:rsidR="008F06CE" w:rsidRPr="00B65A2D">
        <w:t xml:space="preserve"> up these components</w:t>
      </w:r>
      <w:r w:rsidRPr="00B65A2D">
        <w:t xml:space="preserve"> to get LCOH</w:t>
      </w:r>
    </w:p>
    <w:p w14:paraId="0E8257B4" w14:textId="6ABB28DA" w:rsidR="0068110B" w:rsidRPr="00B65A2D" w:rsidRDefault="0068110B" w:rsidP="0068110B">
      <w:pPr>
        <w:pStyle w:val="ListParagraph"/>
        <w:numPr>
          <w:ilvl w:val="0"/>
          <w:numId w:val="1"/>
        </w:numPr>
      </w:pPr>
      <w:r w:rsidRPr="00B65A2D">
        <w:t>Feasibility</w:t>
      </w:r>
    </w:p>
    <w:p w14:paraId="71357664" w14:textId="01A06729" w:rsidR="005E2CEB" w:rsidRPr="00B65A2D" w:rsidRDefault="005E2CEB" w:rsidP="005E2CEB">
      <w:pPr>
        <w:pStyle w:val="ListParagraph"/>
        <w:numPr>
          <w:ilvl w:val="1"/>
          <w:numId w:val="1"/>
        </w:numPr>
      </w:pPr>
      <w:r w:rsidRPr="00B65A2D">
        <w:t>Land availability</w:t>
      </w:r>
    </w:p>
    <w:p w14:paraId="13F35009" w14:textId="3C97BE3C" w:rsidR="00681E49" w:rsidRPr="00B65A2D" w:rsidRDefault="00681E49" w:rsidP="00681E49">
      <w:pPr>
        <w:pStyle w:val="ListParagraph"/>
        <w:numPr>
          <w:ilvl w:val="2"/>
          <w:numId w:val="1"/>
        </w:numPr>
      </w:pPr>
      <w:r w:rsidRPr="00B65A2D">
        <w:t>Used grassland, shrubland, cropland and bare</w:t>
      </w:r>
    </w:p>
    <w:p w14:paraId="3BEC8FCD" w14:textId="0FB37522" w:rsidR="0019489C" w:rsidRPr="00B65A2D" w:rsidRDefault="0019489C" w:rsidP="00681E49">
      <w:pPr>
        <w:pStyle w:val="ListParagraph"/>
        <w:numPr>
          <w:ilvl w:val="2"/>
          <w:numId w:val="1"/>
        </w:numPr>
      </w:pPr>
      <w:r w:rsidRPr="00B65A2D">
        <w:t>Slope &gt; 5°</w:t>
      </w:r>
    </w:p>
    <w:p w14:paraId="31498FF9" w14:textId="3F936E4F" w:rsidR="0019489C" w:rsidRPr="00B65A2D" w:rsidRDefault="0019489C" w:rsidP="00681E49">
      <w:pPr>
        <w:pStyle w:val="ListParagraph"/>
        <w:numPr>
          <w:ilvl w:val="2"/>
          <w:numId w:val="1"/>
        </w:numPr>
      </w:pPr>
      <w:r w:rsidRPr="00B65A2D">
        <w:t>Not protected land</w:t>
      </w:r>
    </w:p>
    <w:p w14:paraId="04D3E912" w14:textId="2C1BEB0D" w:rsidR="00835CFE" w:rsidRDefault="00835CFE" w:rsidP="00681E49">
      <w:pPr>
        <w:pStyle w:val="ListParagraph"/>
        <w:numPr>
          <w:ilvl w:val="2"/>
          <w:numId w:val="1"/>
        </w:numPr>
      </w:pPr>
      <w:r w:rsidRPr="00B65A2D">
        <w:t>10 km</w:t>
      </w:r>
      <w:r w:rsidR="00661A26" w:rsidRPr="00B65A2D">
        <w:t xml:space="preserve"> buffer around each site. </w:t>
      </w:r>
    </w:p>
    <w:p w14:paraId="1C9EFDF7" w14:textId="209B141B" w:rsidR="003270E4" w:rsidRPr="00B65A2D" w:rsidRDefault="003270E4" w:rsidP="00681E49">
      <w:pPr>
        <w:pStyle w:val="ListParagraph"/>
        <w:numPr>
          <w:ilvl w:val="2"/>
          <w:numId w:val="1"/>
        </w:numPr>
      </w:pPr>
      <w:r>
        <w:t xml:space="preserve">If there is an overlap in the </w:t>
      </w:r>
      <w:r w:rsidR="003072A7">
        <w:t>buffer circle between more than one sites, then the energy from the shared overlap is given proportional to the heat demand to each site</w:t>
      </w:r>
    </w:p>
    <w:p w14:paraId="476FD729" w14:textId="110B3CB9" w:rsidR="005E2CEB" w:rsidRPr="00B65A2D" w:rsidRDefault="00C8547E" w:rsidP="005E2CEB">
      <w:pPr>
        <w:pStyle w:val="ListParagraph"/>
        <w:numPr>
          <w:ilvl w:val="1"/>
          <w:numId w:val="1"/>
        </w:numPr>
      </w:pPr>
      <w:r w:rsidRPr="00B65A2D">
        <w:t>Solar capacity factor</w:t>
      </w:r>
    </w:p>
    <w:p w14:paraId="0A66296F" w14:textId="593EE29F" w:rsidR="00D372BB" w:rsidRPr="00B65A2D" w:rsidRDefault="009243CD" w:rsidP="00D372BB">
      <w:pPr>
        <w:pStyle w:val="ListParagraph"/>
        <w:numPr>
          <w:ilvl w:val="2"/>
          <w:numId w:val="1"/>
        </w:numPr>
      </w:pPr>
      <w:r w:rsidRPr="00B65A2D">
        <w:t>Using the PVGIS API, I collected the kW</w:t>
      </w:r>
      <w:r w:rsidR="00793DB5" w:rsidRPr="00B65A2D">
        <w:t>/</w:t>
      </w:r>
      <w:proofErr w:type="spellStart"/>
      <w:r w:rsidRPr="00B65A2D">
        <w:t>kWp</w:t>
      </w:r>
      <w:proofErr w:type="spellEnd"/>
      <w:r w:rsidR="00793DB5" w:rsidRPr="00B65A2D">
        <w:t xml:space="preserve"> for each hour to divided it by 8760 to get the average power </w:t>
      </w:r>
    </w:p>
    <w:p w14:paraId="09AE2A78" w14:textId="6035B592" w:rsidR="00793DB5" w:rsidRPr="00B65A2D" w:rsidRDefault="00793DB5" w:rsidP="00793DB5">
      <w:pPr>
        <w:pStyle w:val="ListParagraph"/>
        <w:numPr>
          <w:ilvl w:val="1"/>
          <w:numId w:val="1"/>
        </w:numPr>
      </w:pPr>
      <w:r w:rsidRPr="00B65A2D">
        <w:t xml:space="preserve">Using the solar capacity factor, we calculate the amount of land needed for the heat demand at the site. If land availability meets that amount, then it is feasible to provide for the heat demand at that site. </w:t>
      </w:r>
    </w:p>
    <w:p w14:paraId="1F06D415" w14:textId="2ADB505B" w:rsidR="0008431E" w:rsidRDefault="0008431E">
      <w:r w:rsidRPr="00B65A2D">
        <w:t>Assumptions</w:t>
      </w:r>
    </w:p>
    <w:p w14:paraId="3370BA26" w14:textId="6454AFF8" w:rsidR="00C8717E" w:rsidRDefault="00C8717E" w:rsidP="00C8717E">
      <w:pPr>
        <w:pStyle w:val="ListParagraph"/>
        <w:numPr>
          <w:ilvl w:val="0"/>
          <w:numId w:val="1"/>
        </w:numPr>
      </w:pPr>
      <w:r>
        <w:t>Epsilon calculations are based on spread of technology by sector</w:t>
      </w:r>
    </w:p>
    <w:tbl>
      <w:tblPr>
        <w:tblW w:w="0" w:type="auto"/>
        <w:shd w:val="clear" w:color="auto" w:fill="141414"/>
        <w:tblCellMar>
          <w:top w:w="15" w:type="dxa"/>
          <w:left w:w="15" w:type="dxa"/>
          <w:bottom w:w="15" w:type="dxa"/>
          <w:right w:w="15" w:type="dxa"/>
        </w:tblCellMar>
        <w:tblLook w:val="04A0" w:firstRow="1" w:lastRow="0" w:firstColumn="1" w:lastColumn="0" w:noHBand="0" w:noVBand="1"/>
      </w:tblPr>
      <w:tblGrid>
        <w:gridCol w:w="1643"/>
        <w:gridCol w:w="1226"/>
        <w:gridCol w:w="6491"/>
      </w:tblGrid>
      <w:tr w:rsidR="00374D7F" w:rsidRPr="00374D7F" w14:paraId="4517C3B6" w14:textId="77777777">
        <w:trPr>
          <w:tblHeader/>
        </w:trPr>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2FBF5E93" w14:textId="77777777" w:rsidR="00374D7F" w:rsidRPr="00374D7F" w:rsidRDefault="00374D7F" w:rsidP="00374D7F">
            <w:pPr>
              <w:spacing w:after="0" w:line="240" w:lineRule="auto"/>
              <w:jc w:val="center"/>
              <w:rPr>
                <w:rFonts w:ascii="Segoe UI" w:eastAsia="Times New Roman" w:hAnsi="Segoe UI" w:cs="Segoe UI"/>
                <w:b/>
                <w:bCs/>
                <w:kern w:val="0"/>
                <w:sz w:val="20"/>
                <w:szCs w:val="20"/>
                <w14:ligatures w14:val="none"/>
              </w:rPr>
            </w:pPr>
            <w:r w:rsidRPr="00374D7F">
              <w:rPr>
                <w:rFonts w:ascii="Segoe UI" w:eastAsia="Times New Roman" w:hAnsi="Segoe UI" w:cs="Segoe UI"/>
                <w:b/>
                <w:bCs/>
                <w:kern w:val="0"/>
                <w:sz w:val="20"/>
                <w:szCs w:val="20"/>
                <w14:ligatures w14:val="none"/>
              </w:rPr>
              <w:t>Layer</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5B9C0930" w14:textId="77777777" w:rsidR="00374D7F" w:rsidRPr="00374D7F" w:rsidRDefault="00374D7F" w:rsidP="00374D7F">
            <w:pPr>
              <w:spacing w:after="0" w:line="240" w:lineRule="auto"/>
              <w:jc w:val="center"/>
              <w:rPr>
                <w:rFonts w:ascii="Segoe UI" w:eastAsia="Times New Roman" w:hAnsi="Segoe UI" w:cs="Segoe UI"/>
                <w:b/>
                <w:bCs/>
                <w:kern w:val="0"/>
                <w:sz w:val="20"/>
                <w:szCs w:val="20"/>
                <w14:ligatures w14:val="none"/>
              </w:rPr>
            </w:pPr>
            <w:r w:rsidRPr="00374D7F">
              <w:rPr>
                <w:rFonts w:ascii="Segoe UI" w:eastAsia="Times New Roman" w:hAnsi="Segoe UI" w:cs="Segoe UI"/>
                <w:b/>
                <w:bCs/>
                <w:kern w:val="0"/>
                <w:sz w:val="20"/>
                <w:szCs w:val="20"/>
                <w14:ligatures w14:val="none"/>
              </w:rPr>
              <w:t>Year</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0C1963D6" w14:textId="77777777" w:rsidR="00374D7F" w:rsidRPr="00374D7F" w:rsidRDefault="00374D7F" w:rsidP="00374D7F">
            <w:pPr>
              <w:spacing w:after="0" w:line="240" w:lineRule="auto"/>
              <w:jc w:val="center"/>
              <w:rPr>
                <w:rFonts w:ascii="Segoe UI" w:eastAsia="Times New Roman" w:hAnsi="Segoe UI" w:cs="Segoe UI"/>
                <w:b/>
                <w:bCs/>
                <w:kern w:val="0"/>
                <w:sz w:val="20"/>
                <w:szCs w:val="20"/>
                <w14:ligatures w14:val="none"/>
              </w:rPr>
            </w:pPr>
            <w:r w:rsidRPr="00374D7F">
              <w:rPr>
                <w:rFonts w:ascii="Segoe UI" w:eastAsia="Times New Roman" w:hAnsi="Segoe UI" w:cs="Segoe UI"/>
                <w:b/>
                <w:bCs/>
                <w:kern w:val="0"/>
                <w:sz w:val="20"/>
                <w:szCs w:val="20"/>
                <w14:ligatures w14:val="none"/>
              </w:rPr>
              <w:t>Source</w:t>
            </w:r>
          </w:p>
        </w:tc>
      </w:tr>
      <w:tr w:rsidR="00374D7F" w:rsidRPr="00374D7F" w14:paraId="0F43A152" w14:textId="77777777">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3BBBF515"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b/>
                <w:bCs/>
                <w:kern w:val="0"/>
                <w:sz w:val="20"/>
                <w:szCs w:val="20"/>
                <w14:ligatures w14:val="none"/>
              </w:rPr>
              <w:t>Facility data / heat demand</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34B609E9"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b/>
                <w:bCs/>
                <w:kern w:val="0"/>
                <w:sz w:val="20"/>
                <w:szCs w:val="20"/>
                <w14:ligatures w14:val="none"/>
              </w:rPr>
              <w:t>2024</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46A6FCF8"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kern w:val="0"/>
                <w:sz w:val="20"/>
                <w:szCs w:val="20"/>
                <w14:ligatures w14:val="none"/>
              </w:rPr>
              <w:t xml:space="preserve">E-PRTR CO₂ reporting year — the 115 </w:t>
            </w:r>
            <w:proofErr w:type="spellStart"/>
            <w:r w:rsidRPr="00374D7F">
              <w:rPr>
                <w:rFonts w:ascii="Segoe UI" w:eastAsia="Times New Roman" w:hAnsi="Segoe UI" w:cs="Segoe UI"/>
                <w:kern w:val="0"/>
                <w:sz w:val="20"/>
                <w:szCs w:val="20"/>
                <w14:ligatures w14:val="none"/>
              </w:rPr>
              <w:t>id_direct</w:t>
            </w:r>
            <w:proofErr w:type="spellEnd"/>
            <w:r w:rsidRPr="00374D7F">
              <w:rPr>
                <w:rFonts w:ascii="Segoe UI" w:eastAsia="Times New Roman" w:hAnsi="Segoe UI" w:cs="Segoe UI"/>
                <w:kern w:val="0"/>
                <w:sz w:val="20"/>
                <w:szCs w:val="20"/>
                <w14:ligatures w14:val="none"/>
              </w:rPr>
              <w:t xml:space="preserve"> facilities are all filtered to </w:t>
            </w:r>
            <w:r w:rsidRPr="00374D7F">
              <w:rPr>
                <w:rFonts w:ascii="Courier New" w:eastAsia="Times New Roman" w:hAnsi="Courier New" w:cs="Courier New"/>
                <w:color w:val="88C0D0"/>
                <w:kern w:val="0"/>
                <w:sz w:val="18"/>
                <w:szCs w:val="18"/>
                <w14:ligatures w14:val="none"/>
              </w:rPr>
              <w:t>co2_year = 2024</w:t>
            </w:r>
          </w:p>
        </w:tc>
      </w:tr>
      <w:tr w:rsidR="00374D7F" w:rsidRPr="00374D7F" w14:paraId="2489276E" w14:textId="77777777">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3090777E"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b/>
                <w:bCs/>
                <w:kern w:val="0"/>
                <w:sz w:val="20"/>
                <w:szCs w:val="20"/>
                <w14:ligatures w14:val="none"/>
              </w:rPr>
              <w:t>Gas prices</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3144F929"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b/>
                <w:bCs/>
                <w:kern w:val="0"/>
                <w:sz w:val="20"/>
                <w:szCs w:val="20"/>
                <w14:ligatures w14:val="none"/>
              </w:rPr>
              <w:t>2024</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3E17724F"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kern w:val="0"/>
                <w:sz w:val="20"/>
                <w:szCs w:val="20"/>
                <w14:ligatures w14:val="none"/>
              </w:rPr>
              <w:t>Eurostat Band I3, matched to </w:t>
            </w:r>
            <w:proofErr w:type="spellStart"/>
            <w:r w:rsidRPr="00374D7F">
              <w:rPr>
                <w:rFonts w:ascii="Courier New" w:eastAsia="Times New Roman" w:hAnsi="Courier New" w:cs="Courier New"/>
                <w:color w:val="88C0D0"/>
                <w:kern w:val="0"/>
                <w:sz w:val="18"/>
                <w:szCs w:val="18"/>
                <w14:ligatures w14:val="none"/>
              </w:rPr>
              <w:t>analysis_year</w:t>
            </w:r>
            <w:proofErr w:type="spellEnd"/>
            <w:r w:rsidRPr="00374D7F">
              <w:rPr>
                <w:rFonts w:ascii="Courier New" w:eastAsia="Times New Roman" w:hAnsi="Courier New" w:cs="Courier New"/>
                <w:color w:val="88C0D0"/>
                <w:kern w:val="0"/>
                <w:sz w:val="18"/>
                <w:szCs w:val="18"/>
                <w14:ligatures w14:val="none"/>
              </w:rPr>
              <w:t xml:space="preserve"> = 2024</w:t>
            </w:r>
            <w:r w:rsidRPr="00374D7F">
              <w:rPr>
                <w:rFonts w:ascii="Segoe UI" w:eastAsia="Times New Roman" w:hAnsi="Segoe UI" w:cs="Segoe UI"/>
                <w:kern w:val="0"/>
                <w:sz w:val="20"/>
                <w:szCs w:val="20"/>
                <w14:ligatures w14:val="none"/>
              </w:rPr>
              <w:t>; falls back to nearest available year if 2024 not yet published</w:t>
            </w:r>
          </w:p>
        </w:tc>
      </w:tr>
      <w:tr w:rsidR="00374D7F" w:rsidRPr="00374D7F" w14:paraId="184132D5" w14:textId="77777777">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3CBA5B90"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b/>
                <w:bCs/>
                <w:kern w:val="0"/>
                <w:sz w:val="20"/>
                <w:szCs w:val="20"/>
                <w14:ligatures w14:val="none"/>
              </w:rPr>
              <w:t>PVGIS solar CF</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54576A6B"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b/>
                <w:bCs/>
                <w:kern w:val="0"/>
                <w:sz w:val="20"/>
                <w:szCs w:val="20"/>
                <w14:ligatures w14:val="none"/>
              </w:rPr>
              <w:t>2023</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389A732C"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kern w:val="0"/>
                <w:sz w:val="20"/>
                <w:szCs w:val="20"/>
                <w14:ligatures w14:val="none"/>
              </w:rPr>
              <w:t>PVGIS ERA5 API — most recent complete year available when the pull was run; hourly timestamps start 2023-01-01</w:t>
            </w:r>
          </w:p>
        </w:tc>
      </w:tr>
      <w:tr w:rsidR="00374D7F" w:rsidRPr="00374D7F" w14:paraId="650D4A70" w14:textId="77777777">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1847D2AC"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b/>
                <w:bCs/>
                <w:kern w:val="0"/>
                <w:sz w:val="20"/>
                <w:szCs w:val="20"/>
                <w14:ligatures w14:val="none"/>
              </w:rPr>
              <w:t>BNEF technology costs</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1669DA4B"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b/>
                <w:bCs/>
                <w:kern w:val="0"/>
                <w:sz w:val="20"/>
                <w:szCs w:val="20"/>
                <w14:ligatures w14:val="none"/>
              </w:rPr>
              <w:t>2025</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75E81F7F"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kern w:val="0"/>
                <w:sz w:val="20"/>
                <w:szCs w:val="20"/>
                <w14:ligatures w14:val="none"/>
              </w:rPr>
              <w:t>All </w:t>
            </w:r>
            <w:proofErr w:type="spellStart"/>
            <w:r w:rsidRPr="00374D7F">
              <w:rPr>
                <w:rFonts w:ascii="Courier New" w:eastAsia="Times New Roman" w:hAnsi="Courier New" w:cs="Courier New"/>
                <w:color w:val="88C0D0"/>
                <w:kern w:val="0"/>
                <w:sz w:val="18"/>
                <w:szCs w:val="18"/>
                <w14:ligatures w14:val="none"/>
              </w:rPr>
              <w:t>analysis_year</w:t>
            </w:r>
            <w:proofErr w:type="spellEnd"/>
            <w:r w:rsidRPr="00374D7F">
              <w:rPr>
                <w:rFonts w:ascii="Courier New" w:eastAsia="Times New Roman" w:hAnsi="Courier New" w:cs="Courier New"/>
                <w:color w:val="88C0D0"/>
                <w:kern w:val="0"/>
                <w:sz w:val="18"/>
                <w:szCs w:val="18"/>
                <w14:ligatures w14:val="none"/>
              </w:rPr>
              <w:t xml:space="preserve"> ≤ 2027</w:t>
            </w:r>
            <w:r w:rsidRPr="00374D7F">
              <w:rPr>
                <w:rFonts w:ascii="Segoe UI" w:eastAsia="Times New Roman" w:hAnsi="Segoe UI" w:cs="Segoe UI"/>
                <w:kern w:val="0"/>
                <w:sz w:val="20"/>
                <w:szCs w:val="20"/>
                <w14:ligatures w14:val="none"/>
              </w:rPr>
              <w:t> map to BNEF 2025 via </w:t>
            </w:r>
            <w:proofErr w:type="spellStart"/>
            <w:r w:rsidRPr="00374D7F">
              <w:rPr>
                <w:rFonts w:ascii="Courier New" w:eastAsia="Times New Roman" w:hAnsi="Courier New" w:cs="Courier New"/>
                <w:color w:val="88C0D0"/>
                <w:kern w:val="0"/>
                <w:sz w:val="18"/>
                <w:szCs w:val="18"/>
                <w14:ligatures w14:val="none"/>
              </w:rPr>
              <w:t>map_to_bnef_</w:t>
            </w:r>
            <w:proofErr w:type="gramStart"/>
            <w:r w:rsidRPr="00374D7F">
              <w:rPr>
                <w:rFonts w:ascii="Courier New" w:eastAsia="Times New Roman" w:hAnsi="Courier New" w:cs="Courier New"/>
                <w:color w:val="88C0D0"/>
                <w:kern w:val="0"/>
                <w:sz w:val="18"/>
                <w:szCs w:val="18"/>
                <w14:ligatures w14:val="none"/>
              </w:rPr>
              <w:t>year</w:t>
            </w:r>
            <w:proofErr w:type="spellEnd"/>
            <w:r w:rsidRPr="00374D7F">
              <w:rPr>
                <w:rFonts w:ascii="Courier New" w:eastAsia="Times New Roman" w:hAnsi="Courier New" w:cs="Courier New"/>
                <w:color w:val="88C0D0"/>
                <w:kern w:val="0"/>
                <w:sz w:val="18"/>
                <w:szCs w:val="18"/>
                <w14:ligatures w14:val="none"/>
              </w:rPr>
              <w:t>(</w:t>
            </w:r>
            <w:proofErr w:type="gramEnd"/>
            <w:r w:rsidRPr="00374D7F">
              <w:rPr>
                <w:rFonts w:ascii="Courier New" w:eastAsia="Times New Roman" w:hAnsi="Courier New" w:cs="Courier New"/>
                <w:color w:val="88C0D0"/>
                <w:kern w:val="0"/>
                <w:sz w:val="18"/>
                <w:szCs w:val="18"/>
                <w14:ligatures w14:val="none"/>
              </w:rPr>
              <w:t>)</w:t>
            </w:r>
            <w:r w:rsidRPr="00374D7F">
              <w:rPr>
                <w:rFonts w:ascii="Segoe UI" w:eastAsia="Times New Roman" w:hAnsi="Segoe UI" w:cs="Segoe UI"/>
                <w:kern w:val="0"/>
                <w:sz w:val="20"/>
                <w:szCs w:val="20"/>
                <w14:ligatures w14:val="none"/>
              </w:rPr>
              <w:t> — this covers CAPEX, annual cost ($/kW/yr), and LCOE for both PV and heat battery</w:t>
            </w:r>
          </w:p>
        </w:tc>
      </w:tr>
      <w:tr w:rsidR="00374D7F" w:rsidRPr="00374D7F" w14:paraId="6BA1097F" w14:textId="77777777">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49ED9BE7"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b/>
                <w:bCs/>
                <w:kern w:val="0"/>
                <w:sz w:val="20"/>
                <w:szCs w:val="20"/>
                <w14:ligatures w14:val="none"/>
              </w:rPr>
              <w:t>EUR/USD exchange rate</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3B82D85E"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b/>
                <w:bCs/>
                <w:kern w:val="0"/>
                <w:sz w:val="20"/>
                <w:szCs w:val="20"/>
                <w14:ligatures w14:val="none"/>
              </w:rPr>
              <w:t>2024</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25B353C2"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kern w:val="0"/>
                <w:sz w:val="20"/>
                <w:szCs w:val="20"/>
                <w14:ligatures w14:val="none"/>
              </w:rPr>
              <w:t>ECB 2024 annual average = 0.921, used to convert BNEF USD costs to EUR</w:t>
            </w:r>
          </w:p>
        </w:tc>
      </w:tr>
      <w:tr w:rsidR="00374D7F" w:rsidRPr="00374D7F" w14:paraId="0232DF62" w14:textId="77777777">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1BF64D0B"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b/>
                <w:bCs/>
                <w:kern w:val="0"/>
                <w:sz w:val="20"/>
                <w:szCs w:val="20"/>
                <w14:ligatures w14:val="none"/>
              </w:rPr>
              <w:t>Carbon (ETS) price</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52F654DE"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kern w:val="0"/>
                <w:sz w:val="20"/>
                <w:szCs w:val="20"/>
                <w14:ligatures w14:val="none"/>
              </w:rPr>
              <w:t>Hard-coded schedule</w:t>
            </w:r>
          </w:p>
        </w:tc>
        <w:tc>
          <w:tcPr>
            <w:tcW w:w="0" w:type="auto"/>
            <w:tcBorders>
              <w:top w:val="nil"/>
              <w:left w:val="nil"/>
              <w:bottom w:val="nil"/>
              <w:right w:val="nil"/>
            </w:tcBorders>
            <w:shd w:val="clear" w:color="auto" w:fill="141414"/>
            <w:tcMar>
              <w:top w:w="30" w:type="dxa"/>
              <w:left w:w="30" w:type="dxa"/>
              <w:bottom w:w="30" w:type="dxa"/>
              <w:right w:w="30" w:type="dxa"/>
            </w:tcMar>
            <w:vAlign w:val="center"/>
            <w:hideMark/>
          </w:tcPr>
          <w:p w14:paraId="4F22B97D" w14:textId="77777777" w:rsidR="00374D7F" w:rsidRPr="00374D7F" w:rsidRDefault="00374D7F" w:rsidP="00374D7F">
            <w:pPr>
              <w:spacing w:after="0" w:line="240" w:lineRule="auto"/>
              <w:rPr>
                <w:rFonts w:ascii="Segoe UI" w:eastAsia="Times New Roman" w:hAnsi="Segoe UI" w:cs="Segoe UI"/>
                <w:kern w:val="0"/>
                <w:sz w:val="20"/>
                <w:szCs w:val="20"/>
                <w14:ligatures w14:val="none"/>
              </w:rPr>
            </w:pPr>
            <w:r w:rsidRPr="00374D7F">
              <w:rPr>
                <w:rFonts w:ascii="Segoe UI" w:eastAsia="Times New Roman" w:hAnsi="Segoe UI" w:cs="Segoe UI"/>
                <w:kern w:val="0"/>
                <w:sz w:val="20"/>
                <w:szCs w:val="20"/>
                <w14:ligatures w14:val="none"/>
              </w:rPr>
              <w:t>2024 = €60/t, 2025 = €55/t in the assumptions table</w:t>
            </w:r>
          </w:p>
        </w:tc>
      </w:tr>
    </w:tbl>
    <w:p w14:paraId="6D42E045" w14:textId="77777777" w:rsidR="00374D7F" w:rsidRPr="00B65A2D" w:rsidRDefault="00374D7F" w:rsidP="00C8717E">
      <w:pPr>
        <w:pStyle w:val="ListParagraph"/>
        <w:numPr>
          <w:ilvl w:val="0"/>
          <w:numId w:val="1"/>
        </w:numPr>
      </w:pPr>
    </w:p>
    <w:p w14:paraId="70851E81" w14:textId="713F06D5" w:rsidR="0023524A" w:rsidRDefault="0023524A">
      <w:r>
        <w:br w:type="page"/>
      </w:r>
    </w:p>
    <w:p w14:paraId="19F611A4" w14:textId="0F2510BE" w:rsidR="0008431E" w:rsidRDefault="00606D0A">
      <w:r>
        <w:lastRenderedPageBreak/>
        <w:t>Appendix</w:t>
      </w:r>
    </w:p>
    <w:p w14:paraId="4791E025" w14:textId="63AC797A" w:rsidR="00606D0A" w:rsidRDefault="00606D0A">
      <w:r>
        <w:t>Epsilon Calculations</w:t>
      </w:r>
    </w:p>
    <w:p w14:paraId="06910003" w14:textId="5AB76747" w:rsidR="00F46AB6" w:rsidRDefault="00F46AB6" w:rsidP="00F46AB6">
      <w:pPr>
        <w:pStyle w:val="ListParagraph"/>
        <w:numPr>
          <w:ilvl w:val="0"/>
          <w:numId w:val="3"/>
        </w:numPr>
      </w:pPr>
      <w:r>
        <w:t>Technology mix based on published data</w:t>
      </w:r>
      <w:r w:rsidR="001565F4">
        <w:t xml:space="preserve"> (for only substitutable fuels – not biomass)</w:t>
      </w:r>
    </w:p>
    <w:p w14:paraId="7933B4E0" w14:textId="0528CACF" w:rsidR="00F46AB6" w:rsidRDefault="00F46AB6" w:rsidP="00F46AB6">
      <w:pPr>
        <w:pStyle w:val="ListParagraph"/>
        <w:numPr>
          <w:ilvl w:val="0"/>
          <w:numId w:val="3"/>
        </w:numPr>
      </w:pPr>
      <w:r>
        <w:t>Epsilon (efficiency) of each technology</w:t>
      </w:r>
    </w:p>
    <w:p w14:paraId="55480A20" w14:textId="5CB4DD20" w:rsidR="00F46AB6" w:rsidRDefault="00F46AB6" w:rsidP="00F46AB6">
      <w:pPr>
        <w:pStyle w:val="ListParagraph"/>
        <w:numPr>
          <w:ilvl w:val="0"/>
          <w:numId w:val="3"/>
        </w:numPr>
      </w:pPr>
      <w:r>
        <w:t xml:space="preserve">Weighted average </w:t>
      </w:r>
      <w:r w:rsidR="0035594E">
        <w:t>of the technology mix and the efficiency of the two to get the epsilon for an activity</w:t>
      </w:r>
    </w:p>
    <w:p w14:paraId="34CD138B" w14:textId="77777777" w:rsidR="00877BAD" w:rsidRDefault="00877BAD" w:rsidP="00877BAD"/>
    <w:p w14:paraId="744DC4A2" w14:textId="77777777" w:rsidR="00606D0A" w:rsidRPr="00B65A2D" w:rsidRDefault="00606D0A"/>
    <w:sectPr w:rsidR="00606D0A" w:rsidRPr="00B65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247E1"/>
    <w:multiLevelType w:val="hybridMultilevel"/>
    <w:tmpl w:val="BF62C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A10665"/>
    <w:multiLevelType w:val="hybridMultilevel"/>
    <w:tmpl w:val="46686126"/>
    <w:lvl w:ilvl="0" w:tplc="50006454">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427C08"/>
    <w:multiLevelType w:val="hybridMultilevel"/>
    <w:tmpl w:val="FBBE3D18"/>
    <w:lvl w:ilvl="0" w:tplc="9A26138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1367167">
    <w:abstractNumId w:val="1"/>
  </w:num>
  <w:num w:numId="2" w16cid:durableId="2059233065">
    <w:abstractNumId w:val="2"/>
  </w:num>
  <w:num w:numId="3" w16cid:durableId="66382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2D0"/>
    <w:rsid w:val="00060FE9"/>
    <w:rsid w:val="0008431E"/>
    <w:rsid w:val="000A2C58"/>
    <w:rsid w:val="000B61E8"/>
    <w:rsid w:val="000F422B"/>
    <w:rsid w:val="000F7DD8"/>
    <w:rsid w:val="00116B93"/>
    <w:rsid w:val="00127F44"/>
    <w:rsid w:val="00140470"/>
    <w:rsid w:val="001565F4"/>
    <w:rsid w:val="0019489C"/>
    <w:rsid w:val="001B6098"/>
    <w:rsid w:val="001C4BF2"/>
    <w:rsid w:val="001C6781"/>
    <w:rsid w:val="001D6182"/>
    <w:rsid w:val="0023524A"/>
    <w:rsid w:val="002402EE"/>
    <w:rsid w:val="00253C9E"/>
    <w:rsid w:val="00257720"/>
    <w:rsid w:val="002652D0"/>
    <w:rsid w:val="00283E2B"/>
    <w:rsid w:val="00290432"/>
    <w:rsid w:val="002B197F"/>
    <w:rsid w:val="002F2742"/>
    <w:rsid w:val="003072A7"/>
    <w:rsid w:val="00312639"/>
    <w:rsid w:val="00320DA1"/>
    <w:rsid w:val="00322FE0"/>
    <w:rsid w:val="003245DF"/>
    <w:rsid w:val="003270E4"/>
    <w:rsid w:val="0033219C"/>
    <w:rsid w:val="0034237B"/>
    <w:rsid w:val="0035594E"/>
    <w:rsid w:val="00371F6B"/>
    <w:rsid w:val="00374D7F"/>
    <w:rsid w:val="003901E1"/>
    <w:rsid w:val="003E1F36"/>
    <w:rsid w:val="00417286"/>
    <w:rsid w:val="00436DD1"/>
    <w:rsid w:val="00442ADA"/>
    <w:rsid w:val="00462D5C"/>
    <w:rsid w:val="004C5B8C"/>
    <w:rsid w:val="004E0491"/>
    <w:rsid w:val="00502261"/>
    <w:rsid w:val="00523B8B"/>
    <w:rsid w:val="00553460"/>
    <w:rsid w:val="00584262"/>
    <w:rsid w:val="005A19D0"/>
    <w:rsid w:val="005A6DBB"/>
    <w:rsid w:val="005A7082"/>
    <w:rsid w:val="005E2CEB"/>
    <w:rsid w:val="00606D0A"/>
    <w:rsid w:val="00617F85"/>
    <w:rsid w:val="00643577"/>
    <w:rsid w:val="00653B56"/>
    <w:rsid w:val="00661A26"/>
    <w:rsid w:val="00671885"/>
    <w:rsid w:val="0068110B"/>
    <w:rsid w:val="00681E49"/>
    <w:rsid w:val="006E2FE7"/>
    <w:rsid w:val="00704644"/>
    <w:rsid w:val="0071593E"/>
    <w:rsid w:val="007328F8"/>
    <w:rsid w:val="00736707"/>
    <w:rsid w:val="007508B8"/>
    <w:rsid w:val="00785A64"/>
    <w:rsid w:val="00793DB5"/>
    <w:rsid w:val="007B7DDA"/>
    <w:rsid w:val="007D51C5"/>
    <w:rsid w:val="007E615A"/>
    <w:rsid w:val="007E6A7B"/>
    <w:rsid w:val="00835CFE"/>
    <w:rsid w:val="008402D2"/>
    <w:rsid w:val="008434F7"/>
    <w:rsid w:val="00851EE7"/>
    <w:rsid w:val="00877BAD"/>
    <w:rsid w:val="008962DA"/>
    <w:rsid w:val="008B2073"/>
    <w:rsid w:val="008B7DB3"/>
    <w:rsid w:val="008C36D0"/>
    <w:rsid w:val="008E6F2B"/>
    <w:rsid w:val="008F06CE"/>
    <w:rsid w:val="00900F35"/>
    <w:rsid w:val="00902DCF"/>
    <w:rsid w:val="0090672F"/>
    <w:rsid w:val="00917CB1"/>
    <w:rsid w:val="009243CD"/>
    <w:rsid w:val="009D4D37"/>
    <w:rsid w:val="00A24365"/>
    <w:rsid w:val="00A575FA"/>
    <w:rsid w:val="00AE14EC"/>
    <w:rsid w:val="00AF67D6"/>
    <w:rsid w:val="00B16D63"/>
    <w:rsid w:val="00B23E1F"/>
    <w:rsid w:val="00B3507F"/>
    <w:rsid w:val="00B65A2D"/>
    <w:rsid w:val="00B764CD"/>
    <w:rsid w:val="00BC52E1"/>
    <w:rsid w:val="00BD48A2"/>
    <w:rsid w:val="00BF020D"/>
    <w:rsid w:val="00C00730"/>
    <w:rsid w:val="00C04E84"/>
    <w:rsid w:val="00C16ECF"/>
    <w:rsid w:val="00C40559"/>
    <w:rsid w:val="00C4774C"/>
    <w:rsid w:val="00C675A9"/>
    <w:rsid w:val="00C8547E"/>
    <w:rsid w:val="00C8717E"/>
    <w:rsid w:val="00C92E9A"/>
    <w:rsid w:val="00CE038C"/>
    <w:rsid w:val="00CE64AB"/>
    <w:rsid w:val="00D038AC"/>
    <w:rsid w:val="00D336AC"/>
    <w:rsid w:val="00D372BB"/>
    <w:rsid w:val="00D404C6"/>
    <w:rsid w:val="00DA752F"/>
    <w:rsid w:val="00DB258C"/>
    <w:rsid w:val="00DC4C5C"/>
    <w:rsid w:val="00DC7199"/>
    <w:rsid w:val="00E203B2"/>
    <w:rsid w:val="00E51C87"/>
    <w:rsid w:val="00E52CF4"/>
    <w:rsid w:val="00E53AED"/>
    <w:rsid w:val="00EC37CB"/>
    <w:rsid w:val="00ED5776"/>
    <w:rsid w:val="00EF07D0"/>
    <w:rsid w:val="00EF3C77"/>
    <w:rsid w:val="00EF61BA"/>
    <w:rsid w:val="00F0570D"/>
    <w:rsid w:val="00F13B65"/>
    <w:rsid w:val="00F24851"/>
    <w:rsid w:val="00F31098"/>
    <w:rsid w:val="00F46AB6"/>
    <w:rsid w:val="00F53098"/>
    <w:rsid w:val="00F86C53"/>
    <w:rsid w:val="00F87651"/>
    <w:rsid w:val="00FB7028"/>
    <w:rsid w:val="00FC325A"/>
    <w:rsid w:val="00FE24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7F01302"/>
  <w15:chartTrackingRefBased/>
  <w15:docId w15:val="{212A5CC6-3069-C54E-97E1-A8813F8A2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5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5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2D0"/>
    <w:rPr>
      <w:rFonts w:eastAsiaTheme="majorEastAsia" w:cstheme="majorBidi"/>
      <w:color w:val="272727" w:themeColor="text1" w:themeTint="D8"/>
    </w:rPr>
  </w:style>
  <w:style w:type="paragraph" w:styleId="Title">
    <w:name w:val="Title"/>
    <w:basedOn w:val="Normal"/>
    <w:next w:val="Normal"/>
    <w:link w:val="TitleChar"/>
    <w:uiPriority w:val="10"/>
    <w:qFormat/>
    <w:rsid w:val="00265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2D0"/>
    <w:pPr>
      <w:spacing w:before="160"/>
      <w:jc w:val="center"/>
    </w:pPr>
    <w:rPr>
      <w:i/>
      <w:iCs/>
      <w:color w:val="404040" w:themeColor="text1" w:themeTint="BF"/>
    </w:rPr>
  </w:style>
  <w:style w:type="character" w:customStyle="1" w:styleId="QuoteChar">
    <w:name w:val="Quote Char"/>
    <w:basedOn w:val="DefaultParagraphFont"/>
    <w:link w:val="Quote"/>
    <w:uiPriority w:val="29"/>
    <w:rsid w:val="002652D0"/>
    <w:rPr>
      <w:i/>
      <w:iCs/>
      <w:color w:val="404040" w:themeColor="text1" w:themeTint="BF"/>
    </w:rPr>
  </w:style>
  <w:style w:type="paragraph" w:styleId="ListParagraph">
    <w:name w:val="List Paragraph"/>
    <w:basedOn w:val="Normal"/>
    <w:uiPriority w:val="34"/>
    <w:qFormat/>
    <w:rsid w:val="002652D0"/>
    <w:pPr>
      <w:ind w:left="720"/>
      <w:contextualSpacing/>
    </w:pPr>
  </w:style>
  <w:style w:type="character" w:styleId="IntenseEmphasis">
    <w:name w:val="Intense Emphasis"/>
    <w:basedOn w:val="DefaultParagraphFont"/>
    <w:uiPriority w:val="21"/>
    <w:qFormat/>
    <w:rsid w:val="002652D0"/>
    <w:rPr>
      <w:i/>
      <w:iCs/>
      <w:color w:val="0F4761" w:themeColor="accent1" w:themeShade="BF"/>
    </w:rPr>
  </w:style>
  <w:style w:type="paragraph" w:styleId="IntenseQuote">
    <w:name w:val="Intense Quote"/>
    <w:basedOn w:val="Normal"/>
    <w:next w:val="Normal"/>
    <w:link w:val="IntenseQuoteChar"/>
    <w:uiPriority w:val="30"/>
    <w:qFormat/>
    <w:rsid w:val="00265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2D0"/>
    <w:rPr>
      <w:i/>
      <w:iCs/>
      <w:color w:val="0F4761" w:themeColor="accent1" w:themeShade="BF"/>
    </w:rPr>
  </w:style>
  <w:style w:type="character" w:styleId="IntenseReference">
    <w:name w:val="Intense Reference"/>
    <w:basedOn w:val="DefaultParagraphFont"/>
    <w:uiPriority w:val="32"/>
    <w:qFormat/>
    <w:rsid w:val="002652D0"/>
    <w:rPr>
      <w:b/>
      <w:bCs/>
      <w:smallCaps/>
      <w:color w:val="0F4761" w:themeColor="accent1" w:themeShade="BF"/>
      <w:spacing w:val="5"/>
    </w:rPr>
  </w:style>
  <w:style w:type="table" w:styleId="TableGrid">
    <w:name w:val="Table Grid"/>
    <w:basedOn w:val="TableNormal"/>
    <w:uiPriority w:val="39"/>
    <w:rsid w:val="007159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7159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F31098"/>
    <w:rPr>
      <w:color w:val="467886" w:themeColor="hyperlink"/>
      <w:u w:val="single"/>
    </w:rPr>
  </w:style>
  <w:style w:type="character" w:styleId="UnresolvedMention">
    <w:name w:val="Unresolved Mention"/>
    <w:basedOn w:val="DefaultParagraphFont"/>
    <w:uiPriority w:val="99"/>
    <w:semiHidden/>
    <w:unhideWhenUsed/>
    <w:rsid w:val="00F31098"/>
    <w:rPr>
      <w:color w:val="605E5C"/>
      <w:shd w:val="clear" w:color="auto" w:fill="E1DFDD"/>
    </w:rPr>
  </w:style>
  <w:style w:type="character" w:styleId="Strong">
    <w:name w:val="Strong"/>
    <w:basedOn w:val="DefaultParagraphFont"/>
    <w:uiPriority w:val="22"/>
    <w:qFormat/>
    <w:rsid w:val="00374D7F"/>
    <w:rPr>
      <w:b/>
      <w:bCs/>
    </w:rPr>
  </w:style>
  <w:style w:type="character" w:styleId="HTMLCode">
    <w:name w:val="HTML Code"/>
    <w:basedOn w:val="DefaultParagraphFont"/>
    <w:uiPriority w:val="99"/>
    <w:semiHidden/>
    <w:unhideWhenUsed/>
    <w:rsid w:val="00374D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c.europa.eu/eurostat/databrowser/view/nrg_pc_203_c/default/table?lang=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5</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Yuen</dc:creator>
  <cp:keywords/>
  <dc:description/>
  <cp:lastModifiedBy>Anna Yuen</cp:lastModifiedBy>
  <cp:revision>132</cp:revision>
  <dcterms:created xsi:type="dcterms:W3CDTF">2026-06-02T15:05:00Z</dcterms:created>
  <dcterms:modified xsi:type="dcterms:W3CDTF">2026-06-15T21:29:00Z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id="q0FdqWk8"/&gt;&lt;style id="http://www.zotero.org/styles/apa" locale="en-US"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