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F6503" w14:textId="77777777" w:rsidR="006D3FDC" w:rsidRDefault="006D3FDC" w:rsidP="00FF39E7">
      <w:pPr>
        <w:pStyle w:val="PaperAuthor"/>
        <w:rPr>
          <w:i w:val="0"/>
          <w:sz w:val="36"/>
        </w:rPr>
      </w:pPr>
      <w:r>
        <w:rPr>
          <w:i w:val="0"/>
          <w:sz w:val="36"/>
        </w:rPr>
        <w:t xml:space="preserve">Facility-level Techno-economic Potential of Electrified Industrial Process Heat in European Manufacturing </w:t>
      </w:r>
    </w:p>
    <w:p w14:paraId="5F92DFE2" w14:textId="77777777" w:rsidR="00FF39E7" w:rsidRPr="00846584" w:rsidRDefault="00775901" w:rsidP="00FF39E7">
      <w:pPr>
        <w:pStyle w:val="PaperAuthor"/>
      </w:pPr>
      <w:r>
        <w:t>Anna Yuen</w:t>
      </w:r>
      <w:r>
        <w:rPr>
          <w:vertAlign w:val="superscript"/>
        </w:rPr>
        <w:t>1, 2, *</w:t>
      </w:r>
      <w:r>
        <w:t>, Amol Phadke</w:t>
      </w:r>
      <w:r>
        <w:rPr>
          <w:vertAlign w:val="superscript"/>
        </w:rPr>
        <w:t>2</w:t>
      </w:r>
    </w:p>
    <w:p w14:paraId="20A3B8FF" w14:textId="77777777" w:rsidR="00FF39E7" w:rsidRPr="00846584" w:rsidRDefault="00FF39E7" w:rsidP="005950AA">
      <w:pPr>
        <w:pStyle w:val="PaperAffiliations"/>
        <w:spacing w:after="0"/>
      </w:pPr>
      <w:r>
        <w:rPr>
          <w:vertAlign w:val="superscript"/>
        </w:rPr>
        <w:t>1</w:t>
      </w:r>
      <w:r>
        <w:t>Energy and Resources Group, University of California, Berkeley</w:t>
      </w:r>
      <w:r>
        <w:br/>
      </w:r>
      <w:r>
        <w:rPr>
          <w:vertAlign w:val="superscript"/>
        </w:rPr>
        <w:t>2</w:t>
      </w:r>
      <w:r>
        <w:t>Goldman School of Public Policy, University of California, Berkeley</w:t>
      </w:r>
      <w:r>
        <w:br/>
        <w:t xml:space="preserve">*Corresponding author. Email: anna_yuen@berkeley.edu </w:t>
      </w:r>
    </w:p>
    <w:p w14:paraId="43FCC496" w14:textId="77777777" w:rsidR="00B91C50" w:rsidRPr="00846584" w:rsidRDefault="00B91C50" w:rsidP="00B91C50">
      <w:pPr>
        <w:pStyle w:val="PaperAffiliations"/>
        <w:jc w:val="left"/>
        <w:rPr>
          <w:i w:val="0"/>
        </w:rPr>
      </w:pPr>
    </w:p>
    <w:p w14:paraId="530E7FF0" w14:textId="77777777" w:rsidR="00FF39E7" w:rsidRPr="00846584" w:rsidRDefault="00FF39E7" w:rsidP="00FF39E7">
      <w:pPr>
        <w:pStyle w:val="PaperParagraphs"/>
      </w:pPr>
      <w:r>
        <w:rPr>
          <w:b/>
        </w:rPr>
        <w:t>Keywords</w:t>
      </w:r>
      <w:r>
        <w:t>: Industrial Decarbonization, Heat Pumps, Heat Batteries, Off-Grid Solar PV, Techno-economic analysis</w:t>
      </w:r>
    </w:p>
    <w:p w14:paraId="6E4F0508" w14:textId="77777777" w:rsidR="00B91C50" w:rsidRPr="00846584" w:rsidRDefault="00B91C50" w:rsidP="00FF39E7">
      <w:pPr>
        <w:pStyle w:val="PaperHeading"/>
        <w:sectPr w:rsidR="00B91C50" w:rsidRPr="00846584" w:rsidSect="00EC323B">
          <w:headerReference w:type="default" r:id="rId8"/>
          <w:footerReference w:type="default" r:id="rId9"/>
          <w:pgSz w:w="11906" w:h="16838"/>
          <w:pgMar w:top="1440" w:right="1440" w:bottom="1440" w:left="1440" w:header="708" w:footer="708" w:gutter="0"/>
          <w:cols w:space="708"/>
          <w:docGrid w:linePitch="360"/>
        </w:sectPr>
      </w:pPr>
    </w:p>
    <w:p w14:paraId="688104DB" w14:textId="77777777" w:rsidR="00FF39E7" w:rsidRPr="00846584" w:rsidRDefault="00FF39E7" w:rsidP="00FF39E7">
      <w:pPr>
        <w:pStyle w:val="PaperHeading"/>
      </w:pPr>
      <w:r>
        <w:t>Abstract</w:t>
      </w:r>
    </w:p>
    <w:p w14:paraId="38A436A0" w14:textId="1D723FDC" w:rsidR="0076740D" w:rsidRPr="00F7426E" w:rsidRDefault="00AF2B2C" w:rsidP="00751FB3">
      <w:pPr>
        <w:spacing w:after="200"/>
        <w:jc w:val="both"/>
        <w:rPr>
          <w:sz w:val="20"/>
          <w:szCs w:val="20"/>
        </w:rPr>
      </w:pPr>
      <w:r>
        <w:rPr>
          <w:sz w:val="20"/>
          <w:szCs w:val="20"/>
        </w:rPr>
        <w:t>Industrial process heat has dominated industrial manufacturing emissions in the EU. Yet, there are readily available non-fossil fueled solutions that can generate process heat. Industrial heat pumps and heat batteries paired with on-site solar PV can be a potential solution</w:t>
      </w:r>
      <w:r w:rsidR="00730495">
        <w:rPr>
          <w:sz w:val="20"/>
          <w:szCs w:val="20"/>
        </w:rPr>
        <w:t xml:space="preserve"> to bring power to heat generation quickly</w:t>
      </w:r>
      <w:r>
        <w:rPr>
          <w:sz w:val="20"/>
          <w:szCs w:val="20"/>
        </w:rPr>
        <w:t>. Using 2,192 facility dataset of different manufacturing sectors from Climate TRACE, each facility is modelled with co-located, off-grid solar PV with industrial heat pumps and batteries installed in 2030. Under this modelled configuration, 5</w:t>
      </w:r>
      <w:r w:rsidR="001743E0">
        <w:rPr>
          <w:sz w:val="20"/>
          <w:szCs w:val="20"/>
        </w:rPr>
        <w:t>8.8</w:t>
      </w:r>
      <w:r>
        <w:rPr>
          <w:sz w:val="20"/>
          <w:szCs w:val="20"/>
        </w:rPr>
        <w:t>% of total process heat can be decarbonized using solar PV within a 5km buffer zone around each facility site at an average levelized cost of heat at €</w:t>
      </w:r>
      <w:r w:rsidR="0076260B">
        <w:rPr>
          <w:sz w:val="20"/>
          <w:szCs w:val="20"/>
        </w:rPr>
        <w:t>55</w:t>
      </w:r>
      <w:r>
        <w:rPr>
          <w:sz w:val="20"/>
          <w:szCs w:val="20"/>
        </w:rPr>
        <w:t>/MWh. After expanding the buffer zone to 15km, the share of possible decarbonized heat increased to 8</w:t>
      </w:r>
      <w:r w:rsidR="00E927D8">
        <w:rPr>
          <w:sz w:val="20"/>
          <w:szCs w:val="20"/>
        </w:rPr>
        <w:t>4.4</w:t>
      </w:r>
      <w:r>
        <w:rPr>
          <w:sz w:val="20"/>
          <w:szCs w:val="20"/>
        </w:rPr>
        <w:t xml:space="preserve">% of process heat at €68/MWh. Each facility is optimized to provide the highest availability under its country’s gas prices. These results </w:t>
      </w:r>
      <w:r w:rsidR="0046405B">
        <w:rPr>
          <w:sz w:val="20"/>
          <w:szCs w:val="20"/>
        </w:rPr>
        <w:t xml:space="preserve">show that Southern Europe is ready to decarbonize almost </w:t>
      </w:r>
      <w:r w:rsidR="00127076">
        <w:rPr>
          <w:sz w:val="20"/>
          <w:szCs w:val="20"/>
        </w:rPr>
        <w:t>all</w:t>
      </w:r>
      <w:r w:rsidR="0046405B">
        <w:rPr>
          <w:sz w:val="20"/>
          <w:szCs w:val="20"/>
        </w:rPr>
        <w:t xml:space="preserve"> its industrial process heat. Central Europe (Rhine-Meuse Region), where most of the large, heat intensive sources are located, can decarbonize using on-site solar plus storage but will likely require grid electricity or continued gas use</w:t>
      </w:r>
      <w:r>
        <w:rPr>
          <w:sz w:val="20"/>
          <w:szCs w:val="20"/>
        </w:rPr>
        <w:t xml:space="preserve">. </w:t>
      </w:r>
    </w:p>
    <w:p w14:paraId="0ED075A4" w14:textId="77777777" w:rsidR="00C71337" w:rsidRDefault="00C71337" w:rsidP="00FF39E7">
      <w:pPr>
        <w:pStyle w:val="PaperHeading"/>
        <w:sectPr w:rsidR="00C71337" w:rsidSect="00EC323B">
          <w:type w:val="continuous"/>
          <w:pgSz w:w="11906" w:h="16838"/>
          <w:pgMar w:top="1440" w:right="851" w:bottom="1440" w:left="851" w:header="709" w:footer="709" w:gutter="57"/>
          <w:cols w:space="227"/>
          <w:docGrid w:linePitch="360"/>
        </w:sectPr>
      </w:pPr>
    </w:p>
    <w:p w14:paraId="6E3DBC10" w14:textId="77777777" w:rsidR="00FF39E7" w:rsidRPr="00184E8E" w:rsidRDefault="00FF39E7" w:rsidP="00FF39E7">
      <w:pPr>
        <w:pStyle w:val="PaperHeading"/>
        <w:rPr>
          <w:color w:val="000000" w:themeColor="text1"/>
        </w:rPr>
      </w:pPr>
      <w:r>
        <w:rPr>
          <w:color w:val="000000" w:themeColor="text1"/>
        </w:rPr>
        <w:t>1</w:t>
      </w:r>
      <w:r>
        <w:rPr>
          <w:color w:val="000000" w:themeColor="text1"/>
        </w:rPr>
        <w:tab/>
        <w:t>Introduction</w:t>
      </w:r>
    </w:p>
    <w:p w14:paraId="1A62EEF2" w14:textId="7576A220" w:rsidR="00854697" w:rsidRDefault="000B2A9C" w:rsidP="00315A61">
      <w:pPr>
        <w:jc w:val="both"/>
        <w:rPr>
          <w:rFonts w:eastAsia="SimSun"/>
          <w:color w:val="000000" w:themeColor="text1"/>
          <w:sz w:val="20"/>
          <w:szCs w:val="20"/>
          <w:lang w:val="en-AU" w:eastAsia="zh-CN"/>
        </w:rPr>
      </w:pPr>
      <w:r>
        <w:rPr>
          <w:rFonts w:eastAsia="SimSun"/>
          <w:color w:val="000000" w:themeColor="text1"/>
          <w:sz w:val="20"/>
          <w:szCs w:val="20"/>
          <w:lang w:val="en-AU" w:eastAsia="zh-CN"/>
        </w:rPr>
        <w:t>Industrial process heat accounts for three quarters of industrial greenhouse-gas emissions in the European Union (EU)</w:t>
      </w:r>
      <w:r w:rsidR="00F26E1B" w:rsidRPr="00F26E1B">
        <w:rPr>
          <w:rFonts w:eastAsia="SimSun"/>
          <w:color w:val="000000" w:themeColor="text1"/>
          <w:sz w:val="20"/>
          <w:szCs w:val="20"/>
          <w:lang w:val="en-AU" w:eastAsia="zh-CN"/>
        </w:rPr>
        <w:t xml:space="preserve"> </w:t>
      </w:r>
      <w:r w:rsidR="00F26E1B">
        <w:rPr>
          <w:rFonts w:eastAsia="SimSun"/>
          <w:color w:val="000000" w:themeColor="text1"/>
          <w:sz w:val="20"/>
          <w:szCs w:val="20"/>
          <w:lang w:val="en-AU" w:eastAsia="zh-CN"/>
        </w:rPr>
        <w:fldChar w:fldCharType="begin"/>
      </w:r>
      <w:r w:rsidR="00F26E1B">
        <w:rPr>
          <w:rFonts w:eastAsia="SimSun"/>
          <w:color w:val="000000" w:themeColor="text1"/>
          <w:sz w:val="20"/>
          <w:szCs w:val="20"/>
          <w:lang w:val="en-AU" w:eastAsia="zh-CN"/>
        </w:rPr>
        <w:instrText xml:space="preserve"> ADDIN ZOTERO_ITEM CSL_CITATION {"citationID":"9OY7IZzu","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F26E1B">
        <w:rPr>
          <w:rFonts w:eastAsia="SimSun"/>
          <w:color w:val="000000" w:themeColor="text1"/>
          <w:sz w:val="20"/>
          <w:szCs w:val="20"/>
          <w:lang w:val="en-AU" w:eastAsia="zh-CN"/>
        </w:rPr>
        <w:fldChar w:fldCharType="separate"/>
      </w:r>
      <w:r w:rsidR="00F26E1B">
        <w:rPr>
          <w:rFonts w:eastAsia="SimSun"/>
          <w:noProof/>
          <w:color w:val="000000" w:themeColor="text1"/>
          <w:sz w:val="20"/>
          <w:szCs w:val="20"/>
          <w:lang w:val="en-AU" w:eastAsia="zh-CN"/>
        </w:rPr>
        <w:t>[1]</w:t>
      </w:r>
      <w:r w:rsidR="00F26E1B">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and </w:t>
      </w:r>
      <w:r w:rsidR="004850B4">
        <w:rPr>
          <w:rFonts w:eastAsia="SimSun"/>
          <w:color w:val="000000" w:themeColor="text1"/>
          <w:sz w:val="20"/>
          <w:szCs w:val="20"/>
          <w:lang w:val="en-AU" w:eastAsia="zh-CN"/>
        </w:rPr>
        <w:t xml:space="preserve">is </w:t>
      </w:r>
      <w:r w:rsidR="00CD076C">
        <w:rPr>
          <w:rFonts w:eastAsia="SimSun"/>
          <w:color w:val="000000" w:themeColor="text1"/>
          <w:sz w:val="20"/>
          <w:szCs w:val="20"/>
          <w:lang w:val="en-AU" w:eastAsia="zh-CN"/>
        </w:rPr>
        <w:t>an essential part of the climate change mitigation strategy</w:t>
      </w:r>
      <w:r w:rsidR="00056CA6">
        <w:rPr>
          <w:rFonts w:eastAsia="SimSun"/>
          <w:color w:val="000000" w:themeColor="text1"/>
          <w:sz w:val="20"/>
          <w:szCs w:val="20"/>
          <w:lang w:val="en-AU" w:eastAsia="zh-CN"/>
        </w:rPr>
        <w:t xml:space="preserve"> </w:t>
      </w:r>
      <w:r w:rsidR="00CD076C">
        <w:rPr>
          <w:rFonts w:eastAsia="SimSun"/>
          <w:color w:val="000000" w:themeColor="text1"/>
          <w:sz w:val="20"/>
          <w:szCs w:val="20"/>
          <w:lang w:val="en-AU" w:eastAsia="zh-CN"/>
        </w:rPr>
        <w:fldChar w:fldCharType="begin"/>
      </w:r>
      <w:r w:rsidR="00CD076C">
        <w:rPr>
          <w:rFonts w:eastAsia="SimSun"/>
          <w:color w:val="000000" w:themeColor="text1"/>
          <w:sz w:val="20"/>
          <w:szCs w:val="20"/>
          <w:lang w:val="en-AU" w:eastAsia="zh-CN"/>
        </w:rPr>
        <w:instrText xml:space="preserve"> ADDIN ZOTERO_ITEM CSL_CITATION {"citationID":"PooizgC0","properties":{"unsorted":false,"formattedCitation":"[2]","plainCitation":"[2]","noteIndex":0},"citationItems":[{"id":374,"uris":["http://zotero.org/users/20280584/items/6EJ24FRZ"],"itemData":{"id":374,"type":"article-journal","abstract":"The decarbonisation of industry is a bottleneck for the EU’s 2050 target of climate neutrality. Replacing fossil fuels with low-carbon electricity is at the core of this challenge; however, the aggregate electrification potential and resulting system-wide CO2 reductions for diverse industrial processes are unknown. Here, we present the results from a comprehensive bottom-up analysis of the energy use in 11 industrial sectors (accounting for 92% of Europe’s industry CO2 emissions), and estimate the technological potential for industry electrification in three stages. Seventy-eight per cent of the energy demand is electrifiable with technologies that are already established, while 99% electrification can be achieved with the addition of technologies currently under development. Such a deep electrification reduces CO2 emissions already based on the carbon intensity of today’s electricity (</w:instrText>
      </w:r>
      <w:r w:rsidR="00CD076C">
        <w:rPr>
          <w:rFonts w:ascii="Cambria Math" w:eastAsia="SimSun" w:hAnsi="Cambria Math" w:cs="Cambria Math"/>
          <w:color w:val="000000" w:themeColor="text1"/>
          <w:sz w:val="20"/>
          <w:szCs w:val="20"/>
          <w:lang w:val="en-AU" w:eastAsia="zh-CN"/>
        </w:rPr>
        <w:instrText>∼</w:instrText>
      </w:r>
      <w:r w:rsidR="00CD076C">
        <w:rPr>
          <w:rFonts w:eastAsia="SimSun"/>
          <w:color w:val="000000" w:themeColor="text1"/>
          <w:sz w:val="20"/>
          <w:szCs w:val="20"/>
          <w:lang w:val="en-AU" w:eastAsia="zh-CN"/>
        </w:rPr>
        <w:instrText xml:space="preserve">300 gCO2 kWhel−1). With an increasing decarbonisation of the power sector IEA: 12 gCO2 kWhel−1 in 2050), electrification could cut CO2 emissions by 78%, and almost entirely abate the energy-related CO2 emissions, reducing the industry bottleneck to only residual process emissions. Despite its decarbonisation potential, the extent to which direct electrification will be deployed in industry remains uncertain and depends on the relative cost of electric technologies compared to other low-carbon options.","citation-key":"madedduCO2ReductionPotential2020","container-title":"Environmental Research Letters","DOI":"10.1088/1748-9326/abbd02","ISSN":"1748-9326","issue":"12","journalAbbreviation":"Environ. Res. Lett.","language":"en","page":"124004","publisher":"IOP Publishing","source":"Institute of Physics","title":"The CO2 reduction potential for the European industry via direct electrification of heat supply (power-to-heat)","volume":"15","author":[{"family":"Madeddu","given":"Silvia"},{"family":"Ueckerdt","given":"Falko"},{"family":"Pehl","given":"Michaja"},{"family":"Peterseim","given":"Juergen"},{"family":"Lord","given":"Michael"},{"family":"Kumar","given":"Karthik Ajith"},{"family":"Krüger","given":"Christoph"},{"family":"Luderer","given":"Gunnar"}],"issued":{"date-parts":[["2020",11]]}}}],"schema":"https://github.com/citation-style-language/schema/raw/master/csl-citation.json"} </w:instrText>
      </w:r>
      <w:r w:rsidR="00CD076C">
        <w:rPr>
          <w:rFonts w:eastAsia="SimSun"/>
          <w:color w:val="000000" w:themeColor="text1"/>
          <w:sz w:val="20"/>
          <w:szCs w:val="20"/>
          <w:lang w:val="en-AU" w:eastAsia="zh-CN"/>
        </w:rPr>
        <w:fldChar w:fldCharType="separate"/>
      </w:r>
      <w:r w:rsidR="00CD076C">
        <w:rPr>
          <w:rFonts w:eastAsia="SimSun"/>
          <w:noProof/>
          <w:color w:val="000000" w:themeColor="text1"/>
          <w:sz w:val="20"/>
          <w:szCs w:val="20"/>
          <w:lang w:val="en-AU" w:eastAsia="zh-CN"/>
        </w:rPr>
        <w:t>[2]</w:t>
      </w:r>
      <w:r w:rsidR="00CD076C">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w:t>
      </w:r>
      <w:r w:rsidR="00DA771B" w:rsidRPr="00DA771B">
        <w:rPr>
          <w:rFonts w:eastAsia="SimSun"/>
          <w:color w:val="000000" w:themeColor="text1"/>
          <w:sz w:val="20"/>
          <w:szCs w:val="20"/>
          <w:lang w:val="en-AU" w:eastAsia="zh-CN"/>
        </w:rPr>
        <w:t>The majority of industrial process heat demand is concentrated in the iron and steel, chemicals, and non-metallic minerals sectors, which also require the highest process temperatures, typically exceeding 1,000°C</w:t>
      </w:r>
      <w:r w:rsidR="00167AF9">
        <w:rPr>
          <w:rFonts w:eastAsia="SimSun"/>
          <w:color w:val="000000" w:themeColor="text1"/>
          <w:sz w:val="20"/>
          <w:szCs w:val="20"/>
          <w:lang w:val="en-AU" w:eastAsia="zh-CN"/>
        </w:rPr>
        <w:t xml:space="preserve"> </w:t>
      </w:r>
      <w:r w:rsidR="00400C45">
        <w:rPr>
          <w:rFonts w:eastAsia="SimSun"/>
          <w:color w:val="000000" w:themeColor="text1"/>
          <w:sz w:val="20"/>
          <w:szCs w:val="20"/>
          <w:lang w:val="en-AU" w:eastAsia="zh-CN"/>
        </w:rPr>
        <w:fldChar w:fldCharType="begin"/>
      </w:r>
      <w:r w:rsidR="00400C45">
        <w:rPr>
          <w:rFonts w:eastAsia="SimSun"/>
          <w:color w:val="000000" w:themeColor="text1"/>
          <w:sz w:val="20"/>
          <w:szCs w:val="20"/>
          <w:lang w:val="en-AU" w:eastAsia="zh-CN"/>
        </w:rPr>
        <w:instrText xml:space="preserve"> ADDIN ZOTERO_ITEM CSL_CITATION {"citationID":"yoMbzjGk","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400C45">
        <w:rPr>
          <w:rFonts w:eastAsia="SimSun"/>
          <w:color w:val="000000" w:themeColor="text1"/>
          <w:sz w:val="20"/>
          <w:szCs w:val="20"/>
          <w:lang w:val="en-AU" w:eastAsia="zh-CN"/>
        </w:rPr>
        <w:fldChar w:fldCharType="separate"/>
      </w:r>
      <w:r w:rsidR="00400C45">
        <w:rPr>
          <w:rFonts w:eastAsia="SimSun"/>
          <w:noProof/>
          <w:color w:val="000000" w:themeColor="text1"/>
          <w:sz w:val="20"/>
          <w:szCs w:val="20"/>
          <w:lang w:val="en-AU" w:eastAsia="zh-CN"/>
        </w:rPr>
        <w:t>[1]</w:t>
      </w:r>
      <w:r w:rsidR="00400C45">
        <w:rPr>
          <w:rFonts w:eastAsia="SimSun"/>
          <w:color w:val="000000" w:themeColor="text1"/>
          <w:sz w:val="20"/>
          <w:szCs w:val="20"/>
          <w:lang w:val="en-AU" w:eastAsia="zh-CN"/>
        </w:rPr>
        <w:fldChar w:fldCharType="end"/>
      </w:r>
      <w:r w:rsidR="00400C45">
        <w:rPr>
          <w:rFonts w:eastAsia="SimSun"/>
          <w:color w:val="000000" w:themeColor="text1"/>
          <w:sz w:val="20"/>
          <w:szCs w:val="20"/>
          <w:lang w:val="en-AU" w:eastAsia="zh-CN"/>
        </w:rPr>
        <w:t>.</w:t>
      </w:r>
    </w:p>
    <w:p w14:paraId="20B31506" w14:textId="0ACD67AC" w:rsidR="00862A0A" w:rsidRDefault="000B2A9C" w:rsidP="00862A0A">
      <w:pPr>
        <w:jc w:val="both"/>
        <w:rPr>
          <w:rFonts w:eastAsia="SimSun"/>
          <w:color w:val="000000" w:themeColor="text1"/>
          <w:sz w:val="20"/>
          <w:szCs w:val="20"/>
          <w:lang w:val="en-AU" w:eastAsia="zh-CN"/>
        </w:rPr>
      </w:pPr>
      <w:r>
        <w:rPr>
          <w:rFonts w:eastAsia="SimSun"/>
          <w:color w:val="000000" w:themeColor="text1"/>
          <w:sz w:val="20"/>
          <w:szCs w:val="20"/>
          <w:lang w:val="en-AU" w:eastAsia="zh-CN"/>
        </w:rPr>
        <w:t xml:space="preserve">Different technologies are already available to electrify process heat </w:t>
      </w:r>
      <w:r w:rsidR="00FF3837">
        <w:rPr>
          <w:rFonts w:eastAsia="SimSun"/>
          <w:color w:val="000000" w:themeColor="text1"/>
          <w:sz w:val="20"/>
          <w:szCs w:val="20"/>
          <w:lang w:val="en-AU" w:eastAsia="zh-CN"/>
        </w:rPr>
        <w:t>across</w:t>
      </w:r>
      <w:r>
        <w:rPr>
          <w:rFonts w:eastAsia="SimSun"/>
          <w:color w:val="000000" w:themeColor="text1"/>
          <w:sz w:val="20"/>
          <w:szCs w:val="20"/>
          <w:lang w:val="en-AU" w:eastAsia="zh-CN"/>
        </w:rPr>
        <w:t xml:space="preserve"> different temperature heat bands such as heat pumps, industrial heat batteries, electric boilers, </w:t>
      </w:r>
      <w:r w:rsidR="00297134">
        <w:rPr>
          <w:rFonts w:eastAsia="SimSun"/>
          <w:color w:val="000000" w:themeColor="text1"/>
          <w:sz w:val="20"/>
          <w:szCs w:val="20"/>
          <w:lang w:val="en-AU" w:eastAsia="zh-CN"/>
        </w:rPr>
        <w:t xml:space="preserve">and </w:t>
      </w:r>
      <w:r>
        <w:rPr>
          <w:rFonts w:eastAsia="SimSun"/>
          <w:color w:val="000000" w:themeColor="text1"/>
          <w:sz w:val="20"/>
          <w:szCs w:val="20"/>
          <w:lang w:val="en-AU" w:eastAsia="zh-CN"/>
        </w:rPr>
        <w:t xml:space="preserve">electric arc furnaces. </w:t>
      </w:r>
      <w:r w:rsidR="00031E53">
        <w:rPr>
          <w:rFonts w:eastAsia="SimSun"/>
          <w:color w:val="000000" w:themeColor="text1"/>
          <w:sz w:val="20"/>
          <w:szCs w:val="20"/>
          <w:lang w:val="en-AU" w:eastAsia="zh-CN"/>
        </w:rPr>
        <w:t>While industrial heat pumps are commercially available</w:t>
      </w:r>
      <w:r w:rsidR="009D0BE5">
        <w:rPr>
          <w:rFonts w:eastAsia="SimSun"/>
          <w:color w:val="000000" w:themeColor="text1"/>
          <w:sz w:val="20"/>
          <w:szCs w:val="20"/>
          <w:lang w:val="en-AU" w:eastAsia="zh-CN"/>
        </w:rPr>
        <w:t xml:space="preserve"> and highly efficient</w:t>
      </w:r>
      <w:r w:rsidR="00031E53">
        <w:rPr>
          <w:rFonts w:eastAsia="SimSun"/>
          <w:color w:val="000000" w:themeColor="text1"/>
          <w:sz w:val="20"/>
          <w:szCs w:val="20"/>
          <w:lang w:val="en-AU" w:eastAsia="zh-CN"/>
        </w:rPr>
        <w:t>,</w:t>
      </w:r>
      <w:r w:rsidR="00F66D09">
        <w:rPr>
          <w:rFonts w:eastAsia="SimSun"/>
          <w:color w:val="000000" w:themeColor="text1"/>
          <w:sz w:val="20"/>
          <w:szCs w:val="20"/>
          <w:lang w:val="en-AU" w:eastAsia="zh-CN"/>
        </w:rPr>
        <w:t xml:space="preserve"> </w:t>
      </w:r>
      <w:r w:rsidR="00182912">
        <w:rPr>
          <w:rFonts w:eastAsia="SimSun"/>
          <w:color w:val="000000" w:themeColor="text1"/>
          <w:sz w:val="20"/>
          <w:szCs w:val="20"/>
          <w:lang w:val="en-AU" w:eastAsia="zh-CN"/>
        </w:rPr>
        <w:t>they</w:t>
      </w:r>
      <w:r w:rsidR="00031E53">
        <w:rPr>
          <w:rFonts w:eastAsia="SimSun"/>
          <w:color w:val="000000" w:themeColor="text1"/>
          <w:sz w:val="20"/>
          <w:szCs w:val="20"/>
          <w:lang w:val="en-AU" w:eastAsia="zh-CN"/>
        </w:rPr>
        <w:t xml:space="preserve"> can only provide heat up to 200°C</w:t>
      </w:r>
      <w:r w:rsidR="00056CA6">
        <w:rPr>
          <w:rFonts w:eastAsia="SimSun"/>
          <w:color w:val="000000" w:themeColor="text1"/>
          <w:sz w:val="20"/>
          <w:szCs w:val="20"/>
          <w:lang w:val="en-AU" w:eastAsia="zh-CN"/>
        </w:rPr>
        <w:t xml:space="preserve"> </w:t>
      </w:r>
      <w:r w:rsidR="001B7BB8">
        <w:rPr>
          <w:rFonts w:eastAsia="SimSun"/>
          <w:color w:val="000000" w:themeColor="text1"/>
          <w:sz w:val="20"/>
          <w:szCs w:val="20"/>
          <w:lang w:val="en-AU" w:eastAsia="zh-CN"/>
        </w:rPr>
        <w:fldChar w:fldCharType="begin"/>
      </w:r>
      <w:r w:rsidR="001B7BB8">
        <w:rPr>
          <w:rFonts w:eastAsia="SimSun"/>
          <w:color w:val="000000" w:themeColor="text1"/>
          <w:sz w:val="20"/>
          <w:szCs w:val="20"/>
          <w:lang w:val="en-AU" w:eastAsia="zh-CN"/>
        </w:rPr>
        <w:instrText xml:space="preserve"> ADDIN ZOTERO_ITEM CSL_CITATION {"citationID":"UMDGlPQG","properties":{"unsorted":false,"formattedCitation":"[3]","plainCitation":"[3]","noteIndex":0},"citationItems":[{"id":376,"uris":["http://zotero.org/users/20280584/items/FZF3XFIV"],"itemData":{"id":376,"type":"webpage","abstract":"Renewables for Industry - Analysis and key findings. A report by the International Energy Agency.","citation-key":"ExecutiveSummaryRenewables","container-title":"IEA","language":"en-GB","title":"Executive summary – Renewables for Industry – Analysis","URL":"https://www.iea.org/reports/renewables-for-industry/executive-summary","accessed":{"date-parts":[["2026",8,10]]}}}],"schema":"https://github.com/citation-style-language/schema/raw/master/csl-citation.json"} </w:instrText>
      </w:r>
      <w:r w:rsidR="001B7BB8">
        <w:rPr>
          <w:rFonts w:eastAsia="SimSun"/>
          <w:color w:val="000000" w:themeColor="text1"/>
          <w:sz w:val="20"/>
          <w:szCs w:val="20"/>
          <w:lang w:val="en-AU" w:eastAsia="zh-CN"/>
        </w:rPr>
        <w:fldChar w:fldCharType="separate"/>
      </w:r>
      <w:r w:rsidR="001B7BB8">
        <w:rPr>
          <w:rFonts w:eastAsia="SimSun"/>
          <w:noProof/>
          <w:color w:val="000000" w:themeColor="text1"/>
          <w:sz w:val="20"/>
          <w:szCs w:val="20"/>
          <w:lang w:val="en-AU" w:eastAsia="zh-CN"/>
        </w:rPr>
        <w:t>[3]</w:t>
      </w:r>
      <w:r w:rsidR="001B7BB8">
        <w:rPr>
          <w:rFonts w:eastAsia="SimSun"/>
          <w:color w:val="000000" w:themeColor="text1"/>
          <w:sz w:val="20"/>
          <w:szCs w:val="20"/>
          <w:lang w:val="en-AU" w:eastAsia="zh-CN"/>
        </w:rPr>
        <w:fldChar w:fldCharType="end"/>
      </w:r>
      <w:r w:rsidR="00031E53">
        <w:rPr>
          <w:rFonts w:eastAsia="SimSun"/>
          <w:color w:val="000000" w:themeColor="text1"/>
          <w:sz w:val="20"/>
          <w:szCs w:val="20"/>
          <w:lang w:val="en-AU" w:eastAsia="zh-CN"/>
        </w:rPr>
        <w:t xml:space="preserve">. Heat batteries/thermal storage is a recent technology that can provide heat up to 1000°C, reaching temperatures needed for iron and steel and </w:t>
      </w:r>
      <w:r w:rsidR="00E72981">
        <w:rPr>
          <w:rFonts w:eastAsia="SimSun"/>
          <w:color w:val="000000" w:themeColor="text1"/>
          <w:sz w:val="20"/>
          <w:szCs w:val="20"/>
          <w:lang w:val="en-AU" w:eastAsia="zh-CN"/>
        </w:rPr>
        <w:t xml:space="preserve">the </w:t>
      </w:r>
      <w:r w:rsidR="00031E53">
        <w:rPr>
          <w:rFonts w:eastAsia="SimSun"/>
          <w:color w:val="000000" w:themeColor="text1"/>
          <w:sz w:val="20"/>
          <w:szCs w:val="20"/>
          <w:lang w:val="en-AU" w:eastAsia="zh-CN"/>
        </w:rPr>
        <w:t>chemical sectors</w:t>
      </w:r>
      <w:r w:rsidR="00056CA6">
        <w:rPr>
          <w:rFonts w:eastAsia="SimSun"/>
          <w:color w:val="000000" w:themeColor="text1"/>
          <w:sz w:val="20"/>
          <w:szCs w:val="20"/>
          <w:lang w:val="en-AU" w:eastAsia="zh-CN"/>
        </w:rPr>
        <w:t xml:space="preserve"> </w:t>
      </w:r>
      <w:r w:rsidR="00F66D09">
        <w:rPr>
          <w:rFonts w:eastAsia="SimSun"/>
          <w:color w:val="000000" w:themeColor="text1"/>
          <w:sz w:val="20"/>
          <w:szCs w:val="20"/>
          <w:lang w:val="en-AU" w:eastAsia="zh-CN"/>
        </w:rPr>
        <w:fldChar w:fldCharType="begin"/>
      </w:r>
      <w:r w:rsidR="00F66D09">
        <w:rPr>
          <w:rFonts w:eastAsia="SimSun"/>
          <w:color w:val="000000" w:themeColor="text1"/>
          <w:sz w:val="20"/>
          <w:szCs w:val="20"/>
          <w:lang w:val="en-AU" w:eastAsia="zh-CN"/>
        </w:rPr>
        <w:instrText xml:space="preserve"> ADDIN ZOTERO_ITEM CSL_CITATION {"citationID":"YiqFKmUm","properties":{"unsorted":false,"formattedCitation":"[3]","plainCitation":"[3]","noteIndex":0},"citationItems":[{"id":376,"uris":["http://zotero.org/users/20280584/items/FZF3XFIV"],"itemData":{"id":376,"type":"webpage","abstract":"Renewables for Industry - Analysis and key findings. A report by the International Energy Agency.","citation-key":"ExecutiveSummaryRenewables","container-title":"IEA","language":"en-GB","title":"Executive summary – Renewables for Industry – Analysis","URL":"https://www.iea.org/reports/renewables-for-industry/executive-summary","accessed":{"date-parts":[["2026",8,10]]}}}],"schema":"https://github.com/citation-style-language/schema/raw/master/csl-citation.json"} </w:instrText>
      </w:r>
      <w:r w:rsidR="00F66D09">
        <w:rPr>
          <w:rFonts w:eastAsia="SimSun"/>
          <w:color w:val="000000" w:themeColor="text1"/>
          <w:sz w:val="20"/>
          <w:szCs w:val="20"/>
          <w:lang w:val="en-AU" w:eastAsia="zh-CN"/>
        </w:rPr>
        <w:fldChar w:fldCharType="separate"/>
      </w:r>
      <w:r w:rsidR="00F66D09">
        <w:rPr>
          <w:rFonts w:eastAsia="SimSun"/>
          <w:noProof/>
          <w:color w:val="000000" w:themeColor="text1"/>
          <w:sz w:val="20"/>
          <w:szCs w:val="20"/>
          <w:lang w:val="en-AU" w:eastAsia="zh-CN"/>
        </w:rPr>
        <w:t>[3]</w:t>
      </w:r>
      <w:r w:rsidR="00F66D09">
        <w:rPr>
          <w:rFonts w:eastAsia="SimSun"/>
          <w:color w:val="000000" w:themeColor="text1"/>
          <w:sz w:val="20"/>
          <w:szCs w:val="20"/>
          <w:lang w:val="en-AU" w:eastAsia="zh-CN"/>
        </w:rPr>
        <w:fldChar w:fldCharType="end"/>
      </w:r>
      <w:r w:rsidR="00031E53">
        <w:rPr>
          <w:rFonts w:eastAsia="SimSun"/>
          <w:color w:val="000000" w:themeColor="text1"/>
          <w:sz w:val="20"/>
          <w:szCs w:val="20"/>
          <w:lang w:val="en-AU" w:eastAsia="zh-CN"/>
        </w:rPr>
        <w:t xml:space="preserve">. </w:t>
      </w:r>
      <w:r w:rsidR="004F16CE">
        <w:rPr>
          <w:rFonts w:eastAsia="SimSun"/>
          <w:color w:val="000000" w:themeColor="text1"/>
          <w:sz w:val="20"/>
          <w:szCs w:val="20"/>
          <w:lang w:val="en-AU" w:eastAsia="zh-CN"/>
        </w:rPr>
        <w:t xml:space="preserve">Renewable generation </w:t>
      </w:r>
      <w:r w:rsidR="009523B6">
        <w:rPr>
          <w:rFonts w:eastAsia="SimSun"/>
          <w:color w:val="000000" w:themeColor="text1"/>
          <w:sz w:val="20"/>
          <w:szCs w:val="20"/>
          <w:lang w:val="en-AU" w:eastAsia="zh-CN"/>
        </w:rPr>
        <w:t xml:space="preserve">using solar panels </w:t>
      </w:r>
      <w:r w:rsidR="004F16CE">
        <w:rPr>
          <w:rFonts w:eastAsia="SimSun"/>
          <w:color w:val="000000" w:themeColor="text1"/>
          <w:sz w:val="20"/>
          <w:szCs w:val="20"/>
          <w:lang w:val="en-AU" w:eastAsia="zh-CN"/>
        </w:rPr>
        <w:t xml:space="preserve">paired with </w:t>
      </w:r>
      <w:r w:rsidR="00862A0A">
        <w:rPr>
          <w:rFonts w:eastAsia="SimSun"/>
          <w:color w:val="000000" w:themeColor="text1"/>
          <w:sz w:val="20"/>
          <w:szCs w:val="20"/>
          <w:lang w:val="en-AU" w:eastAsia="zh-CN"/>
        </w:rPr>
        <w:t>heat pump and heat battery</w:t>
      </w:r>
      <w:r>
        <w:rPr>
          <w:rFonts w:eastAsia="SimSun"/>
          <w:color w:val="000000" w:themeColor="text1"/>
          <w:sz w:val="20"/>
          <w:szCs w:val="20"/>
          <w:lang w:val="en-AU" w:eastAsia="zh-CN"/>
        </w:rPr>
        <w:t xml:space="preserve"> is </w:t>
      </w:r>
      <w:r w:rsidR="00006D30">
        <w:rPr>
          <w:rFonts w:eastAsia="SimSun"/>
          <w:color w:val="000000" w:themeColor="text1"/>
          <w:sz w:val="20"/>
          <w:szCs w:val="20"/>
          <w:lang w:val="en-AU" w:eastAsia="zh-CN"/>
        </w:rPr>
        <w:t xml:space="preserve">broadly </w:t>
      </w:r>
      <w:r>
        <w:rPr>
          <w:rFonts w:eastAsia="SimSun"/>
          <w:color w:val="000000" w:themeColor="text1"/>
          <w:sz w:val="20"/>
          <w:szCs w:val="20"/>
          <w:lang w:val="en-AU" w:eastAsia="zh-CN"/>
        </w:rPr>
        <w:t>recognized as a pathway to reduce carbon emissions and increase efficiency</w:t>
      </w:r>
      <w:r w:rsidR="00056CA6">
        <w:rPr>
          <w:rFonts w:eastAsia="SimSun"/>
          <w:color w:val="000000" w:themeColor="text1"/>
          <w:sz w:val="20"/>
          <w:szCs w:val="20"/>
          <w:lang w:val="en-AU" w:eastAsia="zh-CN"/>
        </w:rPr>
        <w:t xml:space="preserve"> </w:t>
      </w:r>
      <w:r w:rsidR="00862A0A">
        <w:rPr>
          <w:rFonts w:eastAsia="SimSun"/>
          <w:color w:val="000000" w:themeColor="text1"/>
          <w:sz w:val="20"/>
          <w:szCs w:val="20"/>
          <w:lang w:val="en-AU" w:eastAsia="zh-CN"/>
        </w:rPr>
        <w:fldChar w:fldCharType="begin"/>
      </w:r>
      <w:r w:rsidR="00862A0A">
        <w:rPr>
          <w:rFonts w:eastAsia="SimSun"/>
          <w:color w:val="000000" w:themeColor="text1"/>
          <w:sz w:val="20"/>
          <w:szCs w:val="20"/>
          <w:lang w:val="en-AU" w:eastAsia="zh-CN"/>
        </w:rPr>
        <w:instrText xml:space="preserve"> ADDIN ZOTERO_ITEM CSL_CITATION {"citationID":"0aXFamLF","properties":{"unsorted":false,"formattedCitation":"[4]","plainCitation":"[4]","noteIndex":0},"citationItems":[{"id":378,"uris":["http://zotero.org/users/20280584/items/HISGJ5P7"],"itemData":{"id":378,"type":"article-journal","abstract":"Process heat accounts for roughly half of industrial energy demand, and currently 95 % of process heat is derived from the combustion of natural gas, oil, and coal. Electrification of industrial heating could be an alternative, potentially expanding locations suitable for manufacturing; however, industrial facility owners may desire energy storage to stabilize energy costs. In this work, the economic benefits of pairing thermal storage with electrified process heat to reduce the average price paid for energy are analyzed. Cost savings focus on energy arbitrage, or leveraging flexible energy pricing schemes, alone. The cost of natural gas combustion across decades (2019–2060) is compared to the costs of electricity and thermal energy storage in four United States Independent System Operator (ISO) regions. Systems installed today may not yield positive net present value (NPV) compared to the use of natural gas. However, using estimated electricity prices, systems installed in 2030 using arbitrage alone could be profitable when compared to natural gas in some regions of the U.S. Furthermore, if capital expenditures could be reduced by 50 % for sensible thermal storage systems by 2030, profitable systems are found across all regions. This implies that electrification of industrial process heat, when paired with inexpensive thermal energy storage systems, could be less expensive than brownfield natural gas systems, using arbitrage as the only source of revenue and without a dependency on any future policy drivers such as pricing externalities that could further incentivize the electrification of industrial process heat.","citation-key":"wikoffBenchmarkingThermalEnergy2025","container-title":"Applied Energy","DOI":"10.1016/j.apenergy.2025.126873","ISSN":"0306-2619","journalAbbreviation":"Applied Energy","page":"126873","source":"ScienceDirect","title":"Benchmarking thermal energy storage cost for industrial process heat","volume":"402","author":[{"family":"Wikoff","given":"Hope M."},{"family":"Garfield","given":"David"},{"family":"Hwang","given":"Shannon"},{"family":"Ribo","given":"Macarena Mendez"},{"family":"Ruth","given":"Mark"},{"family":"Reese","given":"Samantha B."}],"issued":{"date-parts":[["2025",12,15]]}}}],"schema":"https://github.com/citation-style-language/schema/raw/master/csl-citation.json"} </w:instrText>
      </w:r>
      <w:r w:rsidR="00862A0A">
        <w:rPr>
          <w:rFonts w:eastAsia="SimSun"/>
          <w:color w:val="000000" w:themeColor="text1"/>
          <w:sz w:val="20"/>
          <w:szCs w:val="20"/>
          <w:lang w:val="en-AU" w:eastAsia="zh-CN"/>
        </w:rPr>
        <w:fldChar w:fldCharType="separate"/>
      </w:r>
      <w:r w:rsidR="00862A0A">
        <w:rPr>
          <w:rFonts w:eastAsia="SimSun"/>
          <w:noProof/>
          <w:color w:val="000000" w:themeColor="text1"/>
          <w:sz w:val="20"/>
          <w:szCs w:val="20"/>
          <w:lang w:val="en-AU" w:eastAsia="zh-CN"/>
        </w:rPr>
        <w:t>[4]</w:t>
      </w:r>
      <w:r w:rsidR="00862A0A">
        <w:rPr>
          <w:rFonts w:eastAsia="SimSun"/>
          <w:color w:val="000000" w:themeColor="text1"/>
          <w:sz w:val="20"/>
          <w:szCs w:val="20"/>
          <w:lang w:val="en-AU" w:eastAsia="zh-CN"/>
        </w:rPr>
        <w:fldChar w:fldCharType="end"/>
      </w:r>
      <w:r w:rsidR="00862A0A">
        <w:rPr>
          <w:rFonts w:eastAsia="SimSun"/>
          <w:color w:val="000000" w:themeColor="text1"/>
          <w:sz w:val="20"/>
          <w:szCs w:val="20"/>
          <w:lang w:val="en-AU" w:eastAsia="zh-CN"/>
        </w:rPr>
        <w:t>.</w:t>
      </w:r>
      <w:r>
        <w:rPr>
          <w:rFonts w:eastAsia="SimSun"/>
          <w:color w:val="000000" w:themeColor="text1"/>
          <w:sz w:val="20"/>
          <w:szCs w:val="20"/>
          <w:lang w:val="en-AU" w:eastAsia="zh-CN"/>
        </w:rPr>
        <w:t xml:space="preserve"> </w:t>
      </w:r>
    </w:p>
    <w:p w14:paraId="3D1BDCD2" w14:textId="22C248E8" w:rsidR="007A5B34" w:rsidRPr="00862A0A" w:rsidRDefault="000B2A9C" w:rsidP="00862A0A">
      <w:pPr>
        <w:jc w:val="both"/>
        <w:rPr>
          <w:rFonts w:eastAsia="SimSun"/>
          <w:color w:val="000000" w:themeColor="text1"/>
          <w:sz w:val="20"/>
          <w:szCs w:val="20"/>
          <w:lang w:val="en-AU" w:eastAsia="zh-CN"/>
        </w:rPr>
      </w:pPr>
      <w:r>
        <w:rPr>
          <w:rFonts w:eastAsia="SimSun"/>
          <w:color w:val="000000" w:themeColor="text1"/>
          <w:sz w:val="20"/>
          <w:szCs w:val="20"/>
          <w:lang w:val="en-AU" w:eastAsia="zh-CN"/>
        </w:rPr>
        <w:t xml:space="preserve">Utilizing renewable generation for electrification allows for </w:t>
      </w:r>
      <w:r w:rsidR="00A84AEA">
        <w:rPr>
          <w:rFonts w:eastAsia="SimSun"/>
          <w:color w:val="000000" w:themeColor="text1"/>
          <w:sz w:val="20"/>
          <w:szCs w:val="20"/>
          <w:lang w:val="en-AU" w:eastAsia="zh-CN"/>
        </w:rPr>
        <w:t xml:space="preserve">the </w:t>
      </w:r>
      <w:r>
        <w:rPr>
          <w:rFonts w:eastAsia="SimSun"/>
          <w:color w:val="000000" w:themeColor="text1"/>
          <w:sz w:val="20"/>
          <w:szCs w:val="20"/>
          <w:lang w:val="en-AU" w:eastAsia="zh-CN"/>
        </w:rPr>
        <w:t xml:space="preserve">EU to use its own resources and </w:t>
      </w:r>
      <w:r w:rsidR="00767BC8">
        <w:rPr>
          <w:rFonts w:eastAsia="SimSun"/>
          <w:color w:val="000000" w:themeColor="text1"/>
          <w:sz w:val="20"/>
          <w:szCs w:val="20"/>
          <w:lang w:val="en-AU" w:eastAsia="zh-CN"/>
        </w:rPr>
        <w:t>address its vulnerability from dependence on imported fuel</w:t>
      </w:r>
      <w:r w:rsidR="00056CA6">
        <w:rPr>
          <w:rFonts w:eastAsia="SimSun"/>
          <w:color w:val="000000" w:themeColor="text1"/>
          <w:sz w:val="20"/>
          <w:szCs w:val="20"/>
          <w:lang w:val="en-AU" w:eastAsia="zh-CN"/>
        </w:rPr>
        <w:t xml:space="preserve"> </w:t>
      </w:r>
      <w:r w:rsidR="00580A29">
        <w:rPr>
          <w:rFonts w:eastAsia="SimSun"/>
          <w:color w:val="000000" w:themeColor="text1"/>
          <w:sz w:val="20"/>
          <w:szCs w:val="20"/>
          <w:lang w:val="en-AU" w:eastAsia="zh-CN"/>
        </w:rPr>
        <w:fldChar w:fldCharType="begin"/>
      </w:r>
      <w:r w:rsidR="00580A29">
        <w:rPr>
          <w:rFonts w:eastAsia="SimSun"/>
          <w:color w:val="000000" w:themeColor="text1"/>
          <w:sz w:val="20"/>
          <w:szCs w:val="20"/>
          <w:lang w:val="en-AU" w:eastAsia="zh-CN"/>
        </w:rPr>
        <w:instrText xml:space="preserve"> ADDIN ZOTERO_ITEM CSL_CITATION {"citationID":"451AqWRs","properties":{"unsorted":false,"formattedCitation":"[5]","plainCitation":"[5]","noteIndex":0},"citationItems":[{"id":381,"uris":["http://zotero.org/users/20280584/items/J7HJK7BL"],"itemData":{"id":381,"type":"article-journal","abstract":"The escalating climate crisis and geopolitical disruptions have highlighted the European Union’s vulnerability to fossil fuel dependence. These pressures underscore the need for strategies that strengthen energy security while advancing decarbonization. Here we show how coordinated expansion of wind and solar power, supported by green hydrogen and carbon offsetting, can align the European Union’s energy system with both security and climate goals. Using a forward-looking energy systems framework, we develop strategic scenarios for the European Union through 2050 and evaluate implications for energy supply, decarbonization potential, and economic outcomes. We find that the electrification potential of wind and solar capacity expansion alongside green hydrogen production can avoid up to 61.3% and 37.0% of gross inland natural gas consumption in the European Union, respectively. Results highlight the need for targeted policies, including incentives for ambitious renewable deployment, to reinforce the European Union’s energy security while delivering climate benefits amidst geopolitical unrest.","citation-key":"lalAligningEUEnergy2026","container-title":"Nature Communications","DOI":"10.1038/s41467-025-67595-7","ISSN":"2041-1723","issue":"1","journalAbbreviation":"Nat Commun","language":"en","license":"2026 The Author(s)","page":"875","publisher":"Nature Publishing Group","source":"www.nature.com","title":"Aligning EU energy security and climate mitigation through targeted transition strategies","volume":"17","author":[{"family":"Lal","given":"Apoorv"},{"family":"Tavoni","given":"Massimo"},{"family":"Preuss","given":"Nathan"},{"family":"You","given":"Fengqi"}],"issued":{"date-parts":[["2026",1,7]]}}}],"schema":"https://github.com/citation-style-language/schema/raw/master/csl-citation.json"} </w:instrText>
      </w:r>
      <w:r w:rsidR="00580A29">
        <w:rPr>
          <w:rFonts w:eastAsia="SimSun"/>
          <w:color w:val="000000" w:themeColor="text1"/>
          <w:sz w:val="20"/>
          <w:szCs w:val="20"/>
          <w:lang w:val="en-AU" w:eastAsia="zh-CN"/>
        </w:rPr>
        <w:fldChar w:fldCharType="separate"/>
      </w:r>
      <w:r w:rsidR="00580A29">
        <w:rPr>
          <w:rFonts w:eastAsia="SimSun"/>
          <w:noProof/>
          <w:color w:val="000000" w:themeColor="text1"/>
          <w:sz w:val="20"/>
          <w:szCs w:val="20"/>
          <w:lang w:val="en-AU" w:eastAsia="zh-CN"/>
        </w:rPr>
        <w:t>[5]</w:t>
      </w:r>
      <w:r w:rsidR="00580A29">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w:t>
      </w:r>
      <w:r w:rsidR="006B67D5">
        <w:rPr>
          <w:color w:val="000000" w:themeColor="text1"/>
          <w:sz w:val="20"/>
          <w:szCs w:val="20"/>
        </w:rPr>
        <w:t>Europe is facing challenges in energy security both due to the reliance o</w:t>
      </w:r>
      <w:r w:rsidR="00927CF2">
        <w:rPr>
          <w:color w:val="000000" w:themeColor="text1"/>
          <w:sz w:val="20"/>
          <w:szCs w:val="20"/>
        </w:rPr>
        <w:t>n</w:t>
      </w:r>
      <w:r w:rsidR="006B67D5">
        <w:rPr>
          <w:color w:val="000000" w:themeColor="text1"/>
          <w:sz w:val="20"/>
          <w:szCs w:val="20"/>
        </w:rPr>
        <w:t xml:space="preserve"> international gas imports and vulnerabilities in grid infrastructure</w:t>
      </w:r>
      <w:r w:rsidR="00056CA6">
        <w:rPr>
          <w:color w:val="000000" w:themeColor="text1"/>
          <w:sz w:val="20"/>
          <w:szCs w:val="20"/>
        </w:rPr>
        <w:t xml:space="preserve"> </w:t>
      </w:r>
      <w:r w:rsidR="00A57A5B">
        <w:rPr>
          <w:color w:val="000000" w:themeColor="text1"/>
          <w:sz w:val="20"/>
          <w:szCs w:val="20"/>
        </w:rPr>
        <w:fldChar w:fldCharType="begin"/>
      </w:r>
      <w:r w:rsidR="00580A29">
        <w:rPr>
          <w:color w:val="000000" w:themeColor="text1"/>
          <w:sz w:val="20"/>
          <w:szCs w:val="20"/>
        </w:rPr>
        <w:instrText xml:space="preserve"> ADDIN ZOTERO_ITEM CSL_CITATION {"citationID":"2izbBkV9","properties":{"unsorted":false,"formattedCitation":"[6]","plainCitation":"[6]","noteIndex":0},"citationItems":[{"id":326,"uris":["http://zotero.org/users/20280584/items/G3VNLW6N"],"itemData":{"id":326,"type":"article-journal","citation-key":"rosenowOpportunitiesHeatElectrification","language":"en","source":"Zotero","title":"Opportunities for heat electrification and energy efficiency in European industry","author":[{"family":"Rosenow","given":"Jan"},{"family":"Oxenaar","given":"Sem"}]}}],"schema":"https://github.com/citation-style-language/schema/raw/master/csl-citation.json"} </w:instrText>
      </w:r>
      <w:r w:rsidR="00A57A5B">
        <w:rPr>
          <w:color w:val="000000" w:themeColor="text1"/>
          <w:sz w:val="20"/>
          <w:szCs w:val="20"/>
        </w:rPr>
        <w:fldChar w:fldCharType="separate"/>
      </w:r>
      <w:r w:rsidR="00580A29">
        <w:rPr>
          <w:noProof/>
          <w:color w:val="000000" w:themeColor="text1"/>
          <w:sz w:val="20"/>
          <w:szCs w:val="20"/>
        </w:rPr>
        <w:t>[6]</w:t>
      </w:r>
      <w:r w:rsidR="00A57A5B">
        <w:rPr>
          <w:color w:val="000000" w:themeColor="text1"/>
          <w:sz w:val="20"/>
          <w:szCs w:val="20"/>
        </w:rPr>
        <w:fldChar w:fldCharType="end"/>
      </w:r>
      <w:r w:rsidR="006B67D5">
        <w:rPr>
          <w:color w:val="000000" w:themeColor="text1"/>
          <w:sz w:val="20"/>
          <w:szCs w:val="20"/>
        </w:rPr>
        <w:t>. Diversifying energy sources and utilizing renewable resources</w:t>
      </w:r>
      <w:r w:rsidR="00CC43E8">
        <w:rPr>
          <w:color w:val="000000" w:themeColor="text1"/>
          <w:sz w:val="20"/>
          <w:szCs w:val="20"/>
        </w:rPr>
        <w:t xml:space="preserve"> can</w:t>
      </w:r>
      <w:r w:rsidR="006B67D5">
        <w:rPr>
          <w:color w:val="000000" w:themeColor="text1"/>
          <w:sz w:val="20"/>
          <w:szCs w:val="20"/>
        </w:rPr>
        <w:t xml:space="preserve"> not only relieve the dependence on gas imports and but also allows for quicker decarbonization through electrification to meet EU climate goals. International conflicts such as the Russ</w:t>
      </w:r>
      <w:r w:rsidR="0000243F">
        <w:rPr>
          <w:color w:val="000000" w:themeColor="text1"/>
          <w:sz w:val="20"/>
          <w:szCs w:val="20"/>
        </w:rPr>
        <w:t>i</w:t>
      </w:r>
      <w:r w:rsidR="006B67D5">
        <w:rPr>
          <w:color w:val="000000" w:themeColor="text1"/>
          <w:sz w:val="20"/>
          <w:szCs w:val="20"/>
        </w:rPr>
        <w:t>an war</w:t>
      </w:r>
      <w:r w:rsidR="00056CA6">
        <w:rPr>
          <w:color w:val="000000" w:themeColor="text1"/>
          <w:sz w:val="20"/>
          <w:szCs w:val="20"/>
        </w:rPr>
        <w:t xml:space="preserve"> </w:t>
      </w:r>
      <w:r w:rsidR="00673234">
        <w:rPr>
          <w:color w:val="000000" w:themeColor="text1"/>
          <w:sz w:val="20"/>
          <w:szCs w:val="20"/>
        </w:rPr>
        <w:fldChar w:fldCharType="begin"/>
      </w:r>
      <w:r w:rsidR="00673234">
        <w:rPr>
          <w:color w:val="000000" w:themeColor="text1"/>
          <w:sz w:val="20"/>
          <w:szCs w:val="20"/>
        </w:rPr>
        <w:instrText xml:space="preserve"> ADDIN ZOTERO_ITEM CSL_CITATION {"citationID":"viOxlcOv","properties":{"unsorted":false,"formattedCitation":"[6]","plainCitation":"[6]","noteIndex":0},"citationItems":[{"id":326,"uris":["http://zotero.org/users/20280584/items/G3VNLW6N"],"itemData":{"id":326,"type":"article-journal","citation-key":"rosenowOpportunitiesHeatElectrification","language":"en","source":"Zotero","title":"Opportunities for heat electrification and energy efficiency in European industry","author":[{"family":"Rosenow","given":"Jan"},{"family":"Oxenaar","given":"Sem"}]}}],"schema":"https://github.com/citation-style-language/schema/raw/master/csl-citation.json"} </w:instrText>
      </w:r>
      <w:r w:rsidR="00673234">
        <w:rPr>
          <w:color w:val="000000" w:themeColor="text1"/>
          <w:sz w:val="20"/>
          <w:szCs w:val="20"/>
        </w:rPr>
        <w:fldChar w:fldCharType="separate"/>
      </w:r>
      <w:r w:rsidR="00673234">
        <w:rPr>
          <w:noProof/>
          <w:color w:val="000000" w:themeColor="text1"/>
          <w:sz w:val="20"/>
          <w:szCs w:val="20"/>
        </w:rPr>
        <w:t>[6]</w:t>
      </w:r>
      <w:r w:rsidR="00673234">
        <w:rPr>
          <w:color w:val="000000" w:themeColor="text1"/>
          <w:sz w:val="20"/>
          <w:szCs w:val="20"/>
        </w:rPr>
        <w:fldChar w:fldCharType="end"/>
      </w:r>
      <w:r w:rsidR="006B67D5">
        <w:rPr>
          <w:color w:val="000000" w:themeColor="text1"/>
          <w:sz w:val="20"/>
          <w:szCs w:val="20"/>
        </w:rPr>
        <w:t xml:space="preserve"> and the closure of the strait of Hormuz threaten the stability of fuel imports and </w:t>
      </w:r>
      <w:r w:rsidR="006B67D5">
        <w:rPr>
          <w:color w:val="000000" w:themeColor="text1"/>
          <w:sz w:val="20"/>
          <w:szCs w:val="20"/>
        </w:rPr>
        <w:t>energy costs</w:t>
      </w:r>
      <w:r w:rsidR="00056CA6">
        <w:rPr>
          <w:color w:val="000000" w:themeColor="text1"/>
          <w:sz w:val="20"/>
          <w:szCs w:val="20"/>
        </w:rPr>
        <w:t xml:space="preserve"> </w:t>
      </w:r>
      <w:r w:rsidR="00673234">
        <w:rPr>
          <w:color w:val="000000" w:themeColor="text1"/>
          <w:sz w:val="20"/>
          <w:szCs w:val="20"/>
        </w:rPr>
        <w:fldChar w:fldCharType="begin"/>
      </w:r>
      <w:r w:rsidR="00673234">
        <w:rPr>
          <w:color w:val="000000" w:themeColor="text1"/>
          <w:sz w:val="20"/>
          <w:szCs w:val="20"/>
        </w:rPr>
        <w:instrText xml:space="preserve"> ADDIN ZOTERO_ITEM CSL_CITATION {"citationID":"PUqDJgpf","properties":{"unsorted":false,"formattedCitation":"[7]","plainCitation":"[7]","noteIndex":0},"citationItems":[{"id":396,"uris":["http://zotero.org/users/20280584/items/DMPL75RZ"],"itemData":{"id":396,"type":"webpage","citation-key":"StraitHormuzSecurity","genre":"legislation","language":"eng","license":"Text is government work","title":"The Strait of Hormuz: Security Developments and Impacts on Oil, Gas, and Other Commodities","title-short":"The Strait of Hormuz","URL":"https://www.congress.gov/crs-product/R45281","accessed":{"date-parts":[["2026",8,10]]}}}],"schema":"https://github.com/citation-style-language/schema/raw/master/csl-citation.json"} </w:instrText>
      </w:r>
      <w:r w:rsidR="00673234">
        <w:rPr>
          <w:color w:val="000000" w:themeColor="text1"/>
          <w:sz w:val="20"/>
          <w:szCs w:val="20"/>
        </w:rPr>
        <w:fldChar w:fldCharType="separate"/>
      </w:r>
      <w:r w:rsidR="00673234">
        <w:rPr>
          <w:noProof/>
          <w:color w:val="000000" w:themeColor="text1"/>
          <w:sz w:val="20"/>
          <w:szCs w:val="20"/>
        </w:rPr>
        <w:t>[7]</w:t>
      </w:r>
      <w:r w:rsidR="00673234">
        <w:rPr>
          <w:color w:val="000000" w:themeColor="text1"/>
          <w:sz w:val="20"/>
          <w:szCs w:val="20"/>
        </w:rPr>
        <w:fldChar w:fldCharType="end"/>
      </w:r>
      <w:r w:rsidR="006B67D5">
        <w:rPr>
          <w:color w:val="000000" w:themeColor="text1"/>
          <w:sz w:val="20"/>
          <w:szCs w:val="20"/>
        </w:rPr>
        <w:t xml:space="preserve">. </w:t>
      </w:r>
      <w:r w:rsidR="00B27ADE">
        <w:rPr>
          <w:color w:val="000000" w:themeColor="text1"/>
          <w:sz w:val="20"/>
          <w:szCs w:val="20"/>
        </w:rPr>
        <w:t>Using</w:t>
      </w:r>
      <w:r w:rsidR="006B67D5">
        <w:rPr>
          <w:color w:val="000000" w:themeColor="text1"/>
          <w:sz w:val="20"/>
          <w:szCs w:val="20"/>
        </w:rPr>
        <w:t xml:space="preserve"> </w:t>
      </w:r>
      <w:r w:rsidR="004F7ADA">
        <w:rPr>
          <w:color w:val="000000" w:themeColor="text1"/>
          <w:sz w:val="20"/>
          <w:szCs w:val="20"/>
        </w:rPr>
        <w:t>domestic</w:t>
      </w:r>
      <w:r w:rsidR="009523B6">
        <w:rPr>
          <w:color w:val="000000" w:themeColor="text1"/>
          <w:sz w:val="20"/>
          <w:szCs w:val="20"/>
        </w:rPr>
        <w:t>ally</w:t>
      </w:r>
      <w:r w:rsidR="006B67D5">
        <w:rPr>
          <w:color w:val="000000" w:themeColor="text1"/>
          <w:sz w:val="20"/>
          <w:szCs w:val="20"/>
        </w:rPr>
        <w:t xml:space="preserve"> </w:t>
      </w:r>
      <w:r w:rsidR="009523B6">
        <w:rPr>
          <w:color w:val="000000" w:themeColor="text1"/>
          <w:sz w:val="20"/>
          <w:szCs w:val="20"/>
        </w:rPr>
        <w:t>sourced</w:t>
      </w:r>
      <w:r w:rsidR="006B67D5">
        <w:rPr>
          <w:color w:val="000000" w:themeColor="text1"/>
          <w:sz w:val="20"/>
          <w:szCs w:val="20"/>
        </w:rPr>
        <w:t xml:space="preserve"> solar plus storage</w:t>
      </w:r>
      <w:r w:rsidR="007868D3">
        <w:rPr>
          <w:color w:val="000000" w:themeColor="text1"/>
          <w:sz w:val="20"/>
          <w:szCs w:val="20"/>
        </w:rPr>
        <w:t xml:space="preserve"> heat generation</w:t>
      </w:r>
      <w:r w:rsidR="006B67D5">
        <w:rPr>
          <w:color w:val="000000" w:themeColor="text1"/>
          <w:sz w:val="20"/>
          <w:szCs w:val="20"/>
        </w:rPr>
        <w:t xml:space="preserve">, the EU can be </w:t>
      </w:r>
      <w:r w:rsidR="00594616">
        <w:rPr>
          <w:color w:val="000000" w:themeColor="text1"/>
          <w:sz w:val="20"/>
          <w:szCs w:val="20"/>
        </w:rPr>
        <w:t xml:space="preserve">better </w:t>
      </w:r>
      <w:r w:rsidR="006B67D5">
        <w:rPr>
          <w:color w:val="000000" w:themeColor="text1"/>
          <w:sz w:val="20"/>
          <w:szCs w:val="20"/>
        </w:rPr>
        <w:t>equipped to stabilize and even reduce energy cost</w:t>
      </w:r>
      <w:r w:rsidR="00806FD8">
        <w:rPr>
          <w:color w:val="000000" w:themeColor="text1"/>
          <w:sz w:val="20"/>
          <w:szCs w:val="20"/>
        </w:rPr>
        <w:t>s</w:t>
      </w:r>
      <w:r w:rsidR="006B67D5">
        <w:rPr>
          <w:color w:val="000000" w:themeColor="text1"/>
          <w:sz w:val="20"/>
          <w:szCs w:val="20"/>
        </w:rPr>
        <w:t xml:space="preserve">. </w:t>
      </w:r>
    </w:p>
    <w:p w14:paraId="6C77918E" w14:textId="04D675D3" w:rsidR="006C286C" w:rsidRDefault="000B2A9C" w:rsidP="00766744">
      <w:pPr>
        <w:jc w:val="both"/>
        <w:rPr>
          <w:rFonts w:eastAsia="SimSun"/>
          <w:color w:val="000000" w:themeColor="text1"/>
          <w:sz w:val="20"/>
          <w:szCs w:val="20"/>
          <w:lang w:val="en-AU" w:eastAsia="zh-CN"/>
        </w:rPr>
      </w:pPr>
      <w:r>
        <w:rPr>
          <w:rFonts w:eastAsia="SimSun"/>
          <w:color w:val="000000" w:themeColor="text1"/>
          <w:sz w:val="20"/>
          <w:szCs w:val="20"/>
          <w:lang w:val="en-AU" w:eastAsia="zh-CN"/>
        </w:rPr>
        <w:t xml:space="preserve">However, the progress to electrify process heat has been falling behind other sectors </w:t>
      </w:r>
      <w:r>
        <w:rPr>
          <w:rFonts w:eastAsia="SimSun"/>
          <w:color w:val="000000" w:themeColor="text1"/>
          <w:sz w:val="20"/>
          <w:szCs w:val="20"/>
          <w:lang w:val="en-AU" w:eastAsia="zh-CN"/>
        </w:rPr>
        <w:fldChar w:fldCharType="begin"/>
      </w:r>
      <w:r w:rsidR="00673234">
        <w:rPr>
          <w:rFonts w:eastAsia="SimSun"/>
          <w:color w:val="000000" w:themeColor="text1"/>
          <w:sz w:val="20"/>
          <w:szCs w:val="20"/>
          <w:lang w:val="en-AU" w:eastAsia="zh-CN"/>
        </w:rPr>
        <w:instrText xml:space="preserve"> ADDIN ZOTERO_ITEM CSL_CITATION {"citationID":"yahR8faS","properties":{"unsorted":false,"formattedCitation":"[8]","plainCitation":"[8]","noteIndex":0},"citationItems":[{"id":342,"uris":["http://zotero.org/users/20280584/items/H4BSST7L"],"itemData":{"id":342,"type":"article-journal","abstract":"Industrial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Pr>
          <w:rFonts w:eastAsia="SimSun"/>
          <w:color w:val="000000" w:themeColor="text1"/>
          <w:sz w:val="20"/>
          <w:szCs w:val="20"/>
          <w:lang w:val="en-AU" w:eastAsia="zh-CN"/>
        </w:rPr>
        <w:fldChar w:fldCharType="separate"/>
      </w:r>
      <w:r w:rsidR="00673234">
        <w:rPr>
          <w:rFonts w:eastAsia="SimSun"/>
          <w:noProof/>
          <w:color w:val="000000" w:themeColor="text1"/>
          <w:sz w:val="20"/>
          <w:szCs w:val="20"/>
          <w:lang w:val="en-AU" w:eastAsia="zh-CN"/>
        </w:rPr>
        <w:t>[8]</w:t>
      </w:r>
      <w:r>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Critical barriers to electrifying industrial heat include high electricity grid prices relative to gas </w:t>
      </w:r>
      <w:r>
        <w:rPr>
          <w:rFonts w:eastAsia="SimSun"/>
          <w:color w:val="000000" w:themeColor="text1"/>
          <w:sz w:val="20"/>
          <w:szCs w:val="20"/>
          <w:lang w:val="en-AU" w:eastAsia="zh-CN"/>
        </w:rPr>
        <w:fldChar w:fldCharType="begin"/>
      </w:r>
      <w:r w:rsidR="00673234">
        <w:rPr>
          <w:rFonts w:eastAsia="SimSun"/>
          <w:color w:val="000000" w:themeColor="text1"/>
          <w:sz w:val="20"/>
          <w:szCs w:val="20"/>
          <w:lang w:val="en-AU" w:eastAsia="zh-CN"/>
        </w:rPr>
        <w:instrText xml:space="preserve"> ADDIN ZOTERO_ITEM CSL_CITATION {"citationID":"6kDgvjgb","properties":{"unsorted":false,"formattedCitation":"[8]","plainCitation":"[8]","noteIndex":0},"citationItems":[{"id":342,"uris":["http://zotero.org/users/20280584/items/H4BSST7L"],"itemData":{"id":342,"type":"article-journal","abstract":"Industrial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Pr>
          <w:rFonts w:eastAsia="SimSun"/>
          <w:color w:val="000000" w:themeColor="text1"/>
          <w:sz w:val="20"/>
          <w:szCs w:val="20"/>
          <w:lang w:val="en-AU" w:eastAsia="zh-CN"/>
        </w:rPr>
        <w:fldChar w:fldCharType="separate"/>
      </w:r>
      <w:r w:rsidR="00673234">
        <w:rPr>
          <w:rFonts w:eastAsia="SimSun"/>
          <w:noProof/>
          <w:color w:val="000000" w:themeColor="text1"/>
          <w:sz w:val="20"/>
          <w:szCs w:val="20"/>
          <w:lang w:val="en-AU" w:eastAsia="zh-CN"/>
        </w:rPr>
        <w:t>[8]</w:t>
      </w:r>
      <w:r>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and long lead times to connect to the electricity grid</w:t>
      </w:r>
      <w:r w:rsidR="00056CA6">
        <w:rPr>
          <w:rFonts w:eastAsia="SimSun"/>
          <w:color w:val="000000" w:themeColor="text1"/>
          <w:sz w:val="20"/>
          <w:szCs w:val="20"/>
          <w:lang w:val="en-AU" w:eastAsia="zh-CN"/>
        </w:rPr>
        <w:t xml:space="preserve"> </w:t>
      </w:r>
      <w:r w:rsidR="00580A29">
        <w:rPr>
          <w:rFonts w:eastAsia="SimSun"/>
          <w:color w:val="000000" w:themeColor="text1"/>
          <w:sz w:val="20"/>
          <w:szCs w:val="20"/>
          <w:lang w:val="en-AU" w:eastAsia="zh-CN"/>
        </w:rPr>
        <w:fldChar w:fldCharType="begin"/>
      </w:r>
      <w:r w:rsidR="00673234">
        <w:rPr>
          <w:rFonts w:eastAsia="SimSun"/>
          <w:color w:val="000000" w:themeColor="text1"/>
          <w:sz w:val="20"/>
          <w:szCs w:val="20"/>
          <w:lang w:val="en-AU" w:eastAsia="zh-CN"/>
        </w:rPr>
        <w:instrText xml:space="preserve"> ADDIN ZOTERO_ITEM CSL_CITATION {"citationID":"nWzFMKKW","properties":{"unsorted":false,"formattedCitation":"[9], [10]","plainCitation":"[9], [10]","noteIndex":0},"citationItems":[{"id":386,"uris":["http://zotero.org/users/20280584/items/SHEIV3NI"],"itemData":{"id":386,"type":"article-journal","abstract":"Industrial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power.","citation-key":"dominguezUSCanCostEffectively","language":"en","source":"Zotero","title":"U.S. Can Cost-Effectively Supply One Third of Industrial Heat Demand Using Off-Grid Electric Thermal Storage and Heat Pumps","author":[{"family":"Dominguez","given":"Jose"},{"family":"Paliwal","given":"Umed"},{"family":"Phadke","given":"Amol"}]}},{"id":363,"uris":["http://zotero.org/users/20280584/items/53DSS7K6"],"itemData":{"id":363,"type":"article-journal","abstract":"Data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author":[{"family":"Chojkiewicz","given":"Emilia"},{"family":"Manocha","given":"Aneesha"},{"family":"Paliwal","given":"Umed"},{"family":"Callaway","given":"Duncan"},{"family":"Phadke","given":"Amol"}]}}],"schema":"https://github.com/citation-style-language/schema/raw/master/csl-citation.json"} </w:instrText>
      </w:r>
      <w:r w:rsidR="00580A29">
        <w:rPr>
          <w:rFonts w:eastAsia="SimSun"/>
          <w:color w:val="000000" w:themeColor="text1"/>
          <w:sz w:val="20"/>
          <w:szCs w:val="20"/>
          <w:lang w:val="en-AU" w:eastAsia="zh-CN"/>
        </w:rPr>
        <w:fldChar w:fldCharType="separate"/>
      </w:r>
      <w:r w:rsidR="00673234">
        <w:rPr>
          <w:rFonts w:eastAsia="SimSun"/>
          <w:noProof/>
          <w:color w:val="000000" w:themeColor="text1"/>
          <w:sz w:val="20"/>
          <w:szCs w:val="20"/>
          <w:lang w:val="en-AU" w:eastAsia="zh-CN"/>
        </w:rPr>
        <w:t>[9], [10]</w:t>
      </w:r>
      <w:r w:rsidR="00580A29">
        <w:rPr>
          <w:rFonts w:eastAsia="SimSun"/>
          <w:color w:val="000000" w:themeColor="text1"/>
          <w:sz w:val="20"/>
          <w:szCs w:val="20"/>
          <w:lang w:val="en-AU" w:eastAsia="zh-CN"/>
        </w:rPr>
        <w:fldChar w:fldCharType="end"/>
      </w:r>
      <w:r>
        <w:rPr>
          <w:rFonts w:eastAsia="SimSun"/>
          <w:color w:val="000000" w:themeColor="text1"/>
          <w:sz w:val="20"/>
          <w:szCs w:val="20"/>
          <w:lang w:val="en-AU" w:eastAsia="zh-CN"/>
        </w:rPr>
        <w:t xml:space="preserve">. </w:t>
      </w:r>
      <w:r w:rsidR="00FE7EE6">
        <w:rPr>
          <w:rFonts w:eastAsia="SimSun"/>
          <w:color w:val="000000" w:themeColor="text1"/>
          <w:sz w:val="20"/>
          <w:szCs w:val="20"/>
          <w:lang w:val="en-AU" w:eastAsia="zh-CN"/>
        </w:rPr>
        <w:t>O</w:t>
      </w:r>
      <w:r w:rsidR="00DB08F6">
        <w:rPr>
          <w:rFonts w:eastAsia="SimSun"/>
          <w:color w:val="000000" w:themeColor="text1"/>
          <w:sz w:val="20"/>
          <w:szCs w:val="20"/>
          <w:lang w:val="en-AU" w:eastAsia="zh-CN"/>
        </w:rPr>
        <w:t>n</w:t>
      </w:r>
      <w:r w:rsidR="00FE7EE6">
        <w:rPr>
          <w:rFonts w:eastAsia="SimSun"/>
          <w:color w:val="000000" w:themeColor="text1"/>
          <w:sz w:val="20"/>
          <w:szCs w:val="20"/>
          <w:lang w:val="en-AU" w:eastAsia="zh-CN"/>
        </w:rPr>
        <w:t xml:space="preserve">-site renewable solutions can decrease reliance on </w:t>
      </w:r>
      <w:r w:rsidR="00E924B8">
        <w:rPr>
          <w:rFonts w:eastAsia="SimSun"/>
          <w:color w:val="000000" w:themeColor="text1"/>
          <w:sz w:val="20"/>
          <w:szCs w:val="20"/>
          <w:lang w:val="en-AU" w:eastAsia="zh-CN"/>
        </w:rPr>
        <w:t>imported gas</w:t>
      </w:r>
      <w:r w:rsidR="00056CA6">
        <w:rPr>
          <w:rFonts w:eastAsia="SimSun"/>
          <w:color w:val="000000" w:themeColor="text1"/>
          <w:sz w:val="20"/>
          <w:szCs w:val="20"/>
          <w:lang w:val="en-AU" w:eastAsia="zh-CN"/>
        </w:rPr>
        <w:t xml:space="preserve"> </w:t>
      </w:r>
      <w:r w:rsidR="00F610F6">
        <w:rPr>
          <w:rFonts w:eastAsia="SimSun"/>
          <w:color w:val="000000" w:themeColor="text1"/>
          <w:sz w:val="20"/>
          <w:szCs w:val="20"/>
          <w:lang w:val="en-AU" w:eastAsia="zh-CN"/>
        </w:rPr>
        <w:fldChar w:fldCharType="begin"/>
      </w:r>
      <w:r w:rsidR="00673234">
        <w:rPr>
          <w:rFonts w:eastAsia="SimSun"/>
          <w:color w:val="000000" w:themeColor="text1"/>
          <w:sz w:val="20"/>
          <w:szCs w:val="20"/>
          <w:lang w:val="en-AU" w:eastAsia="zh-CN"/>
        </w:rPr>
        <w:instrText xml:space="preserve"> ADDIN ZOTERO_ITEM CSL_CITATION {"citationID":"BzsVMPKo","properties":{"unsorted":false,"formattedCitation":"[11]","plainCitation":"[11]","noteIndex":0},"citationItems":[{"id":387,"uris":["http://zotero.org/users/20280584/items/KEA7LGWA"],"itemData":{"id":387,"type":"post-weblog","abstract":"The EU faces a structural energy security challenge, yet a credible pathway out is now within reach: electrification.","citation-key":"baselovicCredibleGasEndgame2026","container-title":"Strategic Perspectives","language":"en-GB","title":"A credible gas endgame for Europe","URL":"https://strategicperspectives.eu/a-credible-gas-endgame-for-europe-electrification-and-regional-partnerships/","author":[{"family":"Baselovic","given":"Mirta"}],"accessed":{"date-parts":[["2026",8,10]]},"issued":{"date-parts":[["2026",2,10]]}}}],"schema":"https://github.com/citation-style-language/schema/raw/master/csl-citation.json"} </w:instrText>
      </w:r>
      <w:r w:rsidR="00F610F6">
        <w:rPr>
          <w:rFonts w:eastAsia="SimSun"/>
          <w:color w:val="000000" w:themeColor="text1"/>
          <w:sz w:val="20"/>
          <w:szCs w:val="20"/>
          <w:lang w:val="en-AU" w:eastAsia="zh-CN"/>
        </w:rPr>
        <w:fldChar w:fldCharType="separate"/>
      </w:r>
      <w:r w:rsidR="00673234">
        <w:rPr>
          <w:rFonts w:eastAsia="SimSun"/>
          <w:noProof/>
          <w:color w:val="000000" w:themeColor="text1"/>
          <w:sz w:val="20"/>
          <w:szCs w:val="20"/>
          <w:lang w:val="en-AU" w:eastAsia="zh-CN"/>
        </w:rPr>
        <w:t>[11]</w:t>
      </w:r>
      <w:r w:rsidR="00F610F6">
        <w:rPr>
          <w:rFonts w:eastAsia="SimSun"/>
          <w:color w:val="000000" w:themeColor="text1"/>
          <w:sz w:val="20"/>
          <w:szCs w:val="20"/>
          <w:lang w:val="en-AU" w:eastAsia="zh-CN"/>
        </w:rPr>
        <w:fldChar w:fldCharType="end"/>
      </w:r>
      <w:r w:rsidR="00E924B8">
        <w:rPr>
          <w:rFonts w:eastAsia="SimSun"/>
          <w:color w:val="000000" w:themeColor="text1"/>
          <w:sz w:val="20"/>
          <w:szCs w:val="20"/>
          <w:lang w:val="en-AU" w:eastAsia="zh-CN"/>
        </w:rPr>
        <w:t xml:space="preserve"> and </w:t>
      </w:r>
      <w:r w:rsidR="00F610F6">
        <w:rPr>
          <w:rFonts w:eastAsia="SimSun"/>
          <w:color w:val="000000" w:themeColor="text1"/>
          <w:sz w:val="20"/>
          <w:szCs w:val="20"/>
          <w:lang w:val="en-AU" w:eastAsia="zh-CN"/>
        </w:rPr>
        <w:t>avoid the multi-year grid interconnection timeline</w:t>
      </w:r>
      <w:r w:rsidR="00056CA6">
        <w:rPr>
          <w:rFonts w:eastAsia="SimSun"/>
          <w:color w:val="000000" w:themeColor="text1"/>
          <w:sz w:val="20"/>
          <w:szCs w:val="20"/>
          <w:lang w:val="en-AU" w:eastAsia="zh-CN"/>
        </w:rPr>
        <w:t xml:space="preserve"> </w:t>
      </w:r>
      <w:r w:rsidR="00F610F6">
        <w:rPr>
          <w:rFonts w:eastAsia="SimSun"/>
          <w:color w:val="000000" w:themeColor="text1"/>
          <w:sz w:val="20"/>
          <w:szCs w:val="20"/>
          <w:lang w:val="en-AU" w:eastAsia="zh-CN"/>
        </w:rPr>
        <w:fldChar w:fldCharType="begin"/>
      </w:r>
      <w:r w:rsidR="00673234">
        <w:rPr>
          <w:rFonts w:eastAsia="SimSun"/>
          <w:color w:val="000000" w:themeColor="text1"/>
          <w:sz w:val="20"/>
          <w:szCs w:val="20"/>
          <w:lang w:val="en-AU" w:eastAsia="zh-CN"/>
        </w:rPr>
        <w:instrText xml:space="preserve"> ADDIN ZOTERO_ITEM CSL_CITATION {"citationID":"m61rTrm8","properties":{"unsorted":false,"formattedCitation":"[12]","plainCitation":"[12]","noteIndex":0},"citationItems":[{"id":389,"uris":["http://zotero.org/users/20280584/items/C5VT5L3V"],"itemData":{"id":389,"type":"post-weblog","abstract":"Europe's energy security depends on rapidly scaling up renewables, but limited grid capacity risks leaving new projects stuck in connection queues. Immediate action can be taken to unblock this barrier.","citation-key":"CrossedWiresGrid","container-title":"Ember","language":"en-US","title":"Crossed wires꞉ Grid capacity could block EU energy security","URL":"https://ember-energy.org/latest-insights/crossed-wires-grid-capacity-could-block-eu-energy-security","accessed":{"date-parts":[["2026",8,10]]}}}],"schema":"https://github.com/citation-style-language/schema/raw/master/csl-citation.json"} </w:instrText>
      </w:r>
      <w:r w:rsidR="00F610F6">
        <w:rPr>
          <w:rFonts w:eastAsia="SimSun"/>
          <w:color w:val="000000" w:themeColor="text1"/>
          <w:sz w:val="20"/>
          <w:szCs w:val="20"/>
          <w:lang w:val="en-AU" w:eastAsia="zh-CN"/>
        </w:rPr>
        <w:fldChar w:fldCharType="separate"/>
      </w:r>
      <w:r w:rsidR="00673234">
        <w:rPr>
          <w:rFonts w:eastAsia="SimSun"/>
          <w:noProof/>
          <w:color w:val="000000" w:themeColor="text1"/>
          <w:sz w:val="20"/>
          <w:szCs w:val="20"/>
          <w:lang w:val="en-AU" w:eastAsia="zh-CN"/>
        </w:rPr>
        <w:t>[12]</w:t>
      </w:r>
      <w:r w:rsidR="00F610F6">
        <w:rPr>
          <w:rFonts w:eastAsia="SimSun"/>
          <w:color w:val="000000" w:themeColor="text1"/>
          <w:sz w:val="20"/>
          <w:szCs w:val="20"/>
          <w:lang w:val="en-AU" w:eastAsia="zh-CN"/>
        </w:rPr>
        <w:fldChar w:fldCharType="end"/>
      </w:r>
      <w:r w:rsidR="00E924B8">
        <w:rPr>
          <w:rFonts w:eastAsia="SimSun"/>
          <w:color w:val="000000" w:themeColor="text1"/>
          <w:sz w:val="20"/>
          <w:szCs w:val="20"/>
          <w:lang w:val="en-AU" w:eastAsia="zh-CN"/>
        </w:rPr>
        <w:t xml:space="preserve">. </w:t>
      </w:r>
      <w:r w:rsidR="00593131">
        <w:rPr>
          <w:rFonts w:eastAsia="SimSun"/>
          <w:color w:val="000000" w:themeColor="text1"/>
          <w:sz w:val="20"/>
          <w:szCs w:val="20"/>
          <w:lang w:val="en-AU" w:eastAsia="zh-CN"/>
        </w:rPr>
        <w:t xml:space="preserve">With enough land available, solar plus storage systems can provide heat without incurring the cost of expensive transmission infrastructure or </w:t>
      </w:r>
      <w:r w:rsidR="00CE101B">
        <w:rPr>
          <w:rFonts w:eastAsia="SimSun"/>
          <w:color w:val="000000" w:themeColor="text1"/>
          <w:sz w:val="20"/>
          <w:szCs w:val="20"/>
          <w:lang w:val="en-AU" w:eastAsia="zh-CN"/>
        </w:rPr>
        <w:t>long interconnection queue wait times</w:t>
      </w:r>
      <w:r w:rsidR="00056CA6">
        <w:rPr>
          <w:rFonts w:eastAsia="SimSun"/>
          <w:color w:val="000000" w:themeColor="text1"/>
          <w:sz w:val="20"/>
          <w:szCs w:val="20"/>
          <w:lang w:val="en-AU" w:eastAsia="zh-CN"/>
        </w:rPr>
        <w:t xml:space="preserve"> </w:t>
      </w:r>
      <w:r w:rsidR="00180ABE">
        <w:rPr>
          <w:rFonts w:eastAsia="SimSun"/>
          <w:color w:val="000000" w:themeColor="text1"/>
          <w:sz w:val="20"/>
          <w:szCs w:val="20"/>
          <w:lang w:val="en-AU" w:eastAsia="zh-CN"/>
        </w:rPr>
        <w:fldChar w:fldCharType="begin"/>
      </w:r>
      <w:r w:rsidR="00673234">
        <w:rPr>
          <w:rFonts w:eastAsia="SimSun"/>
          <w:color w:val="000000" w:themeColor="text1"/>
          <w:sz w:val="20"/>
          <w:szCs w:val="20"/>
          <w:lang w:val="en-AU" w:eastAsia="zh-CN"/>
        </w:rPr>
        <w:instrText xml:space="preserve"> ADDIN ZOTERO_ITEM CSL_CITATION {"citationID":"ojNJXW9e","properties":{"unsorted":false,"formattedCitation":"[9]","plainCitation":"[9]","noteIndex":0},"citationItems":[{"id":386,"uris":["http://zotero.org/users/20280584/items/SHEIV3NI"],"itemData":{"id":386,"type":"article-journal","abstract":"Industrial heat is a major source of U.S. emissions and is challenging to decarbonize due to the availability of low-cost natural gas keeping fossil fuel heating highly competitive. Emerging lowcost and efficient options such as thermal electric storage and industrial heat pumps offer a promising alternative when combined with local low-cost solar and wind power.","citation-key":"dominguezUSCanCostEffectively","language":"en","source":"Zotero","title":"U.S. Can Cost-Effectively Supply One Third of Industrial Heat Demand Using Off-Grid Electric Thermal Storage and Heat Pumps","author":[{"family":"Dominguez","given":"Jose"},{"family":"Paliwal","given":"Umed"},{"family":"Phadke","given":"Amol"}]}}],"schema":"https://github.com/citation-style-language/schema/raw/master/csl-citation.json"} </w:instrText>
      </w:r>
      <w:r w:rsidR="00180ABE">
        <w:rPr>
          <w:rFonts w:eastAsia="SimSun"/>
          <w:color w:val="000000" w:themeColor="text1"/>
          <w:sz w:val="20"/>
          <w:szCs w:val="20"/>
          <w:lang w:val="en-AU" w:eastAsia="zh-CN"/>
        </w:rPr>
        <w:fldChar w:fldCharType="separate"/>
      </w:r>
      <w:r w:rsidR="00673234">
        <w:rPr>
          <w:rFonts w:eastAsia="SimSun"/>
          <w:noProof/>
          <w:color w:val="000000" w:themeColor="text1"/>
          <w:sz w:val="20"/>
          <w:szCs w:val="20"/>
          <w:lang w:val="en-AU" w:eastAsia="zh-CN"/>
        </w:rPr>
        <w:t>[9]</w:t>
      </w:r>
      <w:r w:rsidR="00180ABE">
        <w:rPr>
          <w:rFonts w:eastAsia="SimSun"/>
          <w:color w:val="000000" w:themeColor="text1"/>
          <w:sz w:val="20"/>
          <w:szCs w:val="20"/>
          <w:lang w:val="en-AU" w:eastAsia="zh-CN"/>
        </w:rPr>
        <w:fldChar w:fldCharType="end"/>
      </w:r>
      <w:r w:rsidR="00CE101B">
        <w:rPr>
          <w:rFonts w:eastAsia="SimSun"/>
          <w:color w:val="000000" w:themeColor="text1"/>
          <w:sz w:val="20"/>
          <w:szCs w:val="20"/>
          <w:lang w:val="en-AU" w:eastAsia="zh-CN"/>
        </w:rPr>
        <w:t>.</w:t>
      </w:r>
      <w:r w:rsidR="00593131">
        <w:rPr>
          <w:rFonts w:eastAsia="SimSun"/>
          <w:color w:val="000000" w:themeColor="text1"/>
          <w:sz w:val="20"/>
          <w:szCs w:val="20"/>
          <w:lang w:val="en-AU" w:eastAsia="zh-CN"/>
        </w:rPr>
        <w:t xml:space="preserve"> </w:t>
      </w:r>
    </w:p>
    <w:p w14:paraId="0318019A" w14:textId="3272C69E" w:rsidR="00B37993" w:rsidRPr="00F50040" w:rsidRDefault="00315A61" w:rsidP="00F50040">
      <w:pPr>
        <w:spacing w:after="200"/>
        <w:jc w:val="both"/>
        <w:rPr>
          <w:color w:val="000000" w:themeColor="text1"/>
          <w:sz w:val="20"/>
          <w:szCs w:val="20"/>
        </w:rPr>
      </w:pPr>
      <w:r w:rsidRPr="006C286C">
        <w:rPr>
          <w:color w:val="000000" w:themeColor="text1"/>
          <w:sz w:val="20"/>
          <w:szCs w:val="20"/>
        </w:rPr>
        <w:t>Prior work analyses industrial decarbonization at a sector level or country level</w:t>
      </w:r>
      <w:r w:rsidR="00056CA6">
        <w:rPr>
          <w:color w:val="000000" w:themeColor="text1"/>
          <w:sz w:val="20"/>
          <w:szCs w:val="20"/>
        </w:rPr>
        <w:t xml:space="preserve"> </w:t>
      </w:r>
      <w:r w:rsidR="00766744">
        <w:rPr>
          <w:color w:val="000000" w:themeColor="text1"/>
          <w:sz w:val="20"/>
          <w:szCs w:val="20"/>
        </w:rPr>
        <w:fldChar w:fldCharType="begin"/>
      </w:r>
      <w:r w:rsidR="00673234">
        <w:rPr>
          <w:color w:val="000000" w:themeColor="text1"/>
          <w:sz w:val="20"/>
          <w:szCs w:val="20"/>
        </w:rPr>
        <w:instrText xml:space="preserve"> ADDIN ZOTERO_ITEM CSL_CITATION {"citationID":"CA2AsG20","properties":{"unsorted":false,"formattedCitation":"[6], [13]","plainCitation":"[6], [13]","noteIndex":0},"citationItems":[{"id":326,"uris":["http://zotero.org/users/20280584/items/G3VNLW6N"],"itemData":{"id":326,"type":"article-journal","citation-key":"rosenowOpportunitiesHeatElectrification","language":"en","source":"Zotero","title":"Opportunities for heat electrification and energy efficiency in European industry","author":[{"family":"Rosenow","given":"Jan"},{"family":"Oxenaar","given":"Sem"}]}},{"id":322,"uris":["http://zotero.org/users/20280584/items/WP7IM342"],"itemData":{"id":322,"type":"report","citation-key":"The business case for electrifying industrial heat","publisher":"Agora Industry, Agora Energiewende, Fraunhofer ISI, ECCO Think Tank and Reform Institu","title":"The business case for electrifying industrial heat","URL":"https://www.agora-industry.org/fileadmin/Projekte/2023/2023-36_IND_Electrification_low_heat/A-IND_396_The_business_case_for_electrifying_industrial_heat_WEB.pdf","accessed":{"date-parts":[["2026",7,22]]}}}],"schema":"https://github.com/citation-style-language/schema/raw/master/csl-citation.json"} </w:instrText>
      </w:r>
      <w:r w:rsidR="00766744">
        <w:rPr>
          <w:color w:val="000000" w:themeColor="text1"/>
          <w:sz w:val="20"/>
          <w:szCs w:val="20"/>
        </w:rPr>
        <w:fldChar w:fldCharType="separate"/>
      </w:r>
      <w:r w:rsidR="00673234">
        <w:rPr>
          <w:noProof/>
          <w:color w:val="000000" w:themeColor="text1"/>
          <w:sz w:val="20"/>
          <w:szCs w:val="20"/>
        </w:rPr>
        <w:t>[6], [13]</w:t>
      </w:r>
      <w:r w:rsidR="00766744">
        <w:rPr>
          <w:color w:val="000000" w:themeColor="text1"/>
          <w:sz w:val="20"/>
          <w:szCs w:val="20"/>
        </w:rPr>
        <w:fldChar w:fldCharType="end"/>
      </w:r>
      <w:r w:rsidR="006A568B">
        <w:rPr>
          <w:color w:val="000000" w:themeColor="text1"/>
          <w:sz w:val="20"/>
          <w:szCs w:val="20"/>
        </w:rPr>
        <w:t xml:space="preserve"> but not at a facility level</w:t>
      </w:r>
      <w:r w:rsidRPr="006C286C">
        <w:rPr>
          <w:color w:val="000000" w:themeColor="text1"/>
          <w:sz w:val="20"/>
          <w:szCs w:val="20"/>
        </w:rPr>
        <w:t>.</w:t>
      </w:r>
      <w:r w:rsidR="00766744" w:rsidRPr="006C286C">
        <w:rPr>
          <w:color w:val="000000" w:themeColor="text1"/>
          <w:sz w:val="20"/>
          <w:szCs w:val="20"/>
        </w:rPr>
        <w:t xml:space="preserve"> </w:t>
      </w:r>
      <w:r w:rsidR="00CB584D">
        <w:rPr>
          <w:color w:val="000000" w:themeColor="text1"/>
          <w:sz w:val="20"/>
          <w:szCs w:val="20"/>
        </w:rPr>
        <w:t xml:space="preserve">While </w:t>
      </w:r>
      <w:r w:rsidR="00D06C97">
        <w:rPr>
          <w:color w:val="000000" w:themeColor="text1"/>
          <w:sz w:val="20"/>
          <w:szCs w:val="20"/>
        </w:rPr>
        <w:t>those analyses</w:t>
      </w:r>
      <w:r w:rsidR="00CB584D">
        <w:rPr>
          <w:color w:val="000000" w:themeColor="text1"/>
          <w:sz w:val="20"/>
          <w:szCs w:val="20"/>
        </w:rPr>
        <w:t xml:space="preserve"> help identify the need to electrify and decarbonize, </w:t>
      </w:r>
      <w:r w:rsidR="00421F87">
        <w:rPr>
          <w:color w:val="000000" w:themeColor="text1"/>
          <w:sz w:val="20"/>
          <w:szCs w:val="20"/>
        </w:rPr>
        <w:t>they</w:t>
      </w:r>
      <w:r w:rsidR="00CB584D">
        <w:rPr>
          <w:color w:val="000000" w:themeColor="text1"/>
          <w:sz w:val="20"/>
          <w:szCs w:val="20"/>
        </w:rPr>
        <w:t xml:space="preserve"> cannot target the specific areas that are the</w:t>
      </w:r>
      <w:r w:rsidR="00FF23E8">
        <w:rPr>
          <w:color w:val="000000" w:themeColor="text1"/>
          <w:sz w:val="20"/>
          <w:szCs w:val="20"/>
        </w:rPr>
        <w:t xml:space="preserve"> </w:t>
      </w:r>
      <w:r w:rsidR="00CB584D">
        <w:rPr>
          <w:color w:val="000000" w:themeColor="text1"/>
          <w:sz w:val="20"/>
          <w:szCs w:val="20"/>
        </w:rPr>
        <w:t xml:space="preserve">optimal for decarbonizing nor can </w:t>
      </w:r>
      <w:r w:rsidR="009F1541">
        <w:rPr>
          <w:color w:val="000000" w:themeColor="text1"/>
          <w:sz w:val="20"/>
          <w:szCs w:val="20"/>
        </w:rPr>
        <w:t>they</w:t>
      </w:r>
      <w:r w:rsidR="00CB584D">
        <w:rPr>
          <w:color w:val="000000" w:themeColor="text1"/>
          <w:sz w:val="20"/>
          <w:szCs w:val="20"/>
        </w:rPr>
        <w:t xml:space="preserve"> </w:t>
      </w:r>
      <w:r w:rsidR="00D06C97">
        <w:rPr>
          <w:color w:val="000000" w:themeColor="text1"/>
          <w:sz w:val="20"/>
          <w:szCs w:val="20"/>
        </w:rPr>
        <w:t xml:space="preserve">quantify the impacts at a regional level. </w:t>
      </w:r>
      <w:r w:rsidR="00AA1865">
        <w:rPr>
          <w:color w:val="000000" w:themeColor="text1"/>
          <w:sz w:val="20"/>
          <w:szCs w:val="20"/>
        </w:rPr>
        <w:t xml:space="preserve">For on-site solar resources, the capacity factor and costs can differ greatly within a country or region. </w:t>
      </w:r>
      <w:r w:rsidR="005100C2">
        <w:rPr>
          <w:color w:val="000000" w:themeColor="text1"/>
          <w:sz w:val="20"/>
          <w:szCs w:val="20"/>
        </w:rPr>
        <w:t>Facility</w:t>
      </w:r>
      <w:r w:rsidR="00DF27BF">
        <w:rPr>
          <w:color w:val="000000" w:themeColor="text1"/>
          <w:sz w:val="20"/>
          <w:szCs w:val="20"/>
        </w:rPr>
        <w:t>-</w:t>
      </w:r>
      <w:r w:rsidR="005100C2">
        <w:rPr>
          <w:color w:val="000000" w:themeColor="text1"/>
          <w:sz w:val="20"/>
          <w:szCs w:val="20"/>
        </w:rPr>
        <w:t>level bottom-up analysis can tackle those gaps</w:t>
      </w:r>
      <w:r w:rsidR="00580A29">
        <w:rPr>
          <w:color w:val="000000" w:themeColor="text1"/>
          <w:sz w:val="20"/>
          <w:szCs w:val="20"/>
        </w:rPr>
        <w:t xml:space="preserve"> </w:t>
      </w:r>
      <w:r w:rsidR="00580A29">
        <w:rPr>
          <w:color w:val="000000" w:themeColor="text1"/>
          <w:sz w:val="20"/>
          <w:szCs w:val="20"/>
        </w:rPr>
        <w:fldChar w:fldCharType="begin"/>
      </w:r>
      <w:r w:rsidR="00673234">
        <w:rPr>
          <w:color w:val="000000" w:themeColor="text1"/>
          <w:sz w:val="20"/>
          <w:szCs w:val="20"/>
        </w:rPr>
        <w:instrText xml:space="preserve"> ADDIN ZOTERO_ITEM CSL_CITATION {"citationID":"fKJTcn0W","properties":{"unsorted":false,"formattedCitation":"[14]","plainCitation":"[14]","noteIndex":0},"citationItems":[{"id":394,"uris":["http://zotero.org/users/20280584/items/J7SMF7KW"],"itemData":{"id":394,"type":"article-journal","abstract":"The transition towards climate-neutral industry is a challenge, particularly for heavy industries like steel and basic chemicals. Existing models for assessing industrial transformation often lack spatial resolution and fail to capture individual investment decisions. Consequently, the spatial interplay between industry transformation, energy availability, infrastructure availability, and the dynamics of discrete investments is inadequately addressed. Here we present a site-specific approach that considers individual industrial sites to simulate discrete investment decisions. The investment decision is modelled as a discrete choice among alternative technologies with their total cost of ownership as the main decision criterion. Process costs depend on the scenario-specific assumptions, such as energy carrier prices, policy instruments and local infrastructures. The age of production units and their reinvestment cycles are considered the main restrictions on the dynamics of the transition. The results provide high spatial resolution to capture the spatial and temporal dynamics of industry transition under varying process and policy assumptions. The presented model and its results can be coupled with energy system models to assess the implications of site-specific industry transition on energy system related research questions. We conduct an exemplary case study for a transformation pathway of the European primary steel production.","citation-key":"neuwirthModellingTransformationEnergyintensive2024","container-title":"Scientific Reports","DOI":"10.1038/s41598-024-78881-7","ISSN":"2045-2322","issue":"1","journalAbbreviation":"Sci Rep","language":"en","license":"2024 The Author(s)","page":"30552","publisher":"Nature Publishing Group","source":"www.nature.com","title":"Modelling the transformation of energy-intensive industries based on site-specific investment decisions","volume":"14","author":[{"family":"Neuwirth","given":"Marius"},{"family":"Fleiter","given":"Tobias"},{"family":"Hofmann","given":"René"}],"issued":{"date-parts":[["2024",12,18]]}}}],"schema":"https://github.com/citation-style-language/schema/raw/master/csl-citation.json"} </w:instrText>
      </w:r>
      <w:r w:rsidR="00580A29">
        <w:rPr>
          <w:color w:val="000000" w:themeColor="text1"/>
          <w:sz w:val="20"/>
          <w:szCs w:val="20"/>
        </w:rPr>
        <w:fldChar w:fldCharType="separate"/>
      </w:r>
      <w:r w:rsidR="00673234">
        <w:rPr>
          <w:noProof/>
          <w:color w:val="000000" w:themeColor="text1"/>
          <w:sz w:val="20"/>
          <w:szCs w:val="20"/>
        </w:rPr>
        <w:t>[14]</w:t>
      </w:r>
      <w:r w:rsidR="00580A29">
        <w:rPr>
          <w:color w:val="000000" w:themeColor="text1"/>
          <w:sz w:val="20"/>
          <w:szCs w:val="20"/>
        </w:rPr>
        <w:fldChar w:fldCharType="end"/>
      </w:r>
      <w:r w:rsidR="005100C2">
        <w:rPr>
          <w:color w:val="000000" w:themeColor="text1"/>
          <w:sz w:val="20"/>
          <w:szCs w:val="20"/>
        </w:rPr>
        <w:t xml:space="preserve"> by using site</w:t>
      </w:r>
      <w:r w:rsidR="000E3FF8">
        <w:rPr>
          <w:color w:val="000000" w:themeColor="text1"/>
          <w:sz w:val="20"/>
          <w:szCs w:val="20"/>
        </w:rPr>
        <w:t>-</w:t>
      </w:r>
      <w:r w:rsidR="005100C2">
        <w:rPr>
          <w:color w:val="000000" w:themeColor="text1"/>
          <w:sz w:val="20"/>
          <w:szCs w:val="20"/>
        </w:rPr>
        <w:t>specific solar capacity factors, land availability</w:t>
      </w:r>
      <w:r w:rsidR="00C06F77">
        <w:rPr>
          <w:color w:val="000000" w:themeColor="text1"/>
          <w:sz w:val="20"/>
          <w:szCs w:val="20"/>
        </w:rPr>
        <w:t>,</w:t>
      </w:r>
      <w:r w:rsidR="005100C2">
        <w:rPr>
          <w:color w:val="000000" w:themeColor="text1"/>
          <w:sz w:val="20"/>
          <w:szCs w:val="20"/>
        </w:rPr>
        <w:t xml:space="preserve"> and </w:t>
      </w:r>
      <w:r w:rsidR="002E7D44">
        <w:rPr>
          <w:color w:val="000000" w:themeColor="text1"/>
          <w:sz w:val="20"/>
          <w:szCs w:val="20"/>
        </w:rPr>
        <w:t xml:space="preserve">country adjusted </w:t>
      </w:r>
      <w:r w:rsidR="005100C2">
        <w:rPr>
          <w:color w:val="000000" w:themeColor="text1"/>
          <w:sz w:val="20"/>
          <w:szCs w:val="20"/>
        </w:rPr>
        <w:t>cost of infrastructure</w:t>
      </w:r>
      <w:r w:rsidR="002E7D44">
        <w:rPr>
          <w:color w:val="000000" w:themeColor="text1"/>
          <w:sz w:val="20"/>
          <w:szCs w:val="20"/>
        </w:rPr>
        <w:t xml:space="preserve">. </w:t>
      </w:r>
      <w:r w:rsidR="002D254B">
        <w:rPr>
          <w:color w:val="000000" w:themeColor="text1"/>
          <w:sz w:val="20"/>
          <w:szCs w:val="20"/>
        </w:rPr>
        <w:t>With facility</w:t>
      </w:r>
      <w:r w:rsidR="00F042CD">
        <w:rPr>
          <w:color w:val="000000" w:themeColor="text1"/>
          <w:sz w:val="20"/>
          <w:szCs w:val="20"/>
        </w:rPr>
        <w:t>-</w:t>
      </w:r>
      <w:r w:rsidR="002D254B">
        <w:rPr>
          <w:color w:val="000000" w:themeColor="text1"/>
          <w:sz w:val="20"/>
          <w:szCs w:val="20"/>
        </w:rPr>
        <w:t xml:space="preserve">level resolution, this study </w:t>
      </w:r>
      <w:r w:rsidR="000A621A">
        <w:rPr>
          <w:color w:val="000000" w:themeColor="text1"/>
          <w:sz w:val="20"/>
          <w:szCs w:val="20"/>
        </w:rPr>
        <w:t>identifies</w:t>
      </w:r>
      <w:r w:rsidR="002D254B">
        <w:rPr>
          <w:color w:val="000000" w:themeColor="text1"/>
          <w:sz w:val="20"/>
          <w:szCs w:val="20"/>
        </w:rPr>
        <w:t xml:space="preserve"> specific regions </w:t>
      </w:r>
      <w:r w:rsidR="004679DD">
        <w:rPr>
          <w:color w:val="000000" w:themeColor="text1"/>
          <w:sz w:val="20"/>
          <w:szCs w:val="20"/>
        </w:rPr>
        <w:t xml:space="preserve">best for heat electrification </w:t>
      </w:r>
      <w:r w:rsidR="00111578">
        <w:rPr>
          <w:color w:val="000000" w:themeColor="text1"/>
          <w:sz w:val="20"/>
          <w:szCs w:val="20"/>
        </w:rPr>
        <w:t>and quantifies the</w:t>
      </w:r>
      <w:r w:rsidR="002D254B">
        <w:rPr>
          <w:color w:val="000000" w:themeColor="text1"/>
          <w:sz w:val="20"/>
          <w:szCs w:val="20"/>
        </w:rPr>
        <w:t xml:space="preserve"> potential to decarbonize with the solar plus storage solution. </w:t>
      </w:r>
    </w:p>
    <w:p w14:paraId="4B02149C" w14:textId="77777777" w:rsidR="00FF39E7" w:rsidRPr="00DB7279" w:rsidRDefault="00FF39E7" w:rsidP="00FF39E7">
      <w:pPr>
        <w:pStyle w:val="PaperHeading"/>
        <w:rPr>
          <w:color w:val="000000" w:themeColor="text1"/>
        </w:rPr>
      </w:pPr>
      <w:r>
        <w:rPr>
          <w:color w:val="000000" w:themeColor="text1"/>
        </w:rPr>
        <w:t>2.</w:t>
      </w:r>
      <w:r>
        <w:rPr>
          <w:color w:val="000000" w:themeColor="text1"/>
        </w:rPr>
        <w:tab/>
        <w:t>Methodology</w:t>
      </w:r>
    </w:p>
    <w:p w14:paraId="29DD9033" w14:textId="6CD24A89" w:rsidR="00085EA3" w:rsidRDefault="00180608" w:rsidP="00085EA3">
      <w:pPr>
        <w:pStyle w:val="PaperParagraphs"/>
        <w:rPr>
          <w:color w:val="000000" w:themeColor="text1"/>
        </w:rPr>
      </w:pPr>
      <w:r>
        <w:rPr>
          <w:color w:val="000000" w:themeColor="text1"/>
        </w:rPr>
        <w:t>We generated a facility-level data</w:t>
      </w:r>
      <w:r w:rsidR="00A57D6C">
        <w:rPr>
          <w:color w:val="000000" w:themeColor="text1"/>
        </w:rPr>
        <w:t>set</w:t>
      </w:r>
      <w:r>
        <w:rPr>
          <w:color w:val="000000" w:themeColor="text1"/>
        </w:rPr>
        <w:t xml:space="preserve"> from Climate TRACE in the EU. Climate TRACE provides latitude and longitude, annual production and emissions of each facility. Combining </w:t>
      </w:r>
      <w:r>
        <w:rPr>
          <w:color w:val="000000" w:themeColor="text1"/>
        </w:rPr>
        <w:lastRenderedPageBreak/>
        <w:t xml:space="preserve">with solar radiation and land availability in a 5km and a 15km radius around each facility, the optimization program calculates the levelized cost of heat (LCOH) at each site. </w:t>
      </w:r>
      <w:r>
        <w:t xml:space="preserve">The LCOH is calculated using a mixed-integer optimization framework adapted from </w:t>
      </w:r>
      <w:r>
        <w:rPr>
          <w:color w:val="000000" w:themeColor="text1"/>
        </w:rPr>
        <w:fldChar w:fldCharType="begin"/>
      </w:r>
      <w:r w:rsidR="00673234">
        <w:rPr>
          <w:color w:val="000000" w:themeColor="text1"/>
        </w:rPr>
        <w:instrText xml:space="preserve"> ADDIN ZOTERO_ITEM CSL_CITATION {"citationID":"KvV8Ygfw","properties":{"unsorted":false,"formattedCitation":"[10]","plainCitation":"[10]","noteIndex":0},"citationItems":[{"id":363,"uris":["http://zotero.org/users/20280584/items/53DSS7K6"],"itemData":{"id":363,"type":"article-journal","abstract":"Data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author":[{"family":"Chojkiewicz","given":"Emilia"},{"family":"Manocha","given":"Aneesha"},{"family":"Paliwal","given":"Umed"},{"family":"Callaway","given":"Duncan"},{"family":"Phadke","given":"Amol"}]}}],"schema":"https://github.com/citation-style-language/schema/raw/master/csl-citation.json"} </w:instrText>
      </w:r>
      <w:r>
        <w:rPr>
          <w:color w:val="000000" w:themeColor="text1"/>
        </w:rPr>
        <w:fldChar w:fldCharType="separate"/>
      </w:r>
      <w:r w:rsidR="00673234">
        <w:rPr>
          <w:noProof/>
          <w:color w:val="000000" w:themeColor="text1"/>
        </w:rPr>
        <w:t>[10]</w:t>
      </w:r>
      <w:r>
        <w:rPr>
          <w:color w:val="000000" w:themeColor="text1"/>
        </w:rPr>
        <w:fldChar w:fldCharType="end"/>
      </w:r>
      <w:r>
        <w:rPr>
          <w:color w:val="000000" w:themeColor="text1"/>
        </w:rPr>
        <w:t>,</w:t>
      </w:r>
      <w:r>
        <w:t xml:space="preserve"> which was originally developed to size surplus interconnection capacity for renewable projects</w:t>
      </w:r>
      <w:r>
        <w:rPr>
          <w:color w:val="000000" w:themeColor="text1"/>
        </w:rPr>
        <w:t xml:space="preserve">. The gas-capped, optimized LCOH at the highest availability is chosen for each site and aggregated to get the total process heat that can be decarbonized using this system and configuration, as illustrated in Figure 1. </w:t>
      </w:r>
    </w:p>
    <w:p w14:paraId="33F1B1BF" w14:textId="77777777" w:rsidR="00D56A11" w:rsidRDefault="00D56A11" w:rsidP="00085EA3">
      <w:pPr>
        <w:pStyle w:val="PaperParagraphs"/>
        <w:rPr>
          <w:color w:val="000000" w:themeColor="text1"/>
        </w:rPr>
      </w:pPr>
      <w:r>
        <w:rPr>
          <w:noProof/>
          <w:color w:val="000000" w:themeColor="text1"/>
        </w:rPr>
        <w:drawing>
          <wp:inline distT="0" distB="0" distL="0" distR="0" wp14:anchorId="6C646D42" wp14:editId="031C3D82">
            <wp:extent cx="3149600" cy="1310005"/>
            <wp:effectExtent l="0" t="0" r="0" b="0"/>
            <wp:docPr id="18117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7975" name=""/>
                    <pic:cNvPicPr/>
                  </pic:nvPicPr>
                  <pic:blipFill>
                    <a:blip r:embed="rId10"/>
                    <a:stretch>
                      <a:fillRect/>
                    </a:stretch>
                  </pic:blipFill>
                  <pic:spPr>
                    <a:xfrm>
                      <a:off x="0" y="0"/>
                      <a:ext cx="3149600" cy="1310005"/>
                    </a:xfrm>
                    <a:prstGeom prst="rect">
                      <a:avLst/>
                    </a:prstGeom>
                  </pic:spPr>
                </pic:pic>
              </a:graphicData>
            </a:graphic>
          </wp:inline>
        </w:drawing>
      </w:r>
    </w:p>
    <w:p w14:paraId="5A3CAF39" w14:textId="77777777" w:rsidR="00370CC9" w:rsidRDefault="00000000">
      <w:pPr>
        <w:rPr>
          <w:sz w:val="20"/>
          <w:szCs w:val="20"/>
        </w:rPr>
      </w:pPr>
      <w:r>
        <w:rPr>
          <w:sz w:val="20"/>
          <w:szCs w:val="20"/>
        </w:rPr>
        <w:t>Fig. 1 Modelled system configuration: co-located, off-grid solar PV paired with a heat pump/heat battery and battery storage supplying process heat to the facility</w:t>
      </w:r>
    </w:p>
    <w:p w14:paraId="52260622" w14:textId="77777777" w:rsidR="00623044" w:rsidRDefault="00623044">
      <w:pPr>
        <w:rPr>
          <w:sz w:val="20"/>
          <w:szCs w:val="20"/>
        </w:rPr>
      </w:pPr>
    </w:p>
    <w:p w14:paraId="651AF871" w14:textId="77777777" w:rsidR="001021FE" w:rsidRPr="001021FE" w:rsidRDefault="000E3837" w:rsidP="001021FE">
      <w:pPr>
        <w:rPr>
          <w:i/>
          <w:color w:val="000000" w:themeColor="text1"/>
          <w:sz w:val="20"/>
          <w:szCs w:val="20"/>
        </w:rPr>
      </w:pPr>
      <w:r>
        <w:rPr>
          <w:i/>
          <w:color w:val="000000" w:themeColor="text1"/>
          <w:sz w:val="20"/>
          <w:szCs w:val="20"/>
        </w:rPr>
        <w:t>2.1 Facility-level Process Heat Estimate</w:t>
      </w:r>
    </w:p>
    <w:p w14:paraId="56BA05FA" w14:textId="5F7B9511" w:rsidR="008C0D69" w:rsidRDefault="005C5692" w:rsidP="001021FE">
      <w:pPr>
        <w:rPr>
          <w:color w:val="000000" w:themeColor="text1"/>
          <w:sz w:val="20"/>
          <w:szCs w:val="20"/>
        </w:rPr>
      </w:pPr>
      <w:r>
        <w:rPr>
          <w:color w:val="000000" w:themeColor="text1"/>
          <w:sz w:val="20"/>
          <w:szCs w:val="20"/>
        </w:rPr>
        <w:t>The replaceable process heat for each facility is the heat generated by fossil fuel that is used in the process of manufacturing a product (steel, food, textile, etc.). Depending on data availability, total annual production or total annual pollution is used to calculate the process heat</w:t>
      </w:r>
      <w:r w:rsidR="004C2C76">
        <w:rPr>
          <w:color w:val="000000" w:themeColor="text1"/>
          <w:sz w:val="20"/>
          <w:szCs w:val="20"/>
        </w:rPr>
        <w:t xml:space="preserve"> per sector and country</w:t>
      </w:r>
      <w:r>
        <w:rPr>
          <w:color w:val="000000" w:themeColor="text1"/>
          <w:sz w:val="20"/>
          <w:szCs w:val="20"/>
        </w:rPr>
        <w:t xml:space="preserve">. With total annual production, we apply a specific energy consumption (SEC) factor by sector </w:t>
      </w:r>
      <w:r>
        <w:rPr>
          <w:color w:val="000000" w:themeColor="text1"/>
          <w:sz w:val="20"/>
          <w:szCs w:val="20"/>
        </w:rPr>
        <w:fldChar w:fldCharType="begin"/>
      </w:r>
      <w:r w:rsidR="00673234">
        <w:rPr>
          <w:color w:val="000000" w:themeColor="text1"/>
          <w:sz w:val="20"/>
          <w:szCs w:val="20"/>
        </w:rPr>
        <w:instrText xml:space="preserve"> ADDIN ZOTERO_ITEM CSL_CITATION {"citationID":"Xp36q6Uy","properties":{"unsorted":false,"formattedCitation":"[15]","plainCitation":"[15]","noteIndex":0},"citationItems":[{"id":352,"uris":["http://zotero.org/users/20280584/items/CHB3AU7Z"],"itemData":{"id":352,"type":"report","citation-key":"pezzutto2018hotmaps","publisher":"EURAC, e-think, TUW, Fraunhofer ISI","title":"Hotmaps project, D2.3 WP2 report – open data set for the EU28","URL":"https://www.hotmaps-project.eu/wp-content/uploads/2018/03/D2.3-Hotmaps_for-upload_revised-final_.pdf","author":[{"family":"Pezzutto","given":"Simon"},{"family":"Zambotti","given":"Stefano"},{"family":"Croce","given":"Silvia"},{"family":"Zambelli","given":"Pietro"},{"family":"Garegnani","given":"Giulia"},{"family":"Scaramuzzino","given":"Chiara"},{"family":"Pascuas","given":"Ramón Pascual"},{"family":"Zubaryeva","given":"Alyona"},{"family":"Haas","given":"Franziska"},{"family":"Exner","given":"Dagmar"},{"family":"Müller","given":"Andreas"},{"family":"Hartner","given":"Michael"},{"family":"Fleiter","given":"Tobias"},{"family":"Klingler","given":"Anna-Lena"},{"family":"Kühnbach","given":"Matthias"},{"family":"Manz","given":"Pia"},{"family":"Marwitz","given":"Simon"},{"family":"Rehfeldt","given":"Matthias"},{"family":"Steinbach","given":"Jan"},{"family":"Popovski","given":"Eftim"}],"issued":{"date-parts":[["2018"]]}}}],"schema":"https://github.com/citation-style-language/schema/raw/master/csl-citation.json"} </w:instrText>
      </w:r>
      <w:r>
        <w:rPr>
          <w:color w:val="000000" w:themeColor="text1"/>
          <w:sz w:val="20"/>
          <w:szCs w:val="20"/>
        </w:rPr>
        <w:fldChar w:fldCharType="separate"/>
      </w:r>
      <w:r w:rsidR="00673234">
        <w:rPr>
          <w:noProof/>
          <w:color w:val="000000" w:themeColor="text1"/>
          <w:sz w:val="20"/>
          <w:szCs w:val="20"/>
        </w:rPr>
        <w:t>[15]</w:t>
      </w:r>
      <w:r>
        <w:rPr>
          <w:color w:val="000000" w:themeColor="text1"/>
          <w:sz w:val="20"/>
          <w:szCs w:val="20"/>
        </w:rPr>
        <w:fldChar w:fldCharType="end"/>
      </w:r>
      <w:r>
        <w:rPr>
          <w:color w:val="000000" w:themeColor="text1"/>
          <w:sz w:val="20"/>
          <w:szCs w:val="20"/>
        </w:rPr>
        <w:t xml:space="preserve"> that defines the energy intensity per ton of good. With emissions total </w:t>
      </w:r>
      <w:r>
        <w:rPr>
          <w:color w:val="000000" w:themeColor="text1"/>
          <w:sz w:val="20"/>
          <w:szCs w:val="20"/>
        </w:rPr>
        <w:fldChar w:fldCharType="begin"/>
      </w:r>
      <w:r w:rsidR="00673234">
        <w:rPr>
          <w:color w:val="000000" w:themeColor="text1"/>
          <w:sz w:val="20"/>
          <w:szCs w:val="20"/>
        </w:rPr>
        <w:instrText xml:space="preserve"> ADDIN ZOTERO_ITEM CSL_CITATION {"citationID":"hYKb2v51","properties":{"unsorted":false,"formattedCitation":"[16]","plainCitation":"[16]","noteIndex":0},"citationItems":[{"id":361,"uris":["http://zotero.org/users/20280584/items/84WYJMMG"],"itemData":{"id":361,"type":"webpage","citation-key":"MicrosoftWordV2_Ch2_Stationary_Combustion_Finaldoc","title":"STATIONARY COMBUSTION","URL":"https://www.ipcc-nggip.iges.or.jp/public/2006gl/pdf/2_Volume2/V2_2_Ch2_Stationary_Combustion.pdf","author":[{"literal":"Gomez, Dario"},{"literal":"Watterson, John D."}],"accessed":{"date-parts":[["2026",7,31]]},"issued":{"date-parts":[["2006"]]}}}],"schema":"https://github.com/citation-style-language/schema/raw/master/csl-citation.json"} </w:instrText>
      </w:r>
      <w:r>
        <w:rPr>
          <w:color w:val="000000" w:themeColor="text1"/>
          <w:sz w:val="20"/>
          <w:szCs w:val="20"/>
        </w:rPr>
        <w:fldChar w:fldCharType="separate"/>
      </w:r>
      <w:r w:rsidR="00673234">
        <w:rPr>
          <w:noProof/>
          <w:color w:val="000000" w:themeColor="text1"/>
          <w:sz w:val="20"/>
          <w:szCs w:val="20"/>
        </w:rPr>
        <w:t>[16]</w:t>
      </w:r>
      <w:r>
        <w:rPr>
          <w:color w:val="000000" w:themeColor="text1"/>
          <w:sz w:val="20"/>
          <w:szCs w:val="20"/>
        </w:rPr>
        <w:fldChar w:fldCharType="end"/>
      </w:r>
      <w:r>
        <w:rPr>
          <w:color w:val="000000" w:themeColor="text1"/>
          <w:sz w:val="20"/>
          <w:szCs w:val="20"/>
        </w:rPr>
        <w:t xml:space="preserve">, we applied an emissions factor, assuming an EU averaged gas/oil share of 90%/10% </w:t>
      </w:r>
      <w:r>
        <w:rPr>
          <w:color w:val="000000" w:themeColor="text1"/>
          <w:sz w:val="20"/>
          <w:szCs w:val="20"/>
        </w:rPr>
        <w:fldChar w:fldCharType="begin"/>
      </w:r>
      <w:r w:rsidR="00673234">
        <w:rPr>
          <w:color w:val="000000" w:themeColor="text1"/>
          <w:sz w:val="20"/>
          <w:szCs w:val="20"/>
        </w:rPr>
        <w:instrText xml:space="preserve"> ADDIN ZOTERO_ITEM CSL_CITATION {"citationID":"dFKZKhqq","properties":{"unsorted":false,"formattedCitation":"[17]","plainCitation":"[17]","noteIndex":0},"citationItems":[{"id":359,"uris":["http://zotero.org/users/20280584/items/FWSYLK8S"],"itemData":{"id":359,"type":"dataset","citation-key":"zotero-item-359","title":"Disaggregated final energy consumption in industry by NACE Rev. 2 activity - quantities (nrg_d_indq)","URL":"https://europa.eu","author":[{"literal":"Eurostat"}],"issued":{"date-parts":[["2024"]]}}}],"schema":"https://github.com/citation-style-language/schema/raw/master/csl-citation.json"} </w:instrText>
      </w:r>
      <w:r>
        <w:rPr>
          <w:color w:val="000000" w:themeColor="text1"/>
          <w:sz w:val="20"/>
          <w:szCs w:val="20"/>
        </w:rPr>
        <w:fldChar w:fldCharType="separate"/>
      </w:r>
      <w:r w:rsidR="00673234">
        <w:rPr>
          <w:noProof/>
          <w:color w:val="000000" w:themeColor="text1"/>
          <w:sz w:val="20"/>
          <w:szCs w:val="20"/>
        </w:rPr>
        <w:t>[17]</w:t>
      </w:r>
      <w:r>
        <w:rPr>
          <w:color w:val="000000" w:themeColor="text1"/>
          <w:sz w:val="20"/>
          <w:szCs w:val="20"/>
        </w:rPr>
        <w:fldChar w:fldCharType="end"/>
      </w:r>
      <w:r>
        <w:rPr>
          <w:color w:val="000000" w:themeColor="text1"/>
          <w:sz w:val="20"/>
          <w:szCs w:val="20"/>
        </w:rPr>
        <w:t xml:space="preserve">, to get the total process heat demand. With the total process heat estimate from both SEC and emissions factor, we calculated the replaceable process heat by applying a fossils fuel share </w:t>
      </w:r>
      <w:r>
        <w:rPr>
          <w:color w:val="000000" w:themeColor="text1"/>
          <w:sz w:val="20"/>
          <w:szCs w:val="20"/>
        </w:rPr>
        <w:fldChar w:fldCharType="begin"/>
      </w:r>
      <w:r w:rsidR="00673234">
        <w:rPr>
          <w:color w:val="000000" w:themeColor="text1"/>
          <w:sz w:val="20"/>
          <w:szCs w:val="20"/>
        </w:rPr>
        <w:instrText xml:space="preserve"> ADDIN ZOTERO_ITEM CSL_CITATION {"citationID":"Ta1vk0dw","properties":{"unsorted":false,"formattedCitation":"[18]","plainCitation":"[18]","noteIndex":0},"citationItems":[{"id":309,"uris":["http://zotero.org/users/20280584/items/7FNE34JG"],"itemData":{"id":309,"type":"webpage","citation-key":"Nrg_d_indq_nDisaggregatedFinal","title":"[nrg_d_indq_n] Disaggregated final energy consumption in industry by NACE Rev. 2 activity - quantities","URL":"https://ec.europa.eu/eurostat/databrowser/view/nrg_d_indq_n/default/table?lang=en","accessed":{"date-parts":[["2026",7,16]]}}}],"schema":"https://github.com/citation-style-language/schema/raw/master/csl-citation.json"} </w:instrText>
      </w:r>
      <w:r>
        <w:rPr>
          <w:color w:val="000000" w:themeColor="text1"/>
          <w:sz w:val="20"/>
          <w:szCs w:val="20"/>
        </w:rPr>
        <w:fldChar w:fldCharType="separate"/>
      </w:r>
      <w:r w:rsidR="00673234">
        <w:rPr>
          <w:noProof/>
          <w:color w:val="000000" w:themeColor="text1"/>
          <w:sz w:val="20"/>
          <w:szCs w:val="20"/>
        </w:rPr>
        <w:t>[18]</w:t>
      </w:r>
      <w:r>
        <w:rPr>
          <w:color w:val="000000" w:themeColor="text1"/>
          <w:sz w:val="20"/>
          <w:szCs w:val="20"/>
        </w:rPr>
        <w:fldChar w:fldCharType="end"/>
      </w:r>
      <w:r>
        <w:rPr>
          <w:color w:val="000000" w:themeColor="text1"/>
          <w:sz w:val="20"/>
          <w:szCs w:val="20"/>
        </w:rPr>
        <w:t xml:space="preserve"> to get the useful heat. </w:t>
      </w:r>
    </w:p>
    <w:p w14:paraId="4ED1552E" w14:textId="77777777" w:rsidR="00AF53A9" w:rsidRDefault="00AF53A9" w:rsidP="001021FE">
      <w:pPr>
        <w:rPr>
          <w:color w:val="000000" w:themeColor="text1"/>
          <w:sz w:val="20"/>
          <w:szCs w:val="20"/>
        </w:rPr>
      </w:pPr>
    </w:p>
    <w:p w14:paraId="39843C7C" w14:textId="77777777" w:rsidR="00BD7BC3" w:rsidRDefault="00E764E3" w:rsidP="001021FE">
      <w:pPr>
        <w:rPr>
          <w:color w:val="000000" w:themeColor="text1"/>
          <w:sz w:val="20"/>
          <w:szCs w:val="20"/>
        </w:rPr>
      </w:pPr>
      <w:r>
        <w:rPr>
          <w:color w:val="000000" w:themeColor="text1"/>
          <w:sz w:val="20"/>
          <w:szCs w:val="20"/>
        </w:rPr>
        <w:t>The formulas for these two processes are shown in Table 1:</w:t>
      </w:r>
    </w:p>
    <w:p w14:paraId="211133C5" w14:textId="77777777" w:rsidR="00370CC9" w:rsidRDefault="00000000">
      <w:pPr>
        <w:rPr>
          <w:sz w:val="20"/>
          <w:szCs w:val="20"/>
        </w:rPr>
      </w:pPr>
      <w:r>
        <w:rPr>
          <w:sz w:val="20"/>
          <w:szCs w:val="20"/>
        </w:rPr>
        <w:t>Table 1 Facility-level process heat and replaceable-heat estimation formulas by calculation route</w:t>
      </w:r>
    </w:p>
    <w:tbl>
      <w:tblPr>
        <w:tblW w:w="4945" w:type="dxa"/>
        <w:tblBorders>
          <w:top w:val="single" w:sz="8" w:space="0" w:color="auto"/>
          <w:bottom w:val="single" w:sz="8" w:space="0" w:color="auto"/>
        </w:tblBorders>
        <w:tblCellMar>
          <w:left w:w="10" w:type="dxa"/>
          <w:right w:w="10" w:type="dxa"/>
        </w:tblCellMar>
        <w:tblLook w:val="04A0" w:firstRow="1" w:lastRow="0" w:firstColumn="1" w:lastColumn="0" w:noHBand="0" w:noVBand="1"/>
      </w:tblPr>
      <w:tblGrid>
        <w:gridCol w:w="1189"/>
        <w:gridCol w:w="3756"/>
      </w:tblGrid>
      <w:tr w:rsidR="00375D3E" w14:paraId="654BF6C5" w14:textId="77777777" w:rsidTr="00375D3E">
        <w:trPr>
          <w:trHeight w:val="225"/>
          <w:tblHeader/>
        </w:trPr>
        <w:tc>
          <w:tcPr>
            <w:tcW w:w="1189" w:type="dxa"/>
            <w:tcBorders>
              <w:bottom w:val="single" w:sz="8" w:space="0" w:color="auto"/>
            </w:tcBorders>
            <w:tcMar>
              <w:top w:w="80" w:type="dxa"/>
              <w:left w:w="100" w:type="dxa"/>
              <w:bottom w:w="80" w:type="dxa"/>
              <w:right w:w="100" w:type="dxa"/>
            </w:tcMar>
            <w:vAlign w:val="center"/>
          </w:tcPr>
          <w:p w14:paraId="2BFBD46D" w14:textId="77777777" w:rsidR="00375D3E" w:rsidRDefault="00375D3E" w:rsidP="00375D3E">
            <w:r>
              <w:rPr>
                <w:b/>
                <w:bCs/>
                <w:sz w:val="20"/>
                <w:szCs w:val="20"/>
              </w:rPr>
              <w:t>Calculation route</w:t>
            </w:r>
          </w:p>
        </w:tc>
        <w:tc>
          <w:tcPr>
            <w:tcW w:w="3756" w:type="dxa"/>
            <w:tcBorders>
              <w:bottom w:val="single" w:sz="8" w:space="0" w:color="auto"/>
            </w:tcBorders>
            <w:tcMar>
              <w:top w:w="80" w:type="dxa"/>
              <w:left w:w="100" w:type="dxa"/>
              <w:bottom w:w="80" w:type="dxa"/>
              <w:right w:w="100" w:type="dxa"/>
            </w:tcMar>
            <w:vAlign w:val="center"/>
          </w:tcPr>
          <w:p w14:paraId="7711147D" w14:textId="77777777" w:rsidR="00375D3E" w:rsidRDefault="00375D3E" w:rsidP="00375D3E">
            <w:r>
              <w:rPr>
                <w:b/>
                <w:bCs/>
                <w:sz w:val="20"/>
                <w:szCs w:val="20"/>
              </w:rPr>
              <w:t>Formulas</w:t>
            </w:r>
          </w:p>
        </w:tc>
      </w:tr>
      <w:tr w:rsidR="00375D3E" w14:paraId="5681339C" w14:textId="77777777" w:rsidTr="00375D3E">
        <w:trPr>
          <w:trHeight w:val="545"/>
        </w:trPr>
        <w:tc>
          <w:tcPr>
            <w:tcW w:w="1189" w:type="dxa"/>
            <w:tcMar>
              <w:top w:w="80" w:type="dxa"/>
              <w:left w:w="100" w:type="dxa"/>
              <w:bottom w:w="80" w:type="dxa"/>
              <w:right w:w="100" w:type="dxa"/>
            </w:tcMar>
          </w:tcPr>
          <w:p w14:paraId="2E46CB0B" w14:textId="77777777" w:rsidR="00375D3E" w:rsidRDefault="00375D3E" w:rsidP="00375D3E">
            <w:pPr>
              <w:spacing w:after="60"/>
            </w:pPr>
            <w:r>
              <w:rPr>
                <w:sz w:val="20"/>
                <w:szCs w:val="20"/>
              </w:rPr>
              <w:t>SEC route</w:t>
            </w:r>
          </w:p>
        </w:tc>
        <w:tc>
          <w:tcPr>
            <w:tcW w:w="3756" w:type="dxa"/>
            <w:tcMar>
              <w:top w:w="80" w:type="dxa"/>
              <w:left w:w="100" w:type="dxa"/>
              <w:bottom w:w="80" w:type="dxa"/>
              <w:right w:w="100" w:type="dxa"/>
            </w:tcMar>
          </w:tcPr>
          <w:p w14:paraId="6CE838EA" w14:textId="77777777" w:rsidR="00375D3E" w:rsidRDefault="00375D3E" w:rsidP="00375D3E">
            <w:pPr>
              <w:spacing w:after="40"/>
            </w:pPr>
            <w:r>
              <w:rPr>
                <w:sz w:val="20"/>
                <w:szCs w:val="20"/>
              </w:rPr>
              <w:t>fuel_energy = production × SEC</w:t>
            </w:r>
          </w:p>
          <w:p w14:paraId="23DC53A2" w14:textId="77777777" w:rsidR="00375D3E" w:rsidRDefault="00375D3E" w:rsidP="00375D3E">
            <w:pPr>
              <w:spacing w:after="60"/>
            </w:pPr>
            <w:r>
              <w:rPr>
                <w:sz w:val="20"/>
                <w:szCs w:val="20"/>
              </w:rPr>
              <w:t>useful_heat = fuel_energy × η_process</w:t>
            </w:r>
          </w:p>
        </w:tc>
      </w:tr>
      <w:tr w:rsidR="00375D3E" w14:paraId="39F69650" w14:textId="77777777" w:rsidTr="00375D3E">
        <w:trPr>
          <w:trHeight w:val="557"/>
        </w:trPr>
        <w:tc>
          <w:tcPr>
            <w:tcW w:w="1189" w:type="dxa"/>
            <w:tcMar>
              <w:top w:w="80" w:type="dxa"/>
              <w:left w:w="100" w:type="dxa"/>
              <w:bottom w:w="80" w:type="dxa"/>
              <w:right w:w="100" w:type="dxa"/>
            </w:tcMar>
          </w:tcPr>
          <w:p w14:paraId="35A5C5A2" w14:textId="77777777" w:rsidR="00375D3E" w:rsidRDefault="00375D3E" w:rsidP="00375D3E">
            <w:pPr>
              <w:spacing w:after="60"/>
            </w:pPr>
            <w:r>
              <w:rPr>
                <w:sz w:val="20"/>
                <w:szCs w:val="20"/>
              </w:rPr>
              <w:t>Emissions route</w:t>
            </w:r>
          </w:p>
        </w:tc>
        <w:tc>
          <w:tcPr>
            <w:tcW w:w="3756" w:type="dxa"/>
            <w:tcMar>
              <w:top w:w="80" w:type="dxa"/>
              <w:left w:w="100" w:type="dxa"/>
              <w:bottom w:w="80" w:type="dxa"/>
              <w:right w:w="100" w:type="dxa"/>
            </w:tcMar>
          </w:tcPr>
          <w:p w14:paraId="339BA926" w14:textId="77777777" w:rsidR="00375D3E" w:rsidRDefault="00375D3E" w:rsidP="00375D3E">
            <w:pPr>
              <w:spacing w:after="40"/>
            </w:pPr>
            <w:r>
              <w:rPr>
                <w:sz w:val="20"/>
                <w:szCs w:val="20"/>
              </w:rPr>
              <w:t>fuel_energy = (CO₂e × combustion_share) / emissions_factor</w:t>
            </w:r>
          </w:p>
          <w:p w14:paraId="75B4F3B6" w14:textId="77777777" w:rsidR="00375D3E" w:rsidRDefault="00375D3E" w:rsidP="00375D3E">
            <w:pPr>
              <w:spacing w:after="60"/>
            </w:pPr>
            <w:r>
              <w:rPr>
                <w:sz w:val="20"/>
                <w:szCs w:val="20"/>
              </w:rPr>
              <w:t>useful_heat = fuel_energy × η_boiler</w:t>
            </w:r>
          </w:p>
        </w:tc>
      </w:tr>
      <w:tr w:rsidR="00375D3E" w14:paraId="6308106C" w14:textId="77777777" w:rsidTr="00375D3E">
        <w:trPr>
          <w:trHeight w:val="296"/>
        </w:trPr>
        <w:tc>
          <w:tcPr>
            <w:tcW w:w="1189" w:type="dxa"/>
            <w:tcMar>
              <w:top w:w="80" w:type="dxa"/>
              <w:left w:w="100" w:type="dxa"/>
              <w:bottom w:w="80" w:type="dxa"/>
              <w:right w:w="100" w:type="dxa"/>
            </w:tcMar>
          </w:tcPr>
          <w:p w14:paraId="43F14504" w14:textId="77777777" w:rsidR="00375D3E" w:rsidRDefault="00375D3E" w:rsidP="00375D3E">
            <w:pPr>
              <w:spacing w:after="60"/>
            </w:pPr>
            <w:r>
              <w:rPr>
                <w:sz w:val="20"/>
                <w:szCs w:val="20"/>
              </w:rPr>
              <w:t>Replaceable heat</w:t>
            </w:r>
          </w:p>
        </w:tc>
        <w:tc>
          <w:tcPr>
            <w:tcW w:w="3756" w:type="dxa"/>
            <w:tcMar>
              <w:top w:w="80" w:type="dxa"/>
              <w:left w:w="100" w:type="dxa"/>
              <w:bottom w:w="80" w:type="dxa"/>
              <w:right w:w="100" w:type="dxa"/>
            </w:tcMar>
          </w:tcPr>
          <w:p w14:paraId="19F18F02" w14:textId="77777777" w:rsidR="00375D3E" w:rsidRDefault="00375D3E" w:rsidP="00375D3E">
            <w:pPr>
              <w:spacing w:after="60"/>
            </w:pPr>
            <w:r>
              <w:rPr>
                <w:sz w:val="20"/>
                <w:szCs w:val="20"/>
              </w:rPr>
              <w:t>replaceable_heat = useful_heat × fossil_share</w:t>
            </w:r>
          </w:p>
        </w:tc>
      </w:tr>
    </w:tbl>
    <w:p w14:paraId="476AF120" w14:textId="77777777" w:rsidR="00E764E3" w:rsidRDefault="00E764E3" w:rsidP="001021FE">
      <w:pPr>
        <w:rPr>
          <w:color w:val="000000" w:themeColor="text1"/>
          <w:sz w:val="20"/>
          <w:szCs w:val="20"/>
        </w:rPr>
      </w:pPr>
    </w:p>
    <w:p w14:paraId="6CB1360F" w14:textId="77777777" w:rsidR="00E764E3" w:rsidRDefault="00E764E3" w:rsidP="001021FE">
      <w:pPr>
        <w:rPr>
          <w:color w:val="000000" w:themeColor="text1"/>
          <w:sz w:val="20"/>
          <w:szCs w:val="20"/>
        </w:rPr>
      </w:pPr>
      <w:r>
        <w:rPr>
          <w:color w:val="000000" w:themeColor="text1"/>
          <w:sz w:val="20"/>
          <w:szCs w:val="20"/>
        </w:rPr>
        <w:t xml:space="preserve">To validate the heat estimates, we compared against sector and country wide useful heat aggregates and determined it is </w:t>
      </w:r>
      <w:r>
        <w:rPr>
          <w:color w:val="000000" w:themeColor="text1"/>
          <w:sz w:val="20"/>
          <w:szCs w:val="20"/>
        </w:rPr>
        <w:t xml:space="preserve">within +-50% of reference data. (Supplementary graphs and plots). </w:t>
      </w:r>
    </w:p>
    <w:p w14:paraId="6573CAB1" w14:textId="77777777" w:rsidR="001021FE" w:rsidRDefault="001021FE" w:rsidP="001021FE">
      <w:pPr>
        <w:rPr>
          <w:color w:val="000000" w:themeColor="text1"/>
          <w:sz w:val="20"/>
          <w:szCs w:val="20"/>
        </w:rPr>
      </w:pPr>
    </w:p>
    <w:p w14:paraId="2633E210" w14:textId="77777777" w:rsidR="00375D3E" w:rsidRDefault="000E3837" w:rsidP="00375D3E">
      <w:pPr>
        <w:rPr>
          <w:i/>
          <w:color w:val="000000" w:themeColor="text1"/>
          <w:sz w:val="20"/>
          <w:szCs w:val="20"/>
        </w:rPr>
      </w:pPr>
      <w:r>
        <w:rPr>
          <w:i/>
          <w:color w:val="000000" w:themeColor="text1"/>
          <w:sz w:val="20"/>
          <w:szCs w:val="20"/>
        </w:rPr>
        <w:t>2.2 Solar Radiation</w:t>
      </w:r>
    </w:p>
    <w:p w14:paraId="2F7439A9" w14:textId="042CEE0A" w:rsidR="00375D3E" w:rsidRDefault="00DF605E" w:rsidP="00375D3E">
      <w:pPr>
        <w:rPr>
          <w:color w:val="000000" w:themeColor="text1"/>
          <w:sz w:val="20"/>
          <w:szCs w:val="20"/>
        </w:rPr>
      </w:pPr>
      <w:r>
        <w:rPr>
          <w:color w:val="000000" w:themeColor="text1"/>
          <w:sz w:val="20"/>
          <w:szCs w:val="20"/>
        </w:rPr>
        <w:t>Solar capacity factor, the amount of solar power output relative to nameplate, is pulled from PVGIS using ERA5 data for 2023. Hourly profiles are pulled for each facility and normalized to 1 kWp. It is then summed over a year and divided by 8760 to get the average solar capacity factor. The tilt is set to the absolute latitude and azimuth is south facing. This factor is applied to the nameplate density</w:t>
      </w:r>
      <w:r w:rsidR="00433D12">
        <w:rPr>
          <w:color w:val="000000" w:themeColor="text1"/>
          <w:sz w:val="20"/>
          <w:szCs w:val="20"/>
        </w:rPr>
        <w:t xml:space="preserve"> (50 MWh/km</w:t>
      </w:r>
      <w:r w:rsidR="00433D12">
        <w:rPr>
          <w:color w:val="000000" w:themeColor="text1"/>
          <w:sz w:val="20"/>
          <w:szCs w:val="20"/>
          <w:vertAlign w:val="superscript"/>
        </w:rPr>
        <w:t>2</w:t>
      </w:r>
      <w:r w:rsidR="00433D12">
        <w:rPr>
          <w:color w:val="000000" w:themeColor="text1"/>
          <w:sz w:val="20"/>
          <w:szCs w:val="20"/>
        </w:rPr>
        <w:t xml:space="preserve">) </w:t>
      </w:r>
      <w:r>
        <w:rPr>
          <w:color w:val="000000" w:themeColor="text1"/>
          <w:sz w:val="20"/>
          <w:szCs w:val="20"/>
        </w:rPr>
        <w:t>to get the amount of energy at each facility’s location.</w:t>
      </w:r>
    </w:p>
    <w:p w14:paraId="18D4C491" w14:textId="77777777" w:rsidR="00D24C16" w:rsidRPr="001021FE" w:rsidRDefault="00D24C16" w:rsidP="00375D3E">
      <w:pPr>
        <w:rPr>
          <w:color w:val="000000" w:themeColor="text1"/>
          <w:sz w:val="20"/>
          <w:szCs w:val="20"/>
        </w:rPr>
      </w:pPr>
    </w:p>
    <w:p w14:paraId="35859CAF" w14:textId="77777777" w:rsidR="00C20CD1" w:rsidRPr="00AC7BF9" w:rsidRDefault="00D24C16" w:rsidP="00D24C16">
      <w:pPr>
        <w:rPr>
          <w:i/>
          <w:color w:val="000000" w:themeColor="text1"/>
          <w:sz w:val="20"/>
          <w:szCs w:val="20"/>
        </w:rPr>
      </w:pPr>
      <w:r>
        <w:rPr>
          <w:i/>
          <w:color w:val="000000" w:themeColor="text1"/>
          <w:sz w:val="20"/>
          <w:szCs w:val="20"/>
        </w:rPr>
        <w:t>2.3 Land Availability</w:t>
      </w:r>
    </w:p>
    <w:p w14:paraId="61D8AD47" w14:textId="77777777" w:rsidR="000E3837" w:rsidRDefault="00AC7BF9" w:rsidP="000E3837">
      <w:pPr>
        <w:rPr>
          <w:iCs/>
          <w:color w:val="000000" w:themeColor="text1"/>
          <w:sz w:val="20"/>
          <w:szCs w:val="20"/>
        </w:rPr>
      </w:pPr>
      <w:r>
        <w:rPr>
          <w:iCs/>
          <w:color w:val="000000" w:themeColor="text1"/>
          <w:sz w:val="20"/>
          <w:szCs w:val="20"/>
        </w:rPr>
        <w:t xml:space="preserve">We aggregated the square km of cropland, bare, grass and shrubland around each facility in 5 km and 15km buffer zones using google earth engine and ESA WorldCover v200 (2021) map. We applied a mask for land that is slope &lt;= 5°C and not designated as protected areas with a buffer of 100m from Copernicus digital elevation map. While the ESA WorldCover map has 10-meter resolution, we used the zonal statistics at 30 meters for computation processing speed and to match the resolution of the slope filter. </w:t>
      </w:r>
    </w:p>
    <w:p w14:paraId="507C767A" w14:textId="77777777" w:rsidR="004E3C58" w:rsidRDefault="004E3C58" w:rsidP="000E3837">
      <w:pPr>
        <w:rPr>
          <w:iCs/>
          <w:color w:val="000000" w:themeColor="text1"/>
          <w:sz w:val="20"/>
          <w:szCs w:val="20"/>
        </w:rPr>
      </w:pPr>
    </w:p>
    <w:p w14:paraId="51D9FF8F" w14:textId="77777777" w:rsidR="009C3CCD" w:rsidRPr="00AC7BF9" w:rsidRDefault="009C3CCD" w:rsidP="009C3CCD">
      <w:pPr>
        <w:rPr>
          <w:i/>
          <w:color w:val="000000" w:themeColor="text1"/>
          <w:sz w:val="20"/>
          <w:szCs w:val="20"/>
        </w:rPr>
      </w:pPr>
      <w:r>
        <w:rPr>
          <w:i/>
          <w:color w:val="000000" w:themeColor="text1"/>
          <w:sz w:val="20"/>
          <w:szCs w:val="20"/>
        </w:rPr>
        <w:t>2.4 Technology Cost Data</w:t>
      </w:r>
    </w:p>
    <w:p w14:paraId="5D6F8EF1" w14:textId="77777777" w:rsidR="003F60A4" w:rsidRDefault="002556B6" w:rsidP="006F3C94">
      <w:pPr>
        <w:rPr>
          <w:iCs/>
          <w:color w:val="000000" w:themeColor="text1"/>
          <w:sz w:val="20"/>
          <w:szCs w:val="20"/>
        </w:rPr>
      </w:pPr>
      <w:r>
        <w:rPr>
          <w:iCs/>
          <w:color w:val="000000" w:themeColor="text1"/>
          <w:sz w:val="20"/>
          <w:szCs w:val="20"/>
        </w:rPr>
        <w:t>All costs are set in 2030-dollar values and assumes that a solar plus storage project to start constructing in 2030. Technolog</w:t>
      </w:r>
      <w:r w:rsidR="00465D64">
        <w:rPr>
          <w:iCs/>
          <w:color w:val="000000" w:themeColor="text1"/>
          <w:sz w:val="20"/>
          <w:szCs w:val="20"/>
        </w:rPr>
        <w:t>ies</w:t>
      </w:r>
      <w:r w:rsidR="0046100C">
        <w:rPr>
          <w:iCs/>
          <w:color w:val="000000" w:themeColor="text1"/>
          <w:sz w:val="20"/>
          <w:szCs w:val="20"/>
        </w:rPr>
        <w:t>, both solar and storage</w:t>
      </w:r>
      <w:r w:rsidR="00465D64">
        <w:rPr>
          <w:iCs/>
          <w:color w:val="000000" w:themeColor="text1"/>
          <w:sz w:val="20"/>
          <w:szCs w:val="20"/>
        </w:rPr>
        <w:t>, are</w:t>
      </w:r>
      <w:r>
        <w:rPr>
          <w:iCs/>
          <w:color w:val="000000" w:themeColor="text1"/>
          <w:sz w:val="20"/>
          <w:szCs w:val="20"/>
        </w:rPr>
        <w:t xml:space="preserve"> assumed to have 25-year life. Capital expenditure and fixed operation and maintenance costs of solar panels and utility scale batteries are gathered from BloombergNEF (BNEF) </w:t>
      </w:r>
      <w:r>
        <w:rPr>
          <w:iCs/>
          <w:color w:val="000000" w:themeColor="text1"/>
          <w:sz w:val="20"/>
          <w:szCs w:val="20"/>
        </w:rPr>
        <w:fldChar w:fldCharType="begin"/>
      </w:r>
      <w:r w:rsidR="00673234">
        <w:rPr>
          <w:iCs/>
          <w:color w:val="000000" w:themeColor="text1"/>
          <w:sz w:val="20"/>
          <w:szCs w:val="20"/>
        </w:rPr>
        <w:instrText xml:space="preserve"> ADDIN ZOTERO_ITEM CSL_CITATION {"citationID":"clVQiDAd","properties":{"unsorted":false,"formattedCitation":"[19]","plainCitation":"[19]","noteIndex":0},"citationItems":[{"id":364,"uris":["http://zotero.org/users/20280584/items/MGMQJMIW"],"itemData":{"id":364,"type":"webpage","abstract":"BNEF is a strategic research provider delivering clear perspectives on global commodity markets and the disruptive technologies driving the energy transition.","citation-key":"BloombergNEF","container-title":"BloombergNEF","language":"en-US","title":"BloombergNEF","URL":"https://about.bnef.com/","accessed":{"date-parts":[["2026",8,3]]}}}],"schema":"https://github.com/citation-style-language/schema/raw/master/csl-citation.json"} </w:instrText>
      </w:r>
      <w:r>
        <w:rPr>
          <w:iCs/>
          <w:color w:val="000000" w:themeColor="text1"/>
          <w:sz w:val="20"/>
          <w:szCs w:val="20"/>
        </w:rPr>
        <w:fldChar w:fldCharType="separate"/>
      </w:r>
      <w:r w:rsidR="00673234">
        <w:rPr>
          <w:iCs/>
          <w:noProof/>
          <w:color w:val="000000" w:themeColor="text1"/>
          <w:sz w:val="20"/>
          <w:szCs w:val="20"/>
        </w:rPr>
        <w:t>[19]</w:t>
      </w:r>
      <w:r>
        <w:rPr>
          <w:iCs/>
          <w:color w:val="000000" w:themeColor="text1"/>
          <w:sz w:val="20"/>
          <w:szCs w:val="20"/>
        </w:rPr>
        <w:fldChar w:fldCharType="end"/>
      </w:r>
      <w:r>
        <w:rPr>
          <w:iCs/>
          <w:color w:val="000000" w:themeColor="text1"/>
          <w:sz w:val="20"/>
          <w:szCs w:val="20"/>
        </w:rPr>
        <w:t xml:space="preserve"> for 2030 by country. Heat pumps costs by temperature band </w:t>
      </w:r>
      <w:r>
        <w:rPr>
          <w:iCs/>
          <w:color w:val="000000" w:themeColor="text1"/>
          <w:sz w:val="20"/>
          <w:szCs w:val="20"/>
        </w:rPr>
        <w:fldChar w:fldCharType="begin"/>
      </w:r>
      <w:r w:rsidR="00673234">
        <w:rPr>
          <w:iCs/>
          <w:color w:val="000000" w:themeColor="text1"/>
          <w:sz w:val="20"/>
          <w:szCs w:val="20"/>
        </w:rPr>
        <w:instrText xml:space="preserve"> ADDIN ZOTERO_ITEM CSL_CITATION {"citationID":"TBp8yoda","properties":{"unsorted":false,"formattedCitation":"[20]","plainCitation":"[20]","noteIndex":0},"citationItems":[{"id":340,"uris":["http://zotero.org/users/20280584/items/Y8THTIGB"],"itemData":{"id":340,"type":"article-journal","citation-key":"rissmanDecarbonizingLowTemperatureIndustrial","language":"en","source":"Zotero","title":"Decarbonizing Low-Temperature Industrial Heat in the U.S.","author":[{"family":"Rissman","given":"Jeffrey"}]}}],"schema":"https://github.com/citation-style-language/schema/raw/master/csl-citation.json"} </w:instrText>
      </w:r>
      <w:r>
        <w:rPr>
          <w:iCs/>
          <w:color w:val="000000" w:themeColor="text1"/>
          <w:sz w:val="20"/>
          <w:szCs w:val="20"/>
        </w:rPr>
        <w:fldChar w:fldCharType="separate"/>
      </w:r>
      <w:r w:rsidR="00673234">
        <w:rPr>
          <w:iCs/>
          <w:noProof/>
          <w:color w:val="000000" w:themeColor="text1"/>
          <w:sz w:val="20"/>
          <w:szCs w:val="20"/>
        </w:rPr>
        <w:t>[20]</w:t>
      </w:r>
      <w:r>
        <w:rPr>
          <w:iCs/>
          <w:color w:val="000000" w:themeColor="text1"/>
          <w:sz w:val="20"/>
          <w:szCs w:val="20"/>
        </w:rPr>
        <w:fldChar w:fldCharType="end"/>
      </w:r>
      <w:r>
        <w:rPr>
          <w:iCs/>
          <w:color w:val="000000" w:themeColor="text1"/>
          <w:sz w:val="20"/>
          <w:szCs w:val="20"/>
        </w:rPr>
        <w:t xml:space="preserve"> and industrial heat batteries </w:t>
      </w:r>
      <w:r>
        <w:rPr>
          <w:iCs/>
          <w:color w:val="000000" w:themeColor="text1"/>
          <w:sz w:val="20"/>
          <w:szCs w:val="20"/>
        </w:rPr>
        <w:fldChar w:fldCharType="begin"/>
      </w:r>
      <w:r w:rsidR="00673234">
        <w:rPr>
          <w:iCs/>
          <w:color w:val="000000" w:themeColor="text1"/>
          <w:sz w:val="20"/>
          <w:szCs w:val="20"/>
        </w:rPr>
        <w:instrText xml:space="preserve"> ADDIN ZOTERO_ITEM CSL_CITATION {"citationID":"Yd4NlQjE","properties":{"unsorted":false,"formattedCitation":"[21]","plainCitation":"[21]","noteIndex":0},"citationItems":[{"id":332,"uris":["http://zotero.org/users/20280584/items/AVYX7RDN"],"itemData":{"id":332,"type":"article-journal","citation-key":"rissmanIndustrialThermalBatteriesa","language":"en","source":"Zotero","title":"Industrial Thermal Batteries","author":[{"family":"Rissman","given":"Jeffrey"},{"family":"Gimon","given":"Eric"}]}}],"schema":"https://github.com/citation-style-language/schema/raw/master/csl-citation.json"} </w:instrText>
      </w:r>
      <w:r>
        <w:rPr>
          <w:iCs/>
          <w:color w:val="000000" w:themeColor="text1"/>
          <w:sz w:val="20"/>
          <w:szCs w:val="20"/>
        </w:rPr>
        <w:fldChar w:fldCharType="separate"/>
      </w:r>
      <w:r w:rsidR="00673234">
        <w:rPr>
          <w:iCs/>
          <w:noProof/>
          <w:color w:val="000000" w:themeColor="text1"/>
          <w:sz w:val="20"/>
          <w:szCs w:val="20"/>
        </w:rPr>
        <w:t>[21]</w:t>
      </w:r>
      <w:r>
        <w:rPr>
          <w:iCs/>
          <w:color w:val="000000" w:themeColor="text1"/>
          <w:sz w:val="20"/>
          <w:szCs w:val="20"/>
        </w:rPr>
        <w:fldChar w:fldCharType="end"/>
      </w:r>
      <w:r>
        <w:rPr>
          <w:iCs/>
          <w:color w:val="000000" w:themeColor="text1"/>
          <w:sz w:val="20"/>
          <w:szCs w:val="20"/>
        </w:rPr>
        <w:t xml:space="preserve"> are in 2021 and 2023 dollars respectively. Both are CPI- (Bureau of Labor Statistics, 2025) to 2030 which applies a factor of 1.31 and 1.17 respectively. Country specific costs from BNEF and cost of capital rates (IRENA) are used when direct country costs are available and proxied by peer mean income country groups (HIC, LMIC, etc.) when not available.  </w:t>
      </w:r>
    </w:p>
    <w:p w14:paraId="27F42679" w14:textId="6D89E052" w:rsidR="006F3C94" w:rsidRPr="006F3C94" w:rsidRDefault="006F3C94" w:rsidP="006F3C94">
      <w:pPr>
        <w:rPr>
          <w:iCs/>
          <w:color w:val="000000" w:themeColor="text1"/>
          <w:sz w:val="20"/>
          <w:szCs w:val="20"/>
        </w:rPr>
      </w:pPr>
      <w:r w:rsidRPr="006F3C94">
        <w:rPr>
          <w:iCs/>
          <w:color w:val="000000" w:themeColor="text1"/>
          <w:sz w:val="20"/>
          <w:szCs w:val="20"/>
        </w:rPr>
        <w:t>To annualize costs across a project’s lifetime, we used this LCOH formula:</w:t>
      </w:r>
    </w:p>
    <w:p w14:paraId="5C74BF14" w14:textId="745ACAEF" w:rsidR="006F3C94" w:rsidRPr="003F60A4" w:rsidRDefault="006F3C94" w:rsidP="006F3C94">
      <w:pPr>
        <w:rPr>
          <w:color w:val="000000" w:themeColor="text1"/>
          <w:sz w:val="20"/>
          <w:szCs w:val="20"/>
        </w:rPr>
      </w:pPr>
      <w:r w:rsidRPr="006F3C94">
        <w:rPr>
          <w:iCs/>
          <w:color w:val="000000" w:themeColor="text1"/>
          <w:sz w:val="20"/>
          <w:szCs w:val="20"/>
        </w:rPr>
        <w:t xml:space="preserve">Capital costs are annualized using a standard capital recovery factor (CRF) assuming a 25-year technology life and country-specific </w:t>
      </w:r>
      <w:r w:rsidR="003F60A4">
        <w:rPr>
          <w:iCs/>
          <w:color w:val="000000" w:themeColor="text1"/>
          <w:sz w:val="20"/>
          <w:szCs w:val="20"/>
        </w:rPr>
        <w:t>cost of capital</w:t>
      </w:r>
      <w:r w:rsidRPr="006F3C94">
        <w:rPr>
          <w:iCs/>
          <w:color w:val="000000" w:themeColor="text1"/>
          <w:sz w:val="20"/>
          <w:szCs w:val="20"/>
        </w:rPr>
        <w:t xml:space="preserve">. Total annualized system cost,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w:rPr>
                <w:rFonts w:ascii="Cambria Math" w:hAnsi="Cambria Math"/>
                <w:color w:val="000000" w:themeColor="text1"/>
                <w:sz w:val="20"/>
                <w:szCs w:val="20"/>
              </w:rPr>
              <m:t>ann</m:t>
            </m:r>
          </m:sup>
        </m:sSup>
      </m:oMath>
      <w:r w:rsidRPr="006F3C94">
        <w:rPr>
          <w:iCs/>
          <w:color w:val="000000" w:themeColor="text1"/>
          <w:sz w:val="20"/>
          <w:szCs w:val="20"/>
        </w:rPr>
        <w:t>, sums four technology terms — solar, Li-ion battery, industrial heat battery, and heat pump — each following the same general form, illustrated here for solar:</w:t>
      </w:r>
    </w:p>
    <w:p w14:paraId="05D35B47" w14:textId="77777777" w:rsidR="006F3C94" w:rsidRPr="006F3C94" w:rsidRDefault="006F3C94" w:rsidP="006F3C94">
      <w:pPr>
        <w:rPr>
          <w:iCs/>
          <w:color w:val="000000" w:themeColor="text1"/>
          <w:sz w:val="20"/>
          <w:szCs w:val="20"/>
        </w:rPr>
      </w:pPr>
    </w:p>
    <w:p w14:paraId="186173AF" w14:textId="11013FE9" w:rsidR="006F3C94" w:rsidRPr="006F3C94" w:rsidRDefault="003F60A4" w:rsidP="003F60A4">
      <w:pPr>
        <w:spacing w:after="240"/>
        <w:rPr>
          <w:iCs/>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w:rPr>
                  <w:rFonts w:ascii="Cambria Math" w:hAnsi="Cambria Math"/>
                  <w:color w:val="000000" w:themeColor="text1"/>
                  <w:sz w:val="20"/>
                  <w:szCs w:val="20"/>
                </w:rPr>
                <m:t>solar</m:t>
              </m:r>
            </m:sub>
            <m:sup>
              <m:r>
                <w:rPr>
                  <w:rFonts w:ascii="Cambria Math" w:hAnsi="Cambria Math"/>
                  <w:color w:val="000000" w:themeColor="text1"/>
                  <w:sz w:val="20"/>
                  <w:szCs w:val="20"/>
                </w:rPr>
                <m:t>ann</m:t>
              </m:r>
            </m:sup>
          </m:sSubSup>
          <m:r>
            <w:rPr>
              <w:rFonts w:ascii="Cambria Math" w:hAnsi="Cambria Math"/>
              <w:color w:val="000000" w:themeColor="text1"/>
              <w:sz w:val="20"/>
              <w:szCs w:val="20"/>
            </w:rPr>
            <m:t>=</m:t>
          </m:r>
          <m:d>
            <m:dPr>
              <m:ctrlPr>
                <w:rPr>
                  <w:rFonts w:ascii="Cambria Math" w:hAnsi="Cambria Math"/>
                  <w:color w:val="000000" w:themeColor="text1"/>
                  <w:sz w:val="20"/>
                  <w:szCs w:val="20"/>
                </w:rPr>
              </m:ctrlPr>
            </m:dPr>
            <m:e>
              <m:r>
                <w:rPr>
                  <w:rFonts w:ascii="Cambria Math" w:hAnsi="Cambria Math"/>
                  <w:color w:val="000000" w:themeColor="text1"/>
                  <w:sz w:val="20"/>
                  <w:szCs w:val="20"/>
                </w:rPr>
                <m:t>CAPE</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X</m:t>
                  </m:r>
                </m:e>
                <m:sub>
                  <m:r>
                    <w:rPr>
                      <w:rFonts w:ascii="Cambria Math" w:hAnsi="Cambria Math"/>
                      <w:color w:val="000000" w:themeColor="text1"/>
                      <w:sz w:val="20"/>
                      <w:szCs w:val="20"/>
                    </w:rPr>
                    <m:t>c</m:t>
                  </m:r>
                </m:sub>
                <m:sup>
                  <m:r>
                    <w:rPr>
                      <w:rFonts w:ascii="Cambria Math" w:hAnsi="Cambria Math"/>
                      <w:color w:val="000000" w:themeColor="text1"/>
                      <w:sz w:val="20"/>
                      <w:szCs w:val="20"/>
                    </w:rPr>
                    <m:t>PV</m:t>
                  </m:r>
                </m:sup>
              </m:sSubSup>
              <m:r>
                <w:rPr>
                  <w:rFonts w:ascii="Cambria Math" w:hAnsi="Cambria Math"/>
                  <w:color w:val="000000" w:themeColor="text1"/>
                  <w:sz w:val="20"/>
                  <w:szCs w:val="20"/>
                </w:rPr>
                <m:t>⋅1000⋅CR</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c</m:t>
                  </m:r>
                </m:sub>
              </m:sSub>
              <m:r>
                <w:rPr>
                  <w:rFonts w:ascii="Cambria Math" w:hAnsi="Cambria Math"/>
                  <w:color w:val="000000" w:themeColor="text1"/>
                  <w:sz w:val="20"/>
                  <w:szCs w:val="20"/>
                </w:rPr>
                <m:t>+FO</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M</m:t>
                  </m:r>
                </m:e>
                <m:sub>
                  <m:r>
                    <w:rPr>
                      <w:rFonts w:ascii="Cambria Math" w:hAnsi="Cambria Math"/>
                      <w:color w:val="000000" w:themeColor="text1"/>
                      <w:sz w:val="20"/>
                      <w:szCs w:val="20"/>
                    </w:rPr>
                    <m:t>c</m:t>
                  </m:r>
                </m:sub>
                <m:sup>
                  <m:r>
                    <w:rPr>
                      <w:rFonts w:ascii="Cambria Math" w:hAnsi="Cambria Math"/>
                      <w:color w:val="000000" w:themeColor="text1"/>
                      <w:sz w:val="20"/>
                      <w:szCs w:val="20"/>
                    </w:rPr>
                    <m:t>PV</m:t>
                  </m:r>
                </m:sup>
              </m:sSubSup>
            </m:e>
          </m:d>
          <m:r>
            <w:rPr>
              <w:rFonts w:ascii="Cambria Math" w:hAnsi="Cambria Math"/>
              <w:color w:val="000000" w:themeColor="text1"/>
              <w:sz w:val="20"/>
              <w:szCs w:val="20"/>
            </w:rPr>
            <m:t>S*</m:t>
          </m:r>
        </m:oMath>
      </m:oMathPara>
    </w:p>
    <w:p w14:paraId="6D9FBF96" w14:textId="77777777" w:rsidR="006F3C94" w:rsidRPr="006F3C94" w:rsidRDefault="006F3C94" w:rsidP="006F3C94">
      <w:pPr>
        <w:rPr>
          <w:iCs/>
          <w:color w:val="000000" w:themeColor="text1"/>
          <w:sz w:val="20"/>
          <w:szCs w:val="20"/>
        </w:rPr>
      </w:pPr>
      <w:r w:rsidRPr="006F3C94">
        <w:rPr>
          <w:iCs/>
          <w:color w:val="000000" w:themeColor="text1"/>
          <w:sz w:val="20"/>
          <w:szCs w:val="20"/>
        </w:rPr>
        <w:t>The Li-ion battery, industrial heat battery, and heat pump terms follow the same functional form using their respective CAPEX and FOM values described above; the full set of annualized cost equations, along with the equivalent LCOH formula for total demand, is provided in the Supplementary Material (Eqs. S1–S6).</w:t>
      </w:r>
    </w:p>
    <w:p w14:paraId="2485D47B" w14:textId="77777777" w:rsidR="006F3C94" w:rsidRPr="006F3C94" w:rsidRDefault="006F3C94" w:rsidP="006F3C94">
      <w:pPr>
        <w:rPr>
          <w:iCs/>
          <w:color w:val="000000" w:themeColor="text1"/>
          <w:sz w:val="20"/>
          <w:szCs w:val="20"/>
        </w:rPr>
      </w:pPr>
    </w:p>
    <w:p w14:paraId="3D35373E" w14:textId="6174FA5D" w:rsidR="006F3C94" w:rsidRPr="006F3C94" w:rsidRDefault="001151A6" w:rsidP="006F3C94">
      <w:pPr>
        <w:rPr>
          <w:iCs/>
          <w:color w:val="000000" w:themeColor="text1"/>
          <w:sz w:val="20"/>
          <w:szCs w:val="20"/>
        </w:rPr>
      </w:pPr>
      <m:oMath>
        <m:r>
          <w:rPr>
            <w:rFonts w:ascii="Cambria Math" w:hAnsi="Cambria Math"/>
            <w:color w:val="000000" w:themeColor="text1"/>
            <w:sz w:val="20"/>
            <w:szCs w:val="20"/>
          </w:rPr>
          <m:t>LCO</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served</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b>
              <m:sSubPr>
                <m:ctrlPr>
                  <w:rPr>
                    <w:rFonts w:ascii="Cambria Math" w:hAnsi="Cambria Math"/>
                    <w:color w:val="000000" w:themeColor="text1"/>
                    <w:sz w:val="20"/>
                    <w:szCs w:val="20"/>
                  </w:rPr>
                </m:ctrlPr>
              </m:sSubPr>
              <m:e>
                <m:r>
                  <w:rPr>
                    <w:rFonts w:ascii="Cambria Math" w:hAnsi="Cambria Math"/>
                    <w:color w:val="000000" w:themeColor="text1"/>
                    <w:sz w:val="20"/>
                    <w:szCs w:val="20"/>
                  </w:rPr>
                  <m:t>C</m:t>
                </m:r>
              </m:e>
              <m:sub>
                <m:r>
                  <w:rPr>
                    <w:rFonts w:ascii="Cambria Math" w:hAnsi="Cambria Math"/>
                    <w:color w:val="000000" w:themeColor="text1"/>
                    <w:sz w:val="20"/>
                    <w:szCs w:val="20"/>
                  </w:rPr>
                  <m:t>ann</m:t>
                </m:r>
              </m:sub>
            </m:sSub>
          </m:num>
          <m:den>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w:rPr>
                    <w:rFonts w:ascii="Cambria Math" w:hAnsi="Cambria Math"/>
                    <w:color w:val="000000" w:themeColor="text1"/>
                    <w:sz w:val="20"/>
                    <w:szCs w:val="20"/>
                  </w:rPr>
                  <m:t>served</m:t>
                </m:r>
              </m:sub>
            </m:sSub>
          </m:den>
        </m:f>
      </m:oMath>
      <w:r>
        <w:rPr>
          <w:color w:val="000000" w:themeColor="text1"/>
          <w:sz w:val="20"/>
          <w:szCs w:val="20"/>
        </w:rPr>
        <w:t>}</w:t>
      </w:r>
      <w:r w:rsidR="006F3C94" w:rsidRPr="006F3C94">
        <w:rPr>
          <w:iCs/>
          <w:color w:val="000000" w:themeColor="text1"/>
          <w:sz w:val="20"/>
          <w:szCs w:val="20"/>
        </w:rPr>
        <w:t>,  </w:t>
      </w:r>
    </w:p>
    <w:p w14:paraId="3D952715" w14:textId="77777777" w:rsidR="006F3C94" w:rsidRPr="006F3C94" w:rsidRDefault="006F3C94" w:rsidP="006F3C94">
      <w:pPr>
        <w:rPr>
          <w:iCs/>
          <w:color w:val="000000" w:themeColor="text1"/>
          <w:sz w:val="20"/>
          <w:szCs w:val="20"/>
        </w:rPr>
      </w:pPr>
    </w:p>
    <w:p w14:paraId="68E23729" w14:textId="70AEE856" w:rsidR="00FF04E4" w:rsidRDefault="006F3C94" w:rsidP="006F3C94">
      <w:pPr>
        <w:rPr>
          <w:iCs/>
          <w:color w:val="000000" w:themeColor="text1"/>
          <w:sz w:val="20"/>
          <w:szCs w:val="20"/>
        </w:rPr>
      </w:pPr>
      <w:r w:rsidRPr="006F3C94">
        <w:rPr>
          <w:iCs/>
          <w:color w:val="000000" w:themeColor="text1"/>
          <w:sz w:val="20"/>
          <w:szCs w:val="20"/>
        </w:rPr>
        <w:t xml:space="preserve">Where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r>
          <w:rPr>
            <w:rFonts w:ascii="Cambria Math" w:hAnsi="Cambria Math"/>
            <w:color w:val="000000" w:themeColor="text1"/>
            <w:sz w:val="20"/>
            <w:szCs w:val="20"/>
          </w:rPr>
          <m:t xml:space="preserve"> </m:t>
        </m:r>
      </m:oMath>
      <w:r w:rsidRPr="006F3C94">
        <w:rPr>
          <w:iCs/>
          <w:color w:val="000000" w:themeColor="text1"/>
          <w:sz w:val="20"/>
          <w:szCs w:val="20"/>
        </w:rPr>
        <w:t xml:space="preserve">is country WACC, S*, E*, P* are optimized capacities,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b</m:t>
            </m:r>
            <m:r>
              <w:rPr>
                <w:rFonts w:ascii="Cambria Math" w:hAnsi="Cambria Math"/>
                <w:color w:val="000000" w:themeColor="text1"/>
                <w:sz w:val="20"/>
                <w:szCs w:val="20"/>
              </w:rPr>
              <m:t xml:space="preserve"> </m:t>
            </m:r>
          </m:sub>
          <m:sup>
            <m:r>
              <w:rPr>
                <w:rFonts w:ascii="Cambria Math" w:hAnsi="Cambria Math"/>
                <w:color w:val="000000" w:themeColor="text1"/>
                <w:sz w:val="20"/>
                <w:szCs w:val="20"/>
              </w:rPr>
              <m:t>*</m:t>
            </m:r>
          </m:sup>
        </m:sSubSup>
      </m:oMath>
      <w:r w:rsidRPr="006F3C94">
        <w:rPr>
          <w:iCs/>
          <w:color w:val="000000" w:themeColor="text1"/>
          <w:sz w:val="20"/>
          <w:szCs w:val="20"/>
        </w:rPr>
        <w:t>is HP thermal capacity sized to served heat in band b, and Qserved=Qdemand-Qunserved. Unserved energy is not costed (VoLL = 0).</w:t>
      </w:r>
    </w:p>
    <w:p w14:paraId="14F14CB9" w14:textId="77777777" w:rsidR="000923A7" w:rsidRPr="00FF04E4" w:rsidRDefault="000923A7" w:rsidP="006F3C94">
      <w:pPr>
        <w:rPr>
          <w:iCs/>
          <w:color w:val="000000" w:themeColor="text1"/>
          <w:sz w:val="20"/>
          <w:szCs w:val="20"/>
        </w:rPr>
      </w:pPr>
    </w:p>
    <w:p w14:paraId="496B1262" w14:textId="77777777" w:rsidR="004E3C58" w:rsidRPr="00AC7BF9" w:rsidRDefault="004E3C58" w:rsidP="004E3C58">
      <w:pPr>
        <w:rPr>
          <w:i/>
          <w:color w:val="000000" w:themeColor="text1"/>
          <w:sz w:val="20"/>
          <w:szCs w:val="20"/>
        </w:rPr>
      </w:pPr>
      <w:r>
        <w:rPr>
          <w:i/>
          <w:color w:val="000000" w:themeColor="text1"/>
          <w:sz w:val="20"/>
          <w:szCs w:val="20"/>
        </w:rPr>
        <w:t>2.5 Gas Heat Benchmark</w:t>
      </w:r>
    </w:p>
    <w:p w14:paraId="2BAD286C" w14:textId="7C2FEF6C" w:rsidR="009F0693" w:rsidRDefault="002A5021" w:rsidP="004E3C58">
      <w:pPr>
        <w:rPr>
          <w:iCs/>
          <w:color w:val="000000" w:themeColor="text1"/>
          <w:sz w:val="20"/>
          <w:szCs w:val="20"/>
        </w:rPr>
      </w:pPr>
      <w:r>
        <w:rPr>
          <w:iCs/>
          <w:color w:val="000000" w:themeColor="text1"/>
          <w:sz w:val="20"/>
          <w:szCs w:val="20"/>
        </w:rPr>
        <w:t>Each LCOH is compared against a gas heat benchmark to get the highest availability of electrified heat generated below the gas heat price. Gas heat prices are gathered from Eurostat’s non-household gas for 2030 (nrg_pc_203)</w:t>
      </w:r>
      <w:r w:rsidR="00F529C0">
        <w:rPr>
          <w:iCs/>
          <w:color w:val="000000" w:themeColor="text1"/>
          <w:sz w:val="20"/>
          <w:szCs w:val="20"/>
        </w:rPr>
        <w:t xml:space="preserve"> </w:t>
      </w:r>
      <w:r>
        <w:rPr>
          <w:iCs/>
          <w:color w:val="000000" w:themeColor="text1"/>
          <w:sz w:val="20"/>
          <w:szCs w:val="20"/>
        </w:rPr>
        <w:fldChar w:fldCharType="begin"/>
      </w:r>
      <w:r w:rsidR="00673234">
        <w:rPr>
          <w:iCs/>
          <w:color w:val="000000" w:themeColor="text1"/>
          <w:sz w:val="20"/>
          <w:szCs w:val="20"/>
        </w:rPr>
        <w:instrText xml:space="preserve"> ADDIN ZOTERO_ITEM CSL_CITATION {"citationID":"p2hDnH7Q","properties":{"unsorted":false,"formattedCitation":"[22]","plainCitation":"[22]","noteIndex":0},"citationItems":[{"id":366,"uris":["http://zotero.org/users/20280584/items/BT7K8JTN"],"itemData":{"id":366,"type":"dataset","citation-key":"eurostatGasPricesIndustrial2026","DOI":"10.2908/NRG_PC_203","publisher":"Eurostat","source":"DOI.org (Datacite)","title":"Gas prices for industrial consumers - bi-annual data (from 2007 onwards)","URL":"https://ec.europa.eu/eurostat/databrowser/product/page/NRG_PC_203","author":[{"literal":"Eurostat"}],"accessed":{"date-parts":[["2026",8,3]]},"issued":{"date-parts":[["2026"]]}}}],"schema":"https://github.com/citation-style-language/schema/raw/master/csl-citation.json"} </w:instrText>
      </w:r>
      <w:r>
        <w:rPr>
          <w:iCs/>
          <w:color w:val="000000" w:themeColor="text1"/>
          <w:sz w:val="20"/>
          <w:szCs w:val="20"/>
        </w:rPr>
        <w:fldChar w:fldCharType="separate"/>
      </w:r>
      <w:r w:rsidR="00673234">
        <w:rPr>
          <w:iCs/>
          <w:noProof/>
          <w:color w:val="000000" w:themeColor="text1"/>
          <w:sz w:val="20"/>
          <w:szCs w:val="20"/>
        </w:rPr>
        <w:t>[22]</w:t>
      </w:r>
      <w:r>
        <w:rPr>
          <w:iCs/>
          <w:color w:val="000000" w:themeColor="text1"/>
          <w:sz w:val="20"/>
          <w:szCs w:val="20"/>
        </w:rPr>
        <w:fldChar w:fldCharType="end"/>
      </w:r>
      <w:r>
        <w:rPr>
          <w:iCs/>
          <w:color w:val="000000" w:themeColor="text1"/>
          <w:sz w:val="20"/>
          <w:szCs w:val="20"/>
        </w:rPr>
        <w:t>. A general gas boiler efficiency of 0.85</w:t>
      </w:r>
      <w:r w:rsidR="00F529C0">
        <w:rPr>
          <w:iCs/>
          <w:color w:val="000000" w:themeColor="text1"/>
          <w:sz w:val="20"/>
          <w:szCs w:val="20"/>
        </w:rPr>
        <w:t xml:space="preserve"> </w:t>
      </w:r>
      <w:r>
        <w:rPr>
          <w:iCs/>
          <w:color w:val="000000" w:themeColor="text1"/>
          <w:sz w:val="20"/>
          <w:szCs w:val="20"/>
        </w:rPr>
        <w:fldChar w:fldCharType="begin"/>
      </w:r>
      <w:r w:rsidR="00673234">
        <w:rPr>
          <w:iCs/>
          <w:color w:val="000000" w:themeColor="text1"/>
          <w:sz w:val="20"/>
          <w:szCs w:val="20"/>
        </w:rPr>
        <w:instrText xml:space="preserve"> ADDIN ZOTERO_ITEM CSL_CITATION {"citationID":"ugHlnwKt","properties":{"unsorted":false,"formattedCitation":"[23]","plainCitation":"[23]","noteIndex":0},"citationItems":[{"id":368,"uris":["http://zotero.org/users/20280584/items/RXUI3RHY"],"itemData":{"id":368,"type":"webpage","citation-key":"Technologyfactsheetsnaturalgasboilerindustry7","publisher":"TNO","title":"Technology factsheet natural gas boiler industry","URL":"https://energy.nl/wp-content/uploads/technology-factsheets-natural-gas-boiler-industry-7.pdf","accessed":{"date-parts":[["2026",8,3]]}}}],"schema":"https://github.com/citation-style-language/schema/raw/master/csl-citation.json"} </w:instrText>
      </w:r>
      <w:r>
        <w:rPr>
          <w:iCs/>
          <w:color w:val="000000" w:themeColor="text1"/>
          <w:sz w:val="20"/>
          <w:szCs w:val="20"/>
        </w:rPr>
        <w:fldChar w:fldCharType="separate"/>
      </w:r>
      <w:r w:rsidR="00673234">
        <w:rPr>
          <w:iCs/>
          <w:noProof/>
          <w:color w:val="000000" w:themeColor="text1"/>
          <w:sz w:val="20"/>
          <w:szCs w:val="20"/>
        </w:rPr>
        <w:t>[23]</w:t>
      </w:r>
      <w:r>
        <w:rPr>
          <w:iCs/>
          <w:color w:val="000000" w:themeColor="text1"/>
          <w:sz w:val="20"/>
          <w:szCs w:val="20"/>
        </w:rPr>
        <w:fldChar w:fldCharType="end"/>
      </w:r>
      <w:r>
        <w:rPr>
          <w:iCs/>
          <w:color w:val="000000" w:themeColor="text1"/>
          <w:sz w:val="20"/>
          <w:szCs w:val="20"/>
        </w:rPr>
        <w:t xml:space="preserve"> is applied to the gas price. </w:t>
      </w:r>
    </w:p>
    <w:p w14:paraId="2CF48383" w14:textId="77777777" w:rsidR="00A24566" w:rsidRDefault="009F0693" w:rsidP="004E3C58">
      <w:pPr>
        <w:rPr>
          <w:iCs/>
          <w:color w:val="000000" w:themeColor="text1"/>
          <w:sz w:val="20"/>
          <w:szCs w:val="20"/>
        </w:rPr>
      </w:pPr>
      <w:r>
        <w:rPr>
          <w:iCs/>
          <w:color w:val="000000" w:themeColor="text1"/>
          <w:sz w:val="20"/>
          <w:szCs w:val="20"/>
        </w:rPr>
        <w:t>The EUA carbon tax of €79/tCO₂ is assumed and added to the gas heat cost.</w:t>
      </w:r>
    </w:p>
    <w:p w14:paraId="3B660EFC" w14:textId="77777777" w:rsidR="005F502E" w:rsidRDefault="00000000">
      <w:pPr>
        <w:tabs>
          <w:tab w:val="right" w:pos="4390"/>
        </w:tabs>
        <w:spacing w:before="80" w:after="80"/>
        <w:jc w:val="center"/>
      </w:pPr>
      <m:oMath>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heat,c</m:t>
            </m:r>
          </m:sub>
          <m:sup>
            <m:r>
              <w:rPr>
                <w:rFonts w:ascii="Cambria Math" w:hAnsi="Cambria Math"/>
                <w:sz w:val="20"/>
                <w:szCs w:val="20"/>
              </w:rPr>
              <m:t>gas</m:t>
            </m:r>
          </m:sup>
        </m:sSubSup>
        <m:r>
          <w:rPr>
            <w:rFonts w:ascii="Cambria Math" w:hAnsi="Cambria Math"/>
            <w:sz w:val="20"/>
            <w:szCs w:val="20"/>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c</m:t>
                </m:r>
              </m:sub>
              <m:sup>
                <m:r>
                  <w:rPr>
                    <w:rFonts w:ascii="Cambria Math" w:hAnsi="Cambria Math"/>
                    <w:sz w:val="20"/>
                    <w:szCs w:val="20"/>
                  </w:rPr>
                  <m:t>gas</m:t>
                </m:r>
              </m:sup>
            </m:sSubSup>
          </m:num>
          <m:den>
            <m:r>
              <w:rPr>
                <w:rFonts w:ascii="Cambria Math" w:hAnsi="Cambria Math"/>
                <w:sz w:val="20"/>
                <w:szCs w:val="20"/>
              </w:rPr>
              <m:t>η</m:t>
            </m:r>
          </m:den>
        </m:f>
        <m:r>
          <w:rPr>
            <w:rFonts w:ascii="Cambria Math" w:hAnsi="Cambria Math"/>
            <w:sz w:val="20"/>
            <w:szCs w:val="20"/>
          </w:rPr>
          <m:t xml:space="preserve"> + </m:t>
        </m:r>
        <m:f>
          <m:fPr>
            <m:ctrlPr>
              <w:rPr>
                <w:rFonts w:ascii="Cambria Math" w:hAnsi="Cambria Math"/>
              </w:rPr>
            </m:ctrlPr>
          </m:fPr>
          <m:num>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num>
          <m:den>
            <m:r>
              <w:rPr>
                <w:rFonts w:ascii="Cambria Math" w:hAnsi="Cambria Math"/>
                <w:sz w:val="20"/>
                <w:szCs w:val="20"/>
              </w:rPr>
              <m:t>η</m:t>
            </m:r>
          </m:den>
        </m:f>
      </m:oMath>
      <w:r>
        <w:rPr>
          <w:sz w:val="20"/>
          <w:szCs w:val="20"/>
        </w:rPr>
        <w:tab/>
        <w:t>(1)</w:t>
      </w:r>
    </w:p>
    <w:p w14:paraId="55599D95" w14:textId="77777777" w:rsidR="005F502E" w:rsidRDefault="00000000">
      <w:pPr>
        <w:spacing w:after="200"/>
        <w:jc w:val="both"/>
      </w:pPr>
      <w:r>
        <w:rPr>
          <w:sz w:val="20"/>
          <w:szCs w:val="20"/>
        </w:rPr>
        <w:t xml:space="preserve">with </w:t>
      </w:r>
      <m:oMath>
        <m:r>
          <w:rPr>
            <w:rFonts w:ascii="Cambria Math" w:hAnsi="Cambria Math"/>
            <w:sz w:val="20"/>
            <w:szCs w:val="20"/>
          </w:rPr>
          <m:t>η = 0.85</m:t>
        </m:r>
      </m:oMath>
      <w:r>
        <w:rPr>
          <w:sz w:val="20"/>
          <w:szCs w:val="20"/>
        </w:rPr>
        <w:t xml:space="preserve"> (boiler efficiency), </w:t>
      </w:r>
      <m:oMath>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79 EUR/tCO₂</m:t>
        </m:r>
      </m:oMath>
      <w:r>
        <w:rPr>
          <w:sz w:val="20"/>
          <w:szCs w:val="20"/>
        </w:rPr>
        <w:t xml:space="preserve"> (EUA carbon price assumption), and </w:t>
      </w:r>
      <m:oMath>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r>
          <w:rPr>
            <w:rFonts w:ascii="Cambria Math" w:hAnsi="Cambria Math"/>
            <w:sz w:val="20"/>
            <w:szCs w:val="20"/>
          </w:rPr>
          <m:t xml:space="preserve"> = 0.202 tCO₂/</m:t>
        </m:r>
        <m:sSub>
          <m:sSubPr>
            <m:ctrlPr>
              <w:rPr>
                <w:rFonts w:ascii="Cambria Math" w:hAnsi="Cambria Math"/>
              </w:rPr>
            </m:ctrlPr>
          </m:sSubPr>
          <m:e>
            <m:r>
              <w:rPr>
                <w:rFonts w:ascii="Cambria Math" w:hAnsi="Cambria Math"/>
                <w:sz w:val="20"/>
                <w:szCs w:val="20"/>
              </w:rPr>
              <m:t>MWh</m:t>
            </m:r>
          </m:e>
          <m:sub>
            <m:r>
              <w:rPr>
                <w:rFonts w:ascii="Cambria Math" w:hAnsi="Cambria Math"/>
                <w:sz w:val="20"/>
                <w:szCs w:val="20"/>
              </w:rPr>
              <m:t>fuel</m:t>
            </m:r>
          </m:sub>
        </m:sSub>
      </m:oMath>
      <w:r>
        <w:rPr>
          <w:sz w:val="20"/>
          <w:szCs w:val="20"/>
        </w:rPr>
        <w:t xml:space="preserve"> (gas CO₂ emission factor).</w:t>
      </w:r>
    </w:p>
    <w:p w14:paraId="69FF3445" w14:textId="77777777" w:rsidR="005F502E" w:rsidRDefault="00000000">
      <w:pPr>
        <w:spacing w:after="200"/>
      </w:pPr>
      <w:r>
        <w:rPr>
          <w:i/>
          <w:iCs/>
          <w:sz w:val="20"/>
          <w:szCs w:val="20"/>
        </w:rPr>
        <w:t>2.6 Optimization – System Sizing</w:t>
      </w:r>
    </w:p>
    <w:p w14:paraId="7E851E6B" w14:textId="77777777" w:rsidR="005F502E" w:rsidRDefault="00000000">
      <w:pPr>
        <w:spacing w:after="200"/>
        <w:jc w:val="both"/>
      </w:pPr>
      <w:r>
        <w:rPr>
          <w:sz w:val="20"/>
          <w:szCs w:val="20"/>
        </w:rPr>
        <w:t>To get the optimized system size to minimize cost, we sized the co-located solar panels with heat pump or heat battery solution using a linear program (HiGHS). Both of those solutions will pipe heat into the industrial facility. The linear program is defined as follows.</w:t>
      </w:r>
    </w:p>
    <w:p w14:paraId="53ECE987" w14:textId="77777777" w:rsidR="005F502E" w:rsidRDefault="00000000">
      <w:pPr>
        <w:spacing w:before="120" w:after="80"/>
      </w:pPr>
      <w:r>
        <w:rPr>
          <w:b/>
          <w:bCs/>
          <w:sz w:val="20"/>
          <w:szCs w:val="20"/>
        </w:rPr>
        <w:t>Objective</w:t>
      </w:r>
    </w:p>
    <w:p w14:paraId="42C7C738" w14:textId="77777777" w:rsidR="005F502E" w:rsidRDefault="00000000">
      <w:pPr>
        <w:spacing w:after="80"/>
        <w:jc w:val="center"/>
      </w:pPr>
      <m:oMathPara>
        <m:oMath>
          <m:r>
            <w:rPr>
              <w:rFonts w:ascii="Cambria Math" w:hAnsi="Cambria Math"/>
              <w:sz w:val="20"/>
              <w:szCs w:val="20"/>
            </w:rPr>
            <m:t xml:space="preserve">min  </m:t>
          </m:r>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Q</m:t>
                  </m:r>
                </m:e>
                <m:sup>
                  <m:r>
                    <w:rPr>
                      <w:rFonts w:ascii="Cambria Math" w:hAnsi="Cambria Math"/>
                      <w:sz w:val="20"/>
                      <w:szCs w:val="20"/>
                    </w:rPr>
                    <m:t>dem</m:t>
                  </m:r>
                </m:sup>
              </m:sSup>
            </m:den>
          </m:f>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S</m:t>
              </m:r>
            </m:sub>
          </m:sSub>
          <m:r>
            <w:rPr>
              <w:rFonts w:ascii="Cambria Math" w:hAnsi="Cambria Math"/>
              <w:sz w:val="20"/>
              <w:szCs w:val="20"/>
            </w:rPr>
            <m:t xml:space="preserve"> S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E</m:t>
              </m:r>
            </m:sub>
            <m:sup>
              <m:r>
                <w:rPr>
                  <w:rFonts w:ascii="Cambria Math" w:hAnsi="Cambria Math"/>
                  <w:sz w:val="20"/>
                  <w:szCs w:val="20"/>
                </w:rPr>
                <m:t>Li</m:t>
              </m:r>
            </m:sup>
          </m:sSubSup>
          <m:r>
            <w:rPr>
              <w:rFonts w:ascii="Cambria Math" w:hAnsi="Cambria Math"/>
              <w:sz w:val="20"/>
              <w:szCs w:val="20"/>
            </w:rPr>
            <m:t xml:space="preserve"> </m:t>
          </m:r>
          <m:sSup>
            <m:sSupPr>
              <m:ctrlPr>
                <w:rPr>
                  <w:rFonts w:ascii="Cambria Math" w:hAnsi="Cambria Math"/>
                </w:rPr>
              </m:ctrlPr>
            </m:sSupPr>
            <m:e>
              <m:r>
                <w:rPr>
                  <w:rFonts w:ascii="Cambria Math" w:hAnsi="Cambria Math"/>
                  <w:sz w:val="20"/>
                  <w:szCs w:val="20"/>
                </w:rPr>
                <m:t>E</m:t>
              </m:r>
            </m:e>
            <m:sup>
              <m:r>
                <w:rPr>
                  <w:rFonts w:ascii="Cambria Math" w:hAnsi="Cambria Math"/>
                  <w:sz w:val="20"/>
                  <w:szCs w:val="20"/>
                </w:rPr>
                <m:t>Li</m:t>
              </m:r>
            </m:sup>
          </m:sSup>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P</m:t>
              </m:r>
            </m:sub>
            <m:sup>
              <m:r>
                <w:rPr>
                  <w:rFonts w:ascii="Cambria Math" w:hAnsi="Cambria Math"/>
                  <w:sz w:val="20"/>
                  <w:szCs w:val="20"/>
                </w:rPr>
                <m:t>Li</m:t>
              </m:r>
            </m:sup>
          </m:sSubSup>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dis</m:t>
              </m:r>
            </m:sub>
            <m:sup>
              <m:r>
                <w:rPr>
                  <w:rFonts w:ascii="Cambria Math" w:hAnsi="Cambria Math"/>
                  <w:sz w:val="20"/>
                  <w:szCs w:val="20"/>
                </w:rPr>
                <m:t>Li</m:t>
              </m:r>
            </m:sup>
          </m:sSubSup>
          <m:r>
            <w:rPr>
              <w:rFonts w:ascii="Cambria Math" w:hAnsi="Cambria Math"/>
              <w:sz w:val="20"/>
              <w:szCs w:val="20"/>
            </w:rPr>
            <m:t xml:space="preserve"> +</m:t>
          </m:r>
        </m:oMath>
      </m:oMathPara>
    </w:p>
    <w:p w14:paraId="05328DC2" w14:textId="77777777" w:rsidR="005F502E" w:rsidRDefault="00000000">
      <w:pPr>
        <w:tabs>
          <w:tab w:val="right" w:pos="4390"/>
        </w:tabs>
        <w:spacing w:before="80" w:after="80"/>
        <w:jc w:val="center"/>
      </w:pPr>
      <m:oMath>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b∈B(IHB)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in</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ch</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out</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dis</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E</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b</m:t>
            </m:r>
          </m:sub>
        </m:sSub>
        <m:r>
          <w:rPr>
            <w:rFonts w:ascii="Cambria Math" w:hAnsi="Cambria Math"/>
            <w:sz w:val="20"/>
            <w:szCs w:val="20"/>
          </w:rPr>
          <m:t>])</m:t>
        </m:r>
      </m:oMath>
      <w:r>
        <w:rPr>
          <w:sz w:val="20"/>
          <w:szCs w:val="20"/>
        </w:rPr>
        <w:tab/>
        <w:t>(2)</w:t>
      </w:r>
    </w:p>
    <w:p w14:paraId="7F74F9DB" w14:textId="77777777" w:rsidR="005F502E" w:rsidRDefault="00000000">
      <w:pPr>
        <w:spacing w:before="120" w:after="80"/>
      </w:pPr>
      <w:r>
        <w:rPr>
          <w:b/>
          <w:bCs/>
          <w:sz w:val="20"/>
          <w:szCs w:val="20"/>
        </w:rPr>
        <w:t>Sets and parameters</w:t>
      </w:r>
    </w:p>
    <w:p w14:paraId="79ED9C83" w14:textId="77777777" w:rsidR="005F502E" w:rsidRDefault="00000000">
      <w:pPr>
        <w:spacing w:after="200"/>
        <w:jc w:val="both"/>
      </w:pPr>
      <m:oMath>
        <m:r>
          <w:rPr>
            <w:rFonts w:ascii="Cambria Math" w:hAnsi="Cambria Math"/>
            <w:sz w:val="20"/>
            <w:szCs w:val="20"/>
          </w:rPr>
          <m:t>c ∈ {1,…,K}</m:t>
        </m:r>
      </m:oMath>
      <w:r>
        <w:rPr>
          <w:sz w:val="20"/>
          <w:szCs w:val="20"/>
        </w:rPr>
        <w:t xml:space="preserve">: days in the year.  </w:t>
      </w:r>
      <m:oMath>
        <m:r>
          <w:rPr>
            <w:rFonts w:ascii="Cambria Math" w:hAnsi="Cambria Math"/>
            <w:sz w:val="20"/>
            <w:szCs w:val="20"/>
          </w:rPr>
          <m:t>t ∈ {1,…,H}</m:t>
        </m:r>
      </m:oMath>
      <w:r>
        <w:rPr>
          <w:sz w:val="20"/>
          <w:szCs w:val="20"/>
        </w:rPr>
        <w:t xml:space="preserve">: hours (H = 24), with t − 1 ≡ H when t = 1.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B(HP)</m:t>
            </m:r>
          </m:sub>
        </m:sSub>
      </m:oMath>
      <w:r>
        <w:rPr>
          <w:sz w:val="20"/>
          <w:szCs w:val="20"/>
        </w:rPr>
        <w:t xml:space="preserve">: heat-pump bands (COP &gt; 1), covering &lt;100°C and 100–200°C.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B(IHB)</m:t>
            </m:r>
          </m:sub>
        </m:sSub>
      </m:oMath>
      <w:r>
        <w:rPr>
          <w:sz w:val="20"/>
          <w:szCs w:val="20"/>
        </w:rPr>
        <w:t xml:space="preserve">: industrial-heat-battery bands (COP ≤ 1), covering ≥200°C.  Round-trip efficiencies enter as </w:t>
      </w:r>
      <m:oMath>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Li</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e>
        </m:rad>
        <m:r>
          <w:rPr>
            <w:rFonts w:ascii="Cambria Math" w:hAnsi="Cambria Math"/>
            <w:sz w:val="20"/>
            <w:szCs w:val="20"/>
          </w:rPr>
          <m:t xml:space="preserve"> and </m:t>
        </m:r>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IHB</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e>
        </m:rad>
      </m:oMath>
      <w:r>
        <w:rPr>
          <w:sz w:val="20"/>
          <w:szCs w:val="20"/>
        </w:rPr>
        <w:t xml:space="preserve">, with </w:t>
      </w:r>
      <m:oMath>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r>
          <w:rPr>
            <w:rFonts w:ascii="Cambria Math" w:hAnsi="Cambria Math"/>
            <w:sz w:val="20"/>
            <w:szCs w:val="20"/>
          </w:rPr>
          <m:t xml:space="preserve"> = 0.90, </m:t>
        </m:r>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r>
          <w:rPr>
            <w:rFonts w:ascii="Cambria Math" w:hAnsi="Cambria Math"/>
            <w:sz w:val="20"/>
            <w:szCs w:val="20"/>
          </w:rPr>
          <m:t xml:space="preserve"> = 0.95</m:t>
        </m:r>
      </m:oMath>
      <w:r>
        <w:rPr>
          <w:sz w:val="20"/>
          <w:szCs w:val="20"/>
        </w:rPr>
        <w:t xml:space="preserve">, and maximum Li-ion duration </w:t>
      </w:r>
      <m:oMath>
        <m:sSup>
          <m:sSupPr>
            <m:ctrlPr>
              <w:rPr>
                <w:rFonts w:ascii="Cambria Math" w:hAnsi="Cambria Math"/>
              </w:rPr>
            </m:ctrlPr>
          </m:sSupPr>
          <m:e>
            <m:r>
              <w:rPr>
                <w:rFonts w:ascii="Cambria Math" w:hAnsi="Cambria Math"/>
                <w:sz w:val="20"/>
                <w:szCs w:val="20"/>
              </w:rPr>
              <m:t>h</m:t>
            </m:r>
          </m:e>
          <m:sup>
            <m:r>
              <w:rPr>
                <w:rFonts w:ascii="Cambria Math" w:hAnsi="Cambria Math"/>
                <w:sz w:val="20"/>
                <w:szCs w:val="20"/>
              </w:rPr>
              <m:t>max</m:t>
            </m:r>
          </m:sup>
        </m:sSup>
        <m:r>
          <w:rPr>
            <w:rFonts w:ascii="Cambria Math" w:hAnsi="Cambria Math"/>
            <w:sz w:val="20"/>
            <w:szCs w:val="20"/>
          </w:rPr>
          <m:t xml:space="preserve"> = 16 </m:t>
        </m:r>
        <m:r>
          <w:rPr>
            <w:rFonts w:ascii="Cambria Math" w:hAnsi="Cambria Math"/>
            <w:sz w:val="20"/>
            <w:szCs w:val="20"/>
          </w:rPr>
          <m:t>h</m:t>
        </m:r>
      </m:oMath>
      <w:r>
        <w:rPr>
          <w:sz w:val="20"/>
          <w:szCs w:val="20"/>
        </w:rPr>
        <w:t>.</w:t>
      </w:r>
    </w:p>
    <w:p w14:paraId="2B9A40C2" w14:textId="77777777" w:rsidR="005F502E" w:rsidRDefault="00000000">
      <w:pPr>
        <w:spacing w:before="120" w:after="80"/>
      </w:pPr>
      <w:r>
        <w:rPr>
          <w:b/>
          <w:bCs/>
          <w:sz w:val="20"/>
          <w:szCs w:val="20"/>
        </w:rPr>
        <w:t>Subject to</w:t>
      </w:r>
    </w:p>
    <w:p w14:paraId="1769489A" w14:textId="77777777" w:rsidR="0057568A" w:rsidRDefault="0057568A" w:rsidP="0057568A">
      <w:pPr>
        <w:pStyle w:val="ListParagraph"/>
        <w:numPr>
          <w:ilvl w:val="0"/>
          <w:numId w:val="8"/>
        </w:numPr>
        <w:spacing w:after="200"/>
        <w:jc w:val="both"/>
        <w:rPr>
          <w:sz w:val="20"/>
          <w:szCs w:val="20"/>
        </w:rPr>
      </w:pPr>
      <w:r w:rsidRPr="0057568A">
        <w:rPr>
          <w:sz w:val="20"/>
          <w:szCs w:val="20"/>
        </w:rPr>
        <w:t>Solar capacity is capped by available land at a fixed density of 50 MWdc/km².</w:t>
      </w:r>
    </w:p>
    <w:p w14:paraId="37777D12" w14:textId="77777777" w:rsidR="0057568A" w:rsidRDefault="0057568A" w:rsidP="0057568A">
      <w:pPr>
        <w:pStyle w:val="ListParagraph"/>
        <w:numPr>
          <w:ilvl w:val="0"/>
          <w:numId w:val="8"/>
        </w:numPr>
        <w:spacing w:after="200"/>
        <w:jc w:val="both"/>
        <w:rPr>
          <w:sz w:val="20"/>
          <w:szCs w:val="20"/>
        </w:rPr>
      </w:pPr>
      <w:r w:rsidRPr="0057568A">
        <w:rPr>
          <w:sz w:val="20"/>
          <w:szCs w:val="20"/>
        </w:rPr>
        <w:t>Li-ion battery energy is limited to a 16-hour maximum discharge duration.</w:t>
      </w:r>
    </w:p>
    <w:p w14:paraId="442E3BED" w14:textId="77777777" w:rsidR="0057568A" w:rsidRDefault="0057568A" w:rsidP="0057568A">
      <w:pPr>
        <w:pStyle w:val="ListParagraph"/>
        <w:numPr>
          <w:ilvl w:val="0"/>
          <w:numId w:val="8"/>
        </w:numPr>
        <w:spacing w:after="200"/>
        <w:jc w:val="both"/>
        <w:rPr>
          <w:sz w:val="20"/>
          <w:szCs w:val="20"/>
        </w:rPr>
      </w:pPr>
      <w:r w:rsidRPr="0057568A">
        <w:rPr>
          <w:sz w:val="20"/>
          <w:szCs w:val="20"/>
        </w:rPr>
        <w:t>At each hour, solar generation is allocated across heat-pump demand, Li-ion charging, and industrial-heat-battery charging.</w:t>
      </w:r>
    </w:p>
    <w:p w14:paraId="4DFE2A85" w14:textId="77777777" w:rsidR="0057568A" w:rsidRDefault="0057568A" w:rsidP="0057568A">
      <w:pPr>
        <w:pStyle w:val="ListParagraph"/>
        <w:numPr>
          <w:ilvl w:val="0"/>
          <w:numId w:val="8"/>
        </w:numPr>
        <w:spacing w:after="200"/>
        <w:jc w:val="both"/>
        <w:rPr>
          <w:sz w:val="20"/>
          <w:szCs w:val="20"/>
        </w:rPr>
      </w:pPr>
      <w:r w:rsidRPr="0057568A">
        <w:rPr>
          <w:sz w:val="20"/>
          <w:szCs w:val="20"/>
        </w:rPr>
        <w:t>Heat-pump output (COP-adjusted, including battery-buffered supply) matches each band's flat thermal load.</w:t>
      </w:r>
    </w:p>
    <w:p w14:paraId="3A8C42C6" w14:textId="77777777" w:rsidR="0057568A" w:rsidRDefault="0057568A" w:rsidP="0057568A">
      <w:pPr>
        <w:pStyle w:val="ListParagraph"/>
        <w:numPr>
          <w:ilvl w:val="0"/>
          <w:numId w:val="8"/>
        </w:numPr>
        <w:spacing w:after="200"/>
        <w:jc w:val="both"/>
        <w:rPr>
          <w:sz w:val="20"/>
          <w:szCs w:val="20"/>
        </w:rPr>
      </w:pPr>
      <w:r w:rsidRPr="0057568A">
        <w:rPr>
          <w:sz w:val="20"/>
          <w:szCs w:val="20"/>
        </w:rPr>
        <w:t>Industrial-heat-battery output and state-of-charge evolve hour to hour based on charging and discharging, net of round-trip efficiency losses.</w:t>
      </w:r>
    </w:p>
    <w:p w14:paraId="2210081B" w14:textId="243FB194" w:rsidR="0057568A" w:rsidRPr="0057568A" w:rsidRDefault="0057568A" w:rsidP="0057568A">
      <w:pPr>
        <w:pStyle w:val="ListParagraph"/>
        <w:numPr>
          <w:ilvl w:val="0"/>
          <w:numId w:val="8"/>
        </w:numPr>
        <w:spacing w:after="200"/>
        <w:jc w:val="both"/>
        <w:rPr>
          <w:sz w:val="20"/>
          <w:szCs w:val="20"/>
        </w:rPr>
      </w:pPr>
      <w:r w:rsidRPr="0057568A">
        <w:rPr>
          <w:sz w:val="20"/>
          <w:szCs w:val="20"/>
        </w:rPr>
        <w:t>Annual unserved heat is capped at (1−α) of demand, enforcing the target availability level α.</w:t>
      </w:r>
    </w:p>
    <w:p w14:paraId="5C13A81B" w14:textId="0D70D61A" w:rsidR="0057568A" w:rsidRPr="0057568A" w:rsidRDefault="0057568A" w:rsidP="0057568A">
      <w:pPr>
        <w:spacing w:after="200"/>
        <w:jc w:val="both"/>
        <w:rPr>
          <w:sz w:val="20"/>
          <w:szCs w:val="20"/>
        </w:rPr>
      </w:pPr>
      <w:r w:rsidRPr="0057568A">
        <w:rPr>
          <w:sz w:val="20"/>
          <w:szCs w:val="20"/>
        </w:rPr>
        <w:t>All capacities and dispatch variables are non-negative.</w:t>
      </w:r>
    </w:p>
    <w:p w14:paraId="6EB2FA41" w14:textId="77777777" w:rsidR="0057568A" w:rsidRDefault="0057568A" w:rsidP="0057568A">
      <w:pPr>
        <w:spacing w:after="200"/>
        <w:jc w:val="both"/>
        <w:rPr>
          <w:sz w:val="20"/>
          <w:szCs w:val="20"/>
        </w:rPr>
      </w:pPr>
      <w:r w:rsidRPr="0057568A">
        <w:rPr>
          <w:sz w:val="20"/>
          <w:szCs w:val="20"/>
        </w:rPr>
        <w:t>The model is solved as a facility-level linear program (HiGHS) over 2023 PVGIS hourly profiles. Shared solar capacity feeds heat-pump bands (below 200°C, buffered by a Li-ion battery) and industrial-heat-battery bands (at or above 200°C, resistively charged into a thermal store).</w:t>
      </w:r>
    </w:p>
    <w:p w14:paraId="3584A798" w14:textId="1D4156FD" w:rsidR="00D37F49" w:rsidRDefault="00000000" w:rsidP="0057568A">
      <w:pPr>
        <w:spacing w:after="200"/>
        <w:jc w:val="both"/>
        <w:rPr>
          <w:b/>
          <w:bCs/>
          <w:iCs/>
          <w:color w:val="000000" w:themeColor="text1"/>
          <w:sz w:val="20"/>
          <w:szCs w:val="20"/>
        </w:rPr>
      </w:pPr>
      <w:r>
        <w:rPr>
          <w:sz w:val="20"/>
          <w:szCs w:val="20"/>
        </w:rPr>
        <w:t xml:space="preserve">Utilizing the hourly solar profiles and the flat-load heat demand, we optimized for availability level at 90%. If that site does not meet 90% availability below gas heat benchmark, then optimization will be run at the next highest decile availability until it is below gas heat benchmark. </w:t>
      </w:r>
      <w:r>
        <w:rPr>
          <w:bCs/>
          <w:iCs/>
          <w:color w:val="000000" w:themeColor="text1"/>
          <w:sz w:val="20"/>
          <w:szCs w:val="20"/>
        </w:rPr>
        <w:t xml:space="preserve">After sizing the solar panels and batteries for both the 5km and 15km radius, the total availability for each plant is averaged and aggregated to get the total amount of heat decarbonized and the heat weighted LCOH at the two buffer zones. </w:t>
      </w:r>
    </w:p>
    <w:p w14:paraId="3D1E4E62" w14:textId="77777777" w:rsidR="00FF39E7" w:rsidRDefault="00FF39E7" w:rsidP="00FF39E7">
      <w:pPr>
        <w:pStyle w:val="PaperHeading"/>
        <w:rPr>
          <w:color w:val="000000" w:themeColor="text1"/>
        </w:rPr>
      </w:pPr>
      <w:r>
        <w:rPr>
          <w:color w:val="000000" w:themeColor="text1"/>
        </w:rPr>
        <w:t>3</w:t>
      </w:r>
      <w:r>
        <w:rPr>
          <w:color w:val="000000" w:themeColor="text1"/>
        </w:rPr>
        <w:tab/>
        <w:t>Results</w:t>
      </w:r>
    </w:p>
    <w:p w14:paraId="2A3FCB18" w14:textId="77777777" w:rsidR="00526588" w:rsidRDefault="00526588" w:rsidP="00526588">
      <w:pPr>
        <w:rPr>
          <w:sz w:val="20"/>
          <w:szCs w:val="20"/>
        </w:rPr>
      </w:pPr>
      <w:r>
        <w:rPr>
          <w:sz w:val="20"/>
          <w:szCs w:val="20"/>
        </w:rPr>
        <w:t>Table 2 Share of replaceable process heat served and levelized cost of heat (LCOH) at 5 km and 15 km buffer zones</w:t>
      </w:r>
    </w:p>
    <w:tbl>
      <w:tblPr>
        <w:tblW w:w="4535" w:type="dxa"/>
        <w:tblBorders>
          <w:top w:val="single" w:sz="8" w:space="0" w:color="auto"/>
          <w:bottom w:val="single" w:sz="8" w:space="0" w:color="auto"/>
        </w:tblBorders>
        <w:tblLayout w:type="fixed"/>
        <w:tblLook w:val="04A0" w:firstRow="1" w:lastRow="0" w:firstColumn="1" w:lastColumn="0" w:noHBand="0" w:noVBand="1"/>
      </w:tblPr>
      <w:tblGrid>
        <w:gridCol w:w="2195"/>
        <w:gridCol w:w="1170"/>
        <w:gridCol w:w="1170"/>
      </w:tblGrid>
      <w:tr w:rsidR="00526588" w:rsidRPr="008756EA" w14:paraId="232B1098" w14:textId="77777777" w:rsidTr="00C96D5F">
        <w:trPr>
          <w:trHeight w:val="153"/>
          <w:tblHeader/>
        </w:trPr>
        <w:tc>
          <w:tcPr>
            <w:tcW w:w="2195" w:type="dxa"/>
            <w:tcBorders>
              <w:bottom w:val="single" w:sz="8" w:space="0" w:color="auto"/>
            </w:tcBorders>
            <w:hideMark/>
          </w:tcPr>
          <w:p w14:paraId="6C5F1BD4" w14:textId="77777777" w:rsidR="00526588" w:rsidRPr="008756EA" w:rsidRDefault="00526588" w:rsidP="00C96D5F">
            <w:pPr>
              <w:pStyle w:val="PaperHeading"/>
              <w:spacing w:after="0"/>
              <w:rPr>
                <w:color w:val="000000" w:themeColor="text1"/>
                <w:sz w:val="20"/>
                <w:szCs w:val="20"/>
                <w:lang w:val="en-US"/>
              </w:rPr>
            </w:pPr>
          </w:p>
        </w:tc>
        <w:tc>
          <w:tcPr>
            <w:tcW w:w="1170" w:type="dxa"/>
            <w:tcBorders>
              <w:bottom w:val="single" w:sz="8" w:space="0" w:color="auto"/>
            </w:tcBorders>
            <w:hideMark/>
          </w:tcPr>
          <w:p w14:paraId="17BB7221" w14:textId="77777777" w:rsidR="00526588" w:rsidRPr="008756EA" w:rsidRDefault="00526588" w:rsidP="00C96D5F">
            <w:pPr>
              <w:pStyle w:val="PaperHeading"/>
              <w:spacing w:after="0"/>
              <w:rPr>
                <w:color w:val="000000" w:themeColor="text1"/>
                <w:sz w:val="20"/>
                <w:szCs w:val="20"/>
                <w:lang w:val="en-US"/>
              </w:rPr>
            </w:pPr>
            <w:r>
              <w:rPr>
                <w:color w:val="000000" w:themeColor="text1"/>
                <w:sz w:val="20"/>
                <w:szCs w:val="20"/>
                <w:lang w:val="en-US"/>
              </w:rPr>
              <w:t>5 km</w:t>
            </w:r>
          </w:p>
        </w:tc>
        <w:tc>
          <w:tcPr>
            <w:tcW w:w="1170" w:type="dxa"/>
            <w:tcBorders>
              <w:bottom w:val="single" w:sz="8" w:space="0" w:color="auto"/>
            </w:tcBorders>
            <w:hideMark/>
          </w:tcPr>
          <w:p w14:paraId="0D1614DD" w14:textId="77777777" w:rsidR="00526588" w:rsidRPr="008756EA" w:rsidRDefault="00526588" w:rsidP="00C96D5F">
            <w:pPr>
              <w:pStyle w:val="PaperHeading"/>
              <w:spacing w:after="0"/>
              <w:rPr>
                <w:color w:val="000000" w:themeColor="text1"/>
                <w:sz w:val="20"/>
                <w:szCs w:val="20"/>
                <w:lang w:val="en-US"/>
              </w:rPr>
            </w:pPr>
            <w:r>
              <w:rPr>
                <w:color w:val="000000" w:themeColor="text1"/>
                <w:sz w:val="20"/>
                <w:szCs w:val="20"/>
                <w:lang w:val="en-US"/>
              </w:rPr>
              <w:t>15 km</w:t>
            </w:r>
          </w:p>
        </w:tc>
      </w:tr>
      <w:tr w:rsidR="00526588" w:rsidRPr="008756EA" w14:paraId="226DCDA2" w14:textId="77777777" w:rsidTr="00C96D5F">
        <w:trPr>
          <w:trHeight w:val="728"/>
        </w:trPr>
        <w:tc>
          <w:tcPr>
            <w:tcW w:w="2195" w:type="dxa"/>
            <w:hideMark/>
          </w:tcPr>
          <w:p w14:paraId="4628546F" w14:textId="77777777" w:rsidR="00526588" w:rsidRPr="00F256C4" w:rsidRDefault="00526588" w:rsidP="00C96D5F">
            <w:pPr>
              <w:pStyle w:val="PaperHeading"/>
              <w:spacing w:after="0"/>
              <w:jc w:val="left"/>
              <w:rPr>
                <w:color w:val="000000" w:themeColor="text1"/>
                <w:sz w:val="20"/>
                <w:szCs w:val="20"/>
                <w:lang w:val="en-US"/>
              </w:rPr>
            </w:pPr>
            <w:r>
              <w:rPr>
                <w:color w:val="000000" w:themeColor="text1"/>
                <w:sz w:val="20"/>
                <w:szCs w:val="20"/>
                <w:lang w:val="en-US"/>
              </w:rPr>
              <w:t>Served (highest served under gas prices)</w:t>
            </w:r>
          </w:p>
        </w:tc>
        <w:tc>
          <w:tcPr>
            <w:tcW w:w="1170" w:type="dxa"/>
            <w:hideMark/>
          </w:tcPr>
          <w:p w14:paraId="143C0F87" w14:textId="77777777" w:rsidR="00526588"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58.8%</w:t>
            </w:r>
          </w:p>
          <w:p w14:paraId="5F2C626B"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(307 TWh)</w:t>
            </w:r>
          </w:p>
        </w:tc>
        <w:tc>
          <w:tcPr>
            <w:tcW w:w="1170" w:type="dxa"/>
            <w:hideMark/>
          </w:tcPr>
          <w:p w14:paraId="44C87B70" w14:textId="77777777" w:rsidR="00526588"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84.4%</w:t>
            </w:r>
          </w:p>
          <w:p w14:paraId="5A3445FC"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(441 TWh)</w:t>
            </w:r>
          </w:p>
        </w:tc>
      </w:tr>
      <w:tr w:rsidR="00526588" w:rsidRPr="008756EA" w14:paraId="6EE85365" w14:textId="77777777" w:rsidTr="00C96D5F">
        <w:trPr>
          <w:trHeight w:val="477"/>
        </w:trPr>
        <w:tc>
          <w:tcPr>
            <w:tcW w:w="2195" w:type="dxa"/>
            <w:hideMark/>
          </w:tcPr>
          <w:p w14:paraId="697687B5" w14:textId="77777777" w:rsidR="00526588" w:rsidRPr="008756EA" w:rsidRDefault="00526588" w:rsidP="00C96D5F">
            <w:pPr>
              <w:pStyle w:val="PaperHeading"/>
              <w:spacing w:after="0"/>
              <w:jc w:val="left"/>
              <w:rPr>
                <w:color w:val="000000" w:themeColor="text1"/>
                <w:sz w:val="20"/>
                <w:szCs w:val="20"/>
                <w:lang w:val="en-US"/>
              </w:rPr>
            </w:pPr>
            <w:r>
              <w:rPr>
                <w:color w:val="000000" w:themeColor="text1"/>
                <w:sz w:val="20"/>
                <w:szCs w:val="20"/>
                <w:lang w:val="en-US"/>
              </w:rPr>
              <w:t>LCOH (highest served under gas prices)</w:t>
            </w:r>
          </w:p>
        </w:tc>
        <w:tc>
          <w:tcPr>
            <w:tcW w:w="1170" w:type="dxa"/>
            <w:hideMark/>
          </w:tcPr>
          <w:p w14:paraId="03410C04"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€55</w:t>
            </w:r>
          </w:p>
        </w:tc>
        <w:tc>
          <w:tcPr>
            <w:tcW w:w="1170" w:type="dxa"/>
            <w:hideMark/>
          </w:tcPr>
          <w:p w14:paraId="7176A016"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€62</w:t>
            </w:r>
          </w:p>
        </w:tc>
      </w:tr>
      <w:tr w:rsidR="00526588" w:rsidRPr="008756EA" w14:paraId="2153D822" w14:textId="77777777" w:rsidTr="00C96D5F">
        <w:trPr>
          <w:trHeight w:val="504"/>
        </w:trPr>
        <w:tc>
          <w:tcPr>
            <w:tcW w:w="2195" w:type="dxa"/>
            <w:hideMark/>
          </w:tcPr>
          <w:p w14:paraId="61D42D92" w14:textId="77777777" w:rsidR="00526588" w:rsidRDefault="00526588" w:rsidP="00C96D5F">
            <w:pPr>
              <w:pStyle w:val="PaperHeading"/>
              <w:spacing w:after="0"/>
              <w:rPr>
                <w:color w:val="000000" w:themeColor="text1"/>
                <w:sz w:val="20"/>
                <w:szCs w:val="20"/>
                <w:lang w:val="en-US"/>
              </w:rPr>
            </w:pPr>
            <w:r>
              <w:rPr>
                <w:color w:val="000000" w:themeColor="text1"/>
                <w:sz w:val="20"/>
                <w:szCs w:val="20"/>
                <w:lang w:val="en-US"/>
              </w:rPr>
              <w:t xml:space="preserve">Served </w:t>
            </w:r>
          </w:p>
          <w:p w14:paraId="23E518D3" w14:textId="77777777" w:rsidR="00526588" w:rsidRPr="008756EA" w:rsidRDefault="00526588" w:rsidP="00C96D5F">
            <w:pPr>
              <w:pStyle w:val="PaperHeading"/>
              <w:spacing w:after="0"/>
              <w:rPr>
                <w:color w:val="000000" w:themeColor="text1"/>
                <w:sz w:val="20"/>
                <w:szCs w:val="20"/>
                <w:lang w:val="en-US"/>
              </w:rPr>
            </w:pPr>
            <w:r>
              <w:rPr>
                <w:color w:val="000000" w:themeColor="text1"/>
                <w:sz w:val="20"/>
                <w:szCs w:val="20"/>
                <w:lang w:val="en-US"/>
              </w:rPr>
              <w:t>(max savings vs €93)</w:t>
            </w:r>
          </w:p>
        </w:tc>
        <w:tc>
          <w:tcPr>
            <w:tcW w:w="1170" w:type="dxa"/>
            <w:hideMark/>
          </w:tcPr>
          <w:p w14:paraId="26F627E0" w14:textId="77777777" w:rsidR="00526588"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53.2%</w:t>
            </w:r>
          </w:p>
          <w:p w14:paraId="4C649251"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(278 TWh)</w:t>
            </w:r>
          </w:p>
        </w:tc>
        <w:tc>
          <w:tcPr>
            <w:tcW w:w="1170" w:type="dxa"/>
            <w:hideMark/>
          </w:tcPr>
          <w:p w14:paraId="494E1461" w14:textId="77777777" w:rsidR="00526588"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72.1%</w:t>
            </w:r>
          </w:p>
          <w:p w14:paraId="537096BE"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(377 TWh)</w:t>
            </w:r>
          </w:p>
        </w:tc>
      </w:tr>
      <w:tr w:rsidR="00526588" w:rsidRPr="008756EA" w14:paraId="474BF787" w14:textId="77777777" w:rsidTr="00C96D5F">
        <w:trPr>
          <w:trHeight w:val="486"/>
        </w:trPr>
        <w:tc>
          <w:tcPr>
            <w:tcW w:w="2195" w:type="dxa"/>
            <w:hideMark/>
          </w:tcPr>
          <w:p w14:paraId="2897536A" w14:textId="77777777" w:rsidR="00526588" w:rsidRDefault="00526588" w:rsidP="00C96D5F">
            <w:pPr>
              <w:pStyle w:val="PaperHeading"/>
              <w:spacing w:after="0"/>
              <w:rPr>
                <w:color w:val="000000" w:themeColor="text1"/>
                <w:sz w:val="20"/>
                <w:szCs w:val="20"/>
                <w:lang w:val="en-US"/>
              </w:rPr>
            </w:pPr>
            <w:r>
              <w:rPr>
                <w:color w:val="000000" w:themeColor="text1"/>
                <w:sz w:val="20"/>
                <w:szCs w:val="20"/>
                <w:lang w:val="en-US"/>
              </w:rPr>
              <w:t xml:space="preserve">LCOH </w:t>
            </w:r>
          </w:p>
          <w:p w14:paraId="5067D2C9" w14:textId="77777777" w:rsidR="00526588" w:rsidRPr="008756EA" w:rsidRDefault="00526588" w:rsidP="00C96D5F">
            <w:pPr>
              <w:pStyle w:val="PaperHeading"/>
              <w:spacing w:after="0"/>
              <w:rPr>
                <w:color w:val="000000" w:themeColor="text1"/>
                <w:sz w:val="20"/>
                <w:szCs w:val="20"/>
                <w:lang w:val="en-US"/>
              </w:rPr>
            </w:pPr>
            <w:r>
              <w:rPr>
                <w:color w:val="000000" w:themeColor="text1"/>
                <w:sz w:val="20"/>
                <w:szCs w:val="20"/>
                <w:lang w:val="en-US"/>
              </w:rPr>
              <w:t>(max savings vs €93)</w:t>
            </w:r>
          </w:p>
        </w:tc>
        <w:tc>
          <w:tcPr>
            <w:tcW w:w="1170" w:type="dxa"/>
            <w:hideMark/>
          </w:tcPr>
          <w:p w14:paraId="3A0E5B96"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€41</w:t>
            </w:r>
          </w:p>
        </w:tc>
        <w:tc>
          <w:tcPr>
            <w:tcW w:w="1170" w:type="dxa"/>
            <w:hideMark/>
          </w:tcPr>
          <w:p w14:paraId="53DC58EA" w14:textId="77777777" w:rsidR="00526588" w:rsidRPr="008756EA" w:rsidRDefault="00526588" w:rsidP="00C96D5F">
            <w:pPr>
              <w:pStyle w:val="PaperHeading"/>
              <w:spacing w:after="0"/>
              <w:rPr>
                <w:b w:val="0"/>
                <w:bCs/>
                <w:color w:val="000000" w:themeColor="text1"/>
                <w:sz w:val="20"/>
                <w:szCs w:val="20"/>
                <w:lang w:val="en-US"/>
              </w:rPr>
            </w:pPr>
            <w:r>
              <w:rPr>
                <w:b w:val="0"/>
                <w:bCs/>
                <w:color w:val="000000" w:themeColor="text1"/>
                <w:sz w:val="20"/>
                <w:szCs w:val="20"/>
                <w:lang w:val="en-US"/>
              </w:rPr>
              <w:t>€42</w:t>
            </w:r>
          </w:p>
        </w:tc>
      </w:tr>
    </w:tbl>
    <w:p w14:paraId="467FA73E" w14:textId="77777777" w:rsidR="00526588" w:rsidRPr="00972F34" w:rsidRDefault="00526588" w:rsidP="00FC7E69">
      <w:pPr>
        <w:spacing w:after="200"/>
        <w:rPr>
          <w:sz w:val="20"/>
          <w:szCs w:val="20"/>
        </w:rPr>
      </w:pPr>
    </w:p>
    <w:p w14:paraId="4EB1C91D" w14:textId="413C6F1E" w:rsidR="00FC7E69" w:rsidRDefault="00FC7E69" w:rsidP="00FC7E69">
      <w:pPr>
        <w:spacing w:after="200"/>
        <w:rPr>
          <w:i/>
          <w:iCs/>
          <w:sz w:val="20"/>
          <w:szCs w:val="20"/>
        </w:rPr>
      </w:pPr>
      <w:r>
        <w:rPr>
          <w:i/>
          <w:iCs/>
          <w:sz w:val="20"/>
          <w:szCs w:val="20"/>
        </w:rPr>
        <w:t>3.1 Total heat % served and LCOH</w:t>
      </w:r>
    </w:p>
    <w:p w14:paraId="157D2A44" w14:textId="77777777" w:rsidR="00F256C4" w:rsidRPr="00F256C4" w:rsidRDefault="0071365E" w:rsidP="0071365E">
      <w:pPr>
        <w:spacing w:after="200"/>
        <w:rPr>
          <w:bCs/>
          <w:iCs/>
          <w:color w:val="000000" w:themeColor="text1"/>
          <w:sz w:val="20"/>
          <w:szCs w:val="20"/>
        </w:rPr>
      </w:pPr>
      <w:r>
        <w:rPr>
          <w:sz w:val="20"/>
          <w:szCs w:val="20"/>
        </w:rPr>
        <w:t xml:space="preserve">The aggregate replaceable heat demand served is analyzed in two ways: maximizing savings and maximizing heat demand. </w:t>
      </w:r>
      <w:r>
        <w:rPr>
          <w:bCs/>
          <w:iCs/>
          <w:color w:val="000000" w:themeColor="text1"/>
          <w:sz w:val="20"/>
          <w:szCs w:val="20"/>
        </w:rPr>
        <w:t xml:space="preserve">To maximize savings, a facility should aim for availability up to the maximum savings points. The remaining can be met with grid electricity or gas. To maximize heat demand served, a facility could overbuild solar panels while still being under gas prices resulting in a lower marginal benefit but is still gas competitive. Table 2 summarizes both framings at the 5 km and 15 km buffer zones.  </w:t>
      </w:r>
    </w:p>
    <w:p w14:paraId="7DCB262D" w14:textId="77777777" w:rsidR="0071365E" w:rsidRPr="0071365E" w:rsidRDefault="0071365E" w:rsidP="00FF39E7">
      <w:pPr>
        <w:spacing w:after="200"/>
        <w:jc w:val="both"/>
        <w:rPr>
          <w:color w:val="000000" w:themeColor="text1"/>
          <w:sz w:val="20"/>
          <w:szCs w:val="20"/>
        </w:rPr>
      </w:pPr>
      <w:r>
        <w:rPr>
          <w:color w:val="000000" w:themeColor="text1"/>
          <w:sz w:val="20"/>
          <w:szCs w:val="20"/>
        </w:rPr>
        <w:t xml:space="preserve">Figure 2 shows the average LCOH vs availability curve that can be used to observe the maximum saving point vs the gas-cap point. </w:t>
      </w:r>
    </w:p>
    <w:p w14:paraId="75848461" w14:textId="77777777" w:rsidR="00FC7E69" w:rsidRDefault="00FC7E69" w:rsidP="00FF39E7">
      <w:pPr>
        <w:pStyle w:val="PaperHeading"/>
        <w:rPr>
          <w:color w:val="000000" w:themeColor="text1"/>
        </w:rPr>
      </w:pPr>
      <w:r>
        <w:rPr>
          <w:noProof/>
          <w:color w:val="000000" w:themeColor="text1"/>
          <w:lang w:val="en-US"/>
        </w:rPr>
        <w:lastRenderedPageBreak/>
        <w:drawing>
          <wp:inline distT="0" distB="0" distL="0" distR="0" wp14:anchorId="3E336DCE" wp14:editId="6F6835A1">
            <wp:extent cx="3149600" cy="1731010"/>
            <wp:effectExtent l="0" t="0" r="0" b="0"/>
            <wp:docPr id="43" name="Picture 42">
              <a:extLst xmlns:a="http://schemas.openxmlformats.org/drawingml/2006/main">
                <a:ext uri="{FF2B5EF4-FFF2-40B4-BE49-F238E27FC236}">
                  <a16:creationId xmlns:a16="http://schemas.microsoft.com/office/drawing/2014/main" id="{4CA1F17E-93ED-B0C3-F2E1-9848C34000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4CA1F17E-93ED-B0C3-F2E1-9848C3400015}"/>
                        </a:ext>
                      </a:extLst>
                    </pic:cNvPr>
                    <pic:cNvPicPr>
                      <a:picLocks noChangeAspect="1"/>
                    </pic:cNvPicPr>
                  </pic:nvPicPr>
                  <pic:blipFill>
                    <a:blip r:embed="rId11"/>
                    <a:srcRect b="975"/>
                    <a:stretch>
                      <a:fillRect/>
                    </a:stretch>
                  </pic:blipFill>
                  <pic:spPr>
                    <a:xfrm>
                      <a:off x="0" y="0"/>
                      <a:ext cx="3149600" cy="1731010"/>
                    </a:xfrm>
                    <a:prstGeom prst="rect">
                      <a:avLst/>
                    </a:prstGeom>
                  </pic:spPr>
                </pic:pic>
              </a:graphicData>
            </a:graphic>
          </wp:inline>
        </w:drawing>
      </w:r>
    </w:p>
    <w:p w14:paraId="77D77CFD" w14:textId="77777777" w:rsidR="00370CC9" w:rsidRDefault="00000000">
      <w:pPr>
        <w:rPr>
          <w:sz w:val="20"/>
          <w:szCs w:val="20"/>
        </w:rPr>
      </w:pPr>
      <w:r>
        <w:rPr>
          <w:sz w:val="20"/>
          <w:szCs w:val="20"/>
        </w:rPr>
        <w:t>Fig. 2 EU fleet-average LCOH vs. availability achieved at 5 km and 15 km land buffer zones, relative to the €93/MWh gas-heat benchmark</w:t>
      </w:r>
    </w:p>
    <w:p w14:paraId="5E9FF4E0" w14:textId="77777777" w:rsidR="00931E67" w:rsidRDefault="00931E67">
      <w:pPr>
        <w:rPr>
          <w:sz w:val="20"/>
          <w:szCs w:val="20"/>
        </w:rPr>
      </w:pPr>
    </w:p>
    <w:p w14:paraId="20E2EA93" w14:textId="77777777" w:rsidR="00FC7E69" w:rsidRPr="00526DB7" w:rsidRDefault="00FC7E69" w:rsidP="00931E67">
      <w:pPr>
        <w:rPr>
          <w:i/>
          <w:iCs/>
          <w:sz w:val="20"/>
          <w:szCs w:val="20"/>
        </w:rPr>
      </w:pPr>
      <w:r>
        <w:rPr>
          <w:i/>
          <w:iCs/>
          <w:sz w:val="20"/>
          <w:szCs w:val="20"/>
        </w:rPr>
        <w:t>3.2 High temperature sector comparison</w:t>
      </w:r>
    </w:p>
    <w:p w14:paraId="3C4DDC33" w14:textId="77777777" w:rsidR="00814067" w:rsidRPr="00526DB7" w:rsidRDefault="00814067" w:rsidP="00814067">
      <w:pPr>
        <w:spacing w:after="200"/>
        <w:rPr>
          <w:sz w:val="20"/>
          <w:szCs w:val="20"/>
        </w:rPr>
      </w:pPr>
      <w:r>
        <w:rPr>
          <w:sz w:val="20"/>
          <w:szCs w:val="20"/>
        </w:rPr>
        <w:t xml:space="preserve">Steam cracking, iron &amp; steel sector have very large sites and have more heat intense processes (&gt; 500°C) resulting in much higher heat loads. These sectors require more hybrid solutions: increased land availability, utilizing grid electricity, co-firing with gas plants. </w:t>
      </w:r>
    </w:p>
    <w:p w14:paraId="12055F5B" w14:textId="77777777" w:rsidR="00814067" w:rsidRPr="00526DB7" w:rsidRDefault="00814067" w:rsidP="00896905">
      <w:pPr>
        <w:spacing w:after="200"/>
        <w:rPr>
          <w:sz w:val="20"/>
          <w:szCs w:val="20"/>
        </w:rPr>
      </w:pPr>
      <w:r>
        <w:rPr>
          <w:sz w:val="20"/>
          <w:szCs w:val="20"/>
        </w:rPr>
        <w:t>By increasing buffer zone around each site, over 80% of heat can be served in both sectors under gas prices. Grid electricity or gas plants are still needed to provide for the last 10-30% of demand.</w:t>
      </w:r>
    </w:p>
    <w:p w14:paraId="7327DCD4" w14:textId="77777777" w:rsidR="00896905" w:rsidRDefault="00896905" w:rsidP="00896905">
      <w:pPr>
        <w:spacing w:after="200"/>
        <w:rPr>
          <w:rFonts w:ascii="-apple-system" w:hAnsi="-apple-system"/>
          <w:sz w:val="21"/>
          <w:szCs w:val="21"/>
        </w:rPr>
      </w:pPr>
      <w:r>
        <w:rPr>
          <w:noProof/>
          <w:color w:val="000000" w:themeColor="text1"/>
        </w:rPr>
        <w:drawing>
          <wp:inline distT="0" distB="0" distL="0" distR="0" wp14:anchorId="7C6AD98F" wp14:editId="13E2E6FB">
            <wp:extent cx="3149600" cy="1562735"/>
            <wp:effectExtent l="0" t="0" r="0" b="0"/>
            <wp:docPr id="8" name="Picture 7">
              <a:extLst xmlns:a="http://schemas.openxmlformats.org/drawingml/2006/main">
                <a:ext uri="{FF2B5EF4-FFF2-40B4-BE49-F238E27FC236}">
                  <a16:creationId xmlns:a16="http://schemas.microsoft.com/office/drawing/2014/main" id="{67EFD8DF-80C4-940D-6ADB-51652F760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7EFD8DF-80C4-940D-6ADB-51652F760FFE}"/>
                        </a:ext>
                      </a:extLst>
                    </pic:cNvPr>
                    <pic:cNvPicPr>
                      <a:picLocks noChangeAspect="1"/>
                    </pic:cNvPicPr>
                  </pic:nvPicPr>
                  <pic:blipFill>
                    <a:blip r:embed="rId12"/>
                    <a:stretch>
                      <a:fillRect/>
                    </a:stretch>
                  </pic:blipFill>
                  <pic:spPr>
                    <a:xfrm>
                      <a:off x="0" y="0"/>
                      <a:ext cx="3149600" cy="1562735"/>
                    </a:xfrm>
                    <a:prstGeom prst="rect">
                      <a:avLst/>
                    </a:prstGeom>
                  </pic:spPr>
                </pic:pic>
              </a:graphicData>
            </a:graphic>
          </wp:inline>
        </w:drawing>
      </w:r>
    </w:p>
    <w:p w14:paraId="5B4FA8C0" w14:textId="77777777" w:rsidR="00370CC9" w:rsidRDefault="00000000">
      <w:pPr>
        <w:rPr>
          <w:sz w:val="20"/>
          <w:szCs w:val="20"/>
        </w:rPr>
      </w:pPr>
      <w:r>
        <w:rPr>
          <w:sz w:val="20"/>
          <w:szCs w:val="20"/>
        </w:rPr>
        <w:t>Fig. 3 LCOH vs. heat availability achieved for land-capped high-temperature industries at 5 km and 15 km buffer zones: (a) Iron &amp; steel, (b) Steam cracking</w:t>
      </w:r>
    </w:p>
    <w:p w14:paraId="3FFB65E4" w14:textId="77777777" w:rsidR="00A61599" w:rsidRDefault="00A61599">
      <w:pPr>
        <w:rPr>
          <w:sz w:val="20"/>
          <w:szCs w:val="20"/>
        </w:rPr>
      </w:pPr>
    </w:p>
    <w:p w14:paraId="1A09B1A2" w14:textId="77777777" w:rsidR="00D51B87" w:rsidRDefault="00D51B87" w:rsidP="00A61599">
      <w:pPr>
        <w:rPr>
          <w:i/>
          <w:iCs/>
          <w:sz w:val="20"/>
          <w:szCs w:val="20"/>
        </w:rPr>
      </w:pPr>
      <w:r>
        <w:rPr>
          <w:i/>
          <w:iCs/>
          <w:sz w:val="20"/>
          <w:szCs w:val="20"/>
        </w:rPr>
        <w:t>3.3 Country-level comparison</w:t>
      </w:r>
    </w:p>
    <w:p w14:paraId="00F04C34" w14:textId="74FE548F" w:rsidR="007B2EBE" w:rsidRPr="00896905" w:rsidRDefault="007B2EBE" w:rsidP="007B2EBE">
      <w:pPr>
        <w:spacing w:after="200"/>
        <w:jc w:val="both"/>
        <w:rPr>
          <w:color w:val="000000" w:themeColor="text1"/>
          <w:sz w:val="20"/>
          <w:szCs w:val="20"/>
        </w:rPr>
      </w:pPr>
      <w:r>
        <w:rPr>
          <w:color w:val="000000" w:themeColor="text1"/>
          <w:sz w:val="20"/>
          <w:szCs w:val="20"/>
        </w:rPr>
        <w:t>Germany, the Netherlands, and France have very large process-heat demand. With a ~15 km land buffer, a large majority can be served below country gas. At 5 km, Germany and the Netherlands remain more land constrained. Southern Europe (Greece, Spain, Italy, Portugal) is the strongest fit: Sites tend to be smaller, with better solar yield.</w:t>
      </w:r>
      <w:r w:rsidR="00E50A98" w:rsidRPr="00E50A98">
        <w:rPr>
          <w:color w:val="000000" w:themeColor="text1"/>
          <w:sz w:val="20"/>
          <w:szCs w:val="20"/>
        </w:rPr>
        <w:t xml:space="preserve"> </w:t>
      </w:r>
      <w:r w:rsidR="00E50A98">
        <w:rPr>
          <w:color w:val="000000" w:themeColor="text1"/>
          <w:sz w:val="20"/>
          <w:szCs w:val="20"/>
        </w:rPr>
        <w:t>~95% of demand served at LCOH roughly 70–75% of country gas cost.</w:t>
      </w:r>
    </w:p>
    <w:p w14:paraId="1DA80AC9" w14:textId="77777777" w:rsidR="007B2EBE" w:rsidRPr="00F453E2" w:rsidRDefault="007B2EBE" w:rsidP="00F453E2">
      <w:pPr>
        <w:spacing w:after="200"/>
        <w:jc w:val="both"/>
        <w:rPr>
          <w:color w:val="000000" w:themeColor="text1"/>
          <w:sz w:val="20"/>
          <w:szCs w:val="20"/>
        </w:rPr>
      </w:pPr>
      <w:r>
        <w:rPr>
          <w:color w:val="000000" w:themeColor="text1"/>
          <w:sz w:val="20"/>
          <w:szCs w:val="20"/>
        </w:rPr>
        <w:t>For high-temperature processes, this solution can decarbonize a high share of replaceable heat (~80% for steel and steam cracking at 15 km), even if not 100% everywhere. By meeting heat on-site with solar + storage, this package can reduce reliance on gas boilers and incremental electric load on the local grid, potentially easing upgrades and gas exposure, and offers a deployable path to cheaper cleaner heat. </w:t>
      </w:r>
    </w:p>
    <w:p w14:paraId="52B274B8" w14:textId="6A470733" w:rsidR="00FC7E69" w:rsidRDefault="00F50040" w:rsidP="00FF39E7">
      <w:pPr>
        <w:pStyle w:val="PaperHeading"/>
        <w:rPr>
          <w:color w:val="000000" w:themeColor="text1"/>
        </w:rPr>
      </w:pPr>
      <w:r w:rsidRPr="00F50040">
        <w:rPr>
          <w:color w:val="000000" w:themeColor="text1"/>
          <w:lang w:val="en-US"/>
        </w:rPr>
        <w:drawing>
          <wp:inline distT="0" distB="0" distL="0" distR="0" wp14:anchorId="41EC167B" wp14:editId="6F475156">
            <wp:extent cx="3149600" cy="3259455"/>
            <wp:effectExtent l="0" t="0" r="0" b="4445"/>
            <wp:docPr id="2" name="Picture 1">
              <a:extLst xmlns:a="http://schemas.openxmlformats.org/drawingml/2006/main">
                <a:ext uri="{FF2B5EF4-FFF2-40B4-BE49-F238E27FC236}">
                  <a16:creationId xmlns:a16="http://schemas.microsoft.com/office/drawing/2014/main" id="{41F35331-102A-3A0B-B60D-AE887B6C9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1F35331-102A-3A0B-B60D-AE887B6C9A18}"/>
                        </a:ext>
                      </a:extLst>
                    </pic:cNvPr>
                    <pic:cNvPicPr>
                      <a:picLocks noChangeAspect="1"/>
                    </pic:cNvPicPr>
                  </pic:nvPicPr>
                  <pic:blipFill>
                    <a:blip r:embed="rId13"/>
                    <a:srcRect t="355"/>
                    <a:stretch>
                      <a:fillRect/>
                    </a:stretch>
                  </pic:blipFill>
                  <pic:spPr>
                    <a:xfrm>
                      <a:off x="0" y="0"/>
                      <a:ext cx="3149600" cy="3259455"/>
                    </a:xfrm>
                    <a:prstGeom prst="rect">
                      <a:avLst/>
                    </a:prstGeom>
                  </pic:spPr>
                </pic:pic>
              </a:graphicData>
            </a:graphic>
          </wp:inline>
        </w:drawing>
      </w:r>
    </w:p>
    <w:p w14:paraId="2334A8ED" w14:textId="77777777" w:rsidR="00370CC9" w:rsidRDefault="00000000">
      <w:pPr>
        <w:rPr>
          <w:sz w:val="20"/>
          <w:szCs w:val="20"/>
        </w:rPr>
      </w:pPr>
      <w:r>
        <w:rPr>
          <w:sz w:val="20"/>
          <w:szCs w:val="20"/>
        </w:rPr>
        <w:t>Fig. 4 Country-level LCOH of served heat vs. share of heat demand served, gas-capped at €93/MWh: (a) 5 km land buffer, (b) 15 km land buffer</w:t>
      </w:r>
    </w:p>
    <w:p w14:paraId="17153729" w14:textId="77777777" w:rsidR="00B85391" w:rsidRDefault="00B85391">
      <w:pPr>
        <w:rPr>
          <w:sz w:val="20"/>
          <w:szCs w:val="20"/>
        </w:rPr>
      </w:pPr>
    </w:p>
    <w:p w14:paraId="36414173" w14:textId="77777777" w:rsidR="00774434" w:rsidRDefault="00774434" w:rsidP="00B85391">
      <w:pPr>
        <w:rPr>
          <w:i/>
          <w:iCs/>
          <w:sz w:val="20"/>
          <w:szCs w:val="20"/>
        </w:rPr>
      </w:pPr>
      <w:r>
        <w:rPr>
          <w:i/>
          <w:iCs/>
          <w:sz w:val="20"/>
          <w:szCs w:val="20"/>
        </w:rPr>
        <w:t>3.4 Facility specific analysis for solar radiation impacts</w:t>
      </w:r>
    </w:p>
    <w:p w14:paraId="007898D8" w14:textId="2350DE1E" w:rsidR="003C566F" w:rsidRDefault="00AE72DC" w:rsidP="00896905">
      <w:pPr>
        <w:spacing w:after="200"/>
        <w:jc w:val="both"/>
        <w:rPr>
          <w:color w:val="000000" w:themeColor="text1"/>
          <w:sz w:val="20"/>
          <w:szCs w:val="20"/>
        </w:rPr>
      </w:pPr>
      <w:r>
        <w:rPr>
          <w:color w:val="000000" w:themeColor="text1"/>
          <w:sz w:val="20"/>
          <w:szCs w:val="20"/>
        </w:rPr>
        <w:t>Where land is comparable, solar resource drives how much PV overbuild high-temperature sites need. Two high temperature steel plants, Linz in Austria and Taranto in Italy, have similar temperature needs (900°C) and heat demand (5</w:t>
      </w:r>
      <w:r w:rsidR="008E492E">
        <w:rPr>
          <w:color w:val="000000" w:themeColor="text1"/>
          <w:sz w:val="20"/>
          <w:szCs w:val="20"/>
        </w:rPr>
        <w:t xml:space="preserve"> </w:t>
      </w:r>
      <w:r>
        <w:rPr>
          <w:color w:val="000000" w:themeColor="text1"/>
          <w:sz w:val="20"/>
          <w:szCs w:val="20"/>
        </w:rPr>
        <w:t xml:space="preserve">TWh). Taranto has 20% solar capacity factor while Linz has 15%. Both have enough land available at 15km to meet 90% of their heat demand, but Linz need to overbuild 15x of their load while Taranto would only need to build 5.3x their load.  Higher-irradiance sites can hit high-T reliability with less overbuild and much lower LCOH. Table 3 summarizes the comparison. </w:t>
      </w:r>
    </w:p>
    <w:p w14:paraId="2D8C558F" w14:textId="77777777" w:rsidR="00370CC9" w:rsidRDefault="00000000">
      <w:pPr>
        <w:rPr>
          <w:sz w:val="20"/>
          <w:szCs w:val="20"/>
        </w:rPr>
      </w:pPr>
      <w:r>
        <w:rPr>
          <w:sz w:val="20"/>
          <w:szCs w:val="20"/>
        </w:rPr>
        <w:t>Table 3 Solar overbuild, capacity, land use, and LCOH for two high-temperature steel sites at 15 km buffer zone (90% availability)</w:t>
      </w:r>
    </w:p>
    <w:tbl>
      <w:tblPr>
        <w:tblW w:w="4535" w:type="dxa"/>
        <w:tblBorders>
          <w:top w:val="single" w:sz="8" w:space="0" w:color="auto"/>
          <w:bottom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732"/>
        <w:gridCol w:w="1151"/>
        <w:gridCol w:w="905"/>
        <w:gridCol w:w="823"/>
        <w:gridCol w:w="914"/>
        <w:gridCol w:w="10"/>
      </w:tblGrid>
      <w:tr w:rsidR="00984FB7" w14:paraId="1DFC8410" w14:textId="77777777" w:rsidTr="00984FB7">
        <w:tc>
          <w:tcPr>
            <w:tcW w:w="733" w:type="dxa"/>
            <w:tcBorders>
              <w:bottom w:val="single" w:sz="8" w:space="0" w:color="auto"/>
            </w:tcBorders>
          </w:tcPr>
          <w:p w14:paraId="7BBB268A" w14:textId="77777777" w:rsidR="00984FB7" w:rsidRPr="00984FB7" w:rsidRDefault="00984FB7">
            <w:pPr>
              <w:jc w:val="right"/>
              <w:rPr>
                <w:rFonts w:ascii="-apple-system" w:hAnsi="-apple-system"/>
                <w:sz w:val="20"/>
                <w:szCs w:val="20"/>
              </w:rPr>
            </w:pPr>
          </w:p>
        </w:tc>
        <w:tc>
          <w:tcPr>
            <w:tcW w:w="1154" w:type="dxa"/>
            <w:tcBorders>
              <w:bottom w:val="single" w:sz="8" w:space="0" w:color="auto"/>
            </w:tcBorders>
            <w:noWrap/>
            <w:tcMar>
              <w:top w:w="75" w:type="dxa"/>
              <w:left w:w="135" w:type="dxa"/>
              <w:bottom w:w="75" w:type="dxa"/>
              <w:right w:w="135" w:type="dxa"/>
            </w:tcMar>
            <w:hideMark/>
          </w:tcPr>
          <w:p w14:paraId="55C26E6F" w14:textId="77777777" w:rsidR="00984FB7" w:rsidRPr="00984FB7" w:rsidRDefault="00984FB7">
            <w:pPr>
              <w:jc w:val="right"/>
              <w:rPr>
                <w:rFonts w:ascii="-apple-system" w:hAnsi="-apple-system"/>
                <w:sz w:val="20"/>
                <w:szCs w:val="20"/>
              </w:rPr>
            </w:pPr>
            <w:r>
              <w:rPr>
                <w:rFonts w:ascii="-apple-system" w:hAnsi="-apple-system"/>
                <w:sz w:val="20"/>
                <w:szCs w:val="20"/>
              </w:rPr>
              <w:t>Solar / load</w:t>
            </w:r>
          </w:p>
        </w:tc>
        <w:tc>
          <w:tcPr>
            <w:tcW w:w="907" w:type="dxa"/>
            <w:tcBorders>
              <w:bottom w:val="single" w:sz="8" w:space="0" w:color="auto"/>
            </w:tcBorders>
            <w:noWrap/>
            <w:tcMar>
              <w:top w:w="75" w:type="dxa"/>
              <w:left w:w="135" w:type="dxa"/>
              <w:bottom w:w="75" w:type="dxa"/>
              <w:right w:w="135" w:type="dxa"/>
            </w:tcMar>
            <w:hideMark/>
          </w:tcPr>
          <w:p w14:paraId="1F1388F2" w14:textId="77777777" w:rsidR="00984FB7" w:rsidRPr="00984FB7" w:rsidRDefault="00984FB7">
            <w:pPr>
              <w:jc w:val="right"/>
              <w:rPr>
                <w:rFonts w:ascii="-apple-system" w:hAnsi="-apple-system"/>
                <w:sz w:val="20"/>
                <w:szCs w:val="20"/>
              </w:rPr>
            </w:pPr>
            <w:r>
              <w:rPr>
                <w:rFonts w:ascii="-apple-system" w:hAnsi="-apple-system"/>
                <w:sz w:val="20"/>
                <w:szCs w:val="20"/>
              </w:rPr>
              <w:t>PV built</w:t>
            </w:r>
          </w:p>
        </w:tc>
        <w:tc>
          <w:tcPr>
            <w:tcW w:w="825" w:type="dxa"/>
            <w:tcBorders>
              <w:bottom w:val="single" w:sz="8" w:space="0" w:color="auto"/>
            </w:tcBorders>
            <w:noWrap/>
            <w:tcMar>
              <w:top w:w="75" w:type="dxa"/>
              <w:left w:w="135" w:type="dxa"/>
              <w:bottom w:w="75" w:type="dxa"/>
              <w:right w:w="135" w:type="dxa"/>
            </w:tcMar>
            <w:hideMark/>
          </w:tcPr>
          <w:p w14:paraId="4B795F9D" w14:textId="77777777" w:rsidR="00984FB7" w:rsidRPr="00984FB7" w:rsidRDefault="00984FB7">
            <w:pPr>
              <w:jc w:val="right"/>
              <w:rPr>
                <w:rFonts w:ascii="-apple-system" w:hAnsi="-apple-system"/>
                <w:sz w:val="20"/>
                <w:szCs w:val="20"/>
              </w:rPr>
            </w:pPr>
            <w:r>
              <w:rPr>
                <w:rFonts w:ascii="-apple-system" w:hAnsi="-apple-system"/>
                <w:sz w:val="20"/>
                <w:szCs w:val="20"/>
              </w:rPr>
              <w:t>Land used</w:t>
            </w:r>
          </w:p>
        </w:tc>
        <w:tc>
          <w:tcPr>
            <w:tcW w:w="916" w:type="dxa"/>
            <w:gridSpan w:val="2"/>
            <w:tcBorders>
              <w:bottom w:val="single" w:sz="8" w:space="0" w:color="auto"/>
              <w:right w:val="nil"/>
            </w:tcBorders>
            <w:noWrap/>
            <w:tcMar>
              <w:top w:w="75" w:type="dxa"/>
              <w:left w:w="135" w:type="dxa"/>
              <w:bottom w:w="75" w:type="dxa"/>
              <w:right w:w="135" w:type="dxa"/>
            </w:tcMar>
            <w:hideMark/>
          </w:tcPr>
          <w:p w14:paraId="0A55F09E" w14:textId="77777777" w:rsidR="00984FB7" w:rsidRPr="00984FB7" w:rsidRDefault="00984FB7">
            <w:pPr>
              <w:jc w:val="right"/>
              <w:rPr>
                <w:rFonts w:ascii="-apple-system" w:hAnsi="-apple-system"/>
                <w:sz w:val="20"/>
                <w:szCs w:val="20"/>
              </w:rPr>
            </w:pPr>
            <w:r>
              <w:rPr>
                <w:rFonts w:ascii="-apple-system" w:hAnsi="-apple-system"/>
                <w:sz w:val="20"/>
                <w:szCs w:val="20"/>
              </w:rPr>
              <w:t>LCOH</w:t>
            </w:r>
          </w:p>
        </w:tc>
      </w:tr>
      <w:tr w:rsidR="00984FB7" w14:paraId="5CB6D3B5" w14:textId="77777777" w:rsidTr="00984FB7">
        <w:trPr>
          <w:gridAfter w:val="1"/>
          <w:wAfter w:w="10" w:type="dxa"/>
        </w:trPr>
        <w:tc>
          <w:tcPr>
            <w:tcW w:w="733" w:type="dxa"/>
            <w:tcMar>
              <w:top w:w="75" w:type="dxa"/>
              <w:left w:w="135" w:type="dxa"/>
              <w:bottom w:w="75" w:type="dxa"/>
              <w:right w:w="135" w:type="dxa"/>
            </w:tcMar>
            <w:hideMark/>
          </w:tcPr>
          <w:p w14:paraId="7B632929" w14:textId="77777777" w:rsidR="00984FB7" w:rsidRPr="00984FB7" w:rsidRDefault="00984FB7">
            <w:pPr>
              <w:rPr>
                <w:rFonts w:ascii="-apple-system" w:hAnsi="-apple-system"/>
                <w:sz w:val="20"/>
                <w:szCs w:val="20"/>
              </w:rPr>
            </w:pPr>
            <w:r>
              <w:rPr>
                <w:rStyle w:val="font-semibold"/>
                <w:rFonts w:ascii="-apple-system" w:hAnsi="-apple-system"/>
                <w:sz w:val="20"/>
                <w:szCs w:val="20"/>
              </w:rPr>
              <w:t>Taranto</w:t>
            </w:r>
          </w:p>
        </w:tc>
        <w:tc>
          <w:tcPr>
            <w:tcW w:w="1154" w:type="dxa"/>
            <w:tcMar>
              <w:top w:w="75" w:type="dxa"/>
              <w:left w:w="135" w:type="dxa"/>
              <w:bottom w:w="75" w:type="dxa"/>
              <w:right w:w="135" w:type="dxa"/>
            </w:tcMar>
            <w:hideMark/>
          </w:tcPr>
          <w:p w14:paraId="262EF173" w14:textId="77777777" w:rsidR="00984FB7" w:rsidRPr="00984FB7" w:rsidRDefault="00984FB7">
            <w:pPr>
              <w:jc w:val="right"/>
              <w:rPr>
                <w:rFonts w:ascii="-apple-system" w:hAnsi="-apple-system"/>
                <w:sz w:val="20"/>
                <w:szCs w:val="20"/>
              </w:rPr>
            </w:pPr>
            <w:r>
              <w:rPr>
                <w:rStyle w:val="font-semibold"/>
                <w:rFonts w:ascii="-apple-system" w:hAnsi="-apple-system"/>
                <w:sz w:val="20"/>
                <w:szCs w:val="20"/>
              </w:rPr>
              <w:t>5.3×</w:t>
            </w:r>
          </w:p>
        </w:tc>
        <w:tc>
          <w:tcPr>
            <w:tcW w:w="907" w:type="dxa"/>
            <w:tcMar>
              <w:top w:w="75" w:type="dxa"/>
              <w:left w:w="135" w:type="dxa"/>
              <w:bottom w:w="75" w:type="dxa"/>
              <w:right w:w="135" w:type="dxa"/>
            </w:tcMar>
            <w:hideMark/>
          </w:tcPr>
          <w:p w14:paraId="71F17D4D" w14:textId="77777777" w:rsidR="00984FB7" w:rsidRPr="00984FB7" w:rsidRDefault="00984FB7">
            <w:pPr>
              <w:jc w:val="right"/>
              <w:rPr>
                <w:rFonts w:ascii="-apple-system" w:hAnsi="-apple-system"/>
                <w:sz w:val="20"/>
                <w:szCs w:val="20"/>
              </w:rPr>
            </w:pPr>
            <w:r>
              <w:rPr>
                <w:rFonts w:ascii="-apple-system" w:hAnsi="-apple-system"/>
                <w:sz w:val="20"/>
                <w:szCs w:val="20"/>
              </w:rPr>
              <w:t>3.0 GW</w:t>
            </w:r>
          </w:p>
        </w:tc>
        <w:tc>
          <w:tcPr>
            <w:tcW w:w="825" w:type="dxa"/>
            <w:tcMar>
              <w:top w:w="75" w:type="dxa"/>
              <w:left w:w="135" w:type="dxa"/>
              <w:bottom w:w="75" w:type="dxa"/>
              <w:right w:w="135" w:type="dxa"/>
            </w:tcMar>
            <w:hideMark/>
          </w:tcPr>
          <w:p w14:paraId="5860D979" w14:textId="77777777" w:rsidR="00984FB7" w:rsidRPr="00984FB7" w:rsidRDefault="00984FB7">
            <w:pPr>
              <w:jc w:val="right"/>
              <w:rPr>
                <w:rFonts w:ascii="-apple-system" w:hAnsi="-apple-system"/>
                <w:sz w:val="20"/>
                <w:szCs w:val="20"/>
              </w:rPr>
            </w:pPr>
            <w:r>
              <w:rPr>
                <w:rStyle w:val="font-semibold"/>
                <w:rFonts w:ascii="-apple-system" w:hAnsi="-apple-system"/>
                <w:sz w:val="20"/>
                <w:szCs w:val="20"/>
              </w:rPr>
              <w:t>32%</w:t>
            </w:r>
          </w:p>
        </w:tc>
        <w:tc>
          <w:tcPr>
            <w:tcW w:w="916" w:type="dxa"/>
            <w:tcBorders>
              <w:right w:val="nil"/>
            </w:tcBorders>
            <w:tcMar>
              <w:top w:w="75" w:type="dxa"/>
              <w:left w:w="135" w:type="dxa"/>
              <w:bottom w:w="75" w:type="dxa"/>
              <w:right w:w="135" w:type="dxa"/>
            </w:tcMar>
            <w:hideMark/>
          </w:tcPr>
          <w:p w14:paraId="1683E362" w14:textId="77777777" w:rsidR="00984FB7" w:rsidRPr="00984FB7" w:rsidRDefault="00984FB7">
            <w:pPr>
              <w:jc w:val="right"/>
              <w:rPr>
                <w:rFonts w:ascii="-apple-system" w:hAnsi="-apple-system"/>
                <w:sz w:val="20"/>
                <w:szCs w:val="20"/>
              </w:rPr>
            </w:pPr>
            <w:r>
              <w:rPr>
                <w:rStyle w:val="font-semibold"/>
                <w:rFonts w:ascii="-apple-system" w:hAnsi="-apple-system"/>
                <w:sz w:val="20"/>
                <w:szCs w:val="20"/>
              </w:rPr>
              <w:t>€33</w:t>
            </w:r>
          </w:p>
        </w:tc>
      </w:tr>
      <w:tr w:rsidR="00984FB7" w14:paraId="295EC712" w14:textId="77777777" w:rsidTr="00984FB7">
        <w:trPr>
          <w:gridAfter w:val="1"/>
          <w:wAfter w:w="10" w:type="dxa"/>
        </w:trPr>
        <w:tc>
          <w:tcPr>
            <w:tcW w:w="733" w:type="dxa"/>
            <w:tcBorders>
              <w:bottom w:val="nil"/>
            </w:tcBorders>
            <w:tcMar>
              <w:top w:w="75" w:type="dxa"/>
              <w:left w:w="135" w:type="dxa"/>
              <w:bottom w:w="75" w:type="dxa"/>
              <w:right w:w="135" w:type="dxa"/>
            </w:tcMar>
            <w:hideMark/>
          </w:tcPr>
          <w:p w14:paraId="6CE4ADEE" w14:textId="77777777" w:rsidR="00984FB7" w:rsidRPr="00984FB7" w:rsidRDefault="00984FB7">
            <w:pPr>
              <w:rPr>
                <w:rFonts w:ascii="-apple-system" w:hAnsi="-apple-system"/>
                <w:sz w:val="20"/>
                <w:szCs w:val="20"/>
              </w:rPr>
            </w:pPr>
            <w:r>
              <w:rPr>
                <w:rStyle w:val="font-semibold"/>
                <w:rFonts w:ascii="-apple-system" w:hAnsi="-apple-system"/>
                <w:sz w:val="20"/>
                <w:szCs w:val="20"/>
              </w:rPr>
              <w:t>Linz</w:t>
            </w:r>
          </w:p>
        </w:tc>
        <w:tc>
          <w:tcPr>
            <w:tcW w:w="1154" w:type="dxa"/>
            <w:tcBorders>
              <w:bottom w:val="nil"/>
            </w:tcBorders>
            <w:tcMar>
              <w:top w:w="75" w:type="dxa"/>
              <w:left w:w="135" w:type="dxa"/>
              <w:bottom w:w="75" w:type="dxa"/>
              <w:right w:w="135" w:type="dxa"/>
            </w:tcMar>
            <w:hideMark/>
          </w:tcPr>
          <w:p w14:paraId="1BF161E0" w14:textId="77777777" w:rsidR="00984FB7" w:rsidRPr="00984FB7" w:rsidRDefault="00984FB7">
            <w:pPr>
              <w:jc w:val="right"/>
              <w:rPr>
                <w:rFonts w:ascii="-apple-system" w:hAnsi="-apple-system"/>
                <w:sz w:val="20"/>
                <w:szCs w:val="20"/>
              </w:rPr>
            </w:pPr>
            <w:r>
              <w:rPr>
                <w:rStyle w:val="font-semibold"/>
                <w:rFonts w:ascii="-apple-system" w:hAnsi="-apple-system"/>
                <w:sz w:val="20"/>
                <w:szCs w:val="20"/>
              </w:rPr>
              <w:t>15.0×</w:t>
            </w:r>
          </w:p>
        </w:tc>
        <w:tc>
          <w:tcPr>
            <w:tcW w:w="907" w:type="dxa"/>
            <w:tcBorders>
              <w:bottom w:val="nil"/>
            </w:tcBorders>
            <w:tcMar>
              <w:top w:w="75" w:type="dxa"/>
              <w:left w:w="135" w:type="dxa"/>
              <w:bottom w:w="75" w:type="dxa"/>
              <w:right w:w="135" w:type="dxa"/>
            </w:tcMar>
            <w:hideMark/>
          </w:tcPr>
          <w:p w14:paraId="16447CC2" w14:textId="77777777" w:rsidR="00984FB7" w:rsidRPr="00984FB7" w:rsidRDefault="00984FB7">
            <w:pPr>
              <w:jc w:val="right"/>
              <w:rPr>
                <w:rFonts w:ascii="-apple-system" w:hAnsi="-apple-system"/>
                <w:sz w:val="20"/>
                <w:szCs w:val="20"/>
              </w:rPr>
            </w:pPr>
            <w:r>
              <w:rPr>
                <w:rFonts w:ascii="-apple-system" w:hAnsi="-apple-system"/>
                <w:sz w:val="20"/>
                <w:szCs w:val="20"/>
              </w:rPr>
              <w:t>8.5 GW</w:t>
            </w:r>
          </w:p>
        </w:tc>
        <w:tc>
          <w:tcPr>
            <w:tcW w:w="825" w:type="dxa"/>
            <w:tcBorders>
              <w:bottom w:val="nil"/>
            </w:tcBorders>
            <w:tcMar>
              <w:top w:w="75" w:type="dxa"/>
              <w:left w:w="135" w:type="dxa"/>
              <w:bottom w:w="75" w:type="dxa"/>
              <w:right w:w="135" w:type="dxa"/>
            </w:tcMar>
            <w:hideMark/>
          </w:tcPr>
          <w:p w14:paraId="5C72E2A9" w14:textId="77777777" w:rsidR="00984FB7" w:rsidRPr="00984FB7" w:rsidRDefault="00984FB7">
            <w:pPr>
              <w:jc w:val="right"/>
              <w:rPr>
                <w:rFonts w:ascii="-apple-system" w:hAnsi="-apple-system"/>
                <w:sz w:val="20"/>
                <w:szCs w:val="20"/>
              </w:rPr>
            </w:pPr>
            <w:r>
              <w:rPr>
                <w:rStyle w:val="font-semibold"/>
                <w:rFonts w:ascii="-apple-system" w:hAnsi="-apple-system"/>
                <w:sz w:val="20"/>
                <w:szCs w:val="20"/>
              </w:rPr>
              <w:t>80%</w:t>
            </w:r>
          </w:p>
        </w:tc>
        <w:tc>
          <w:tcPr>
            <w:tcW w:w="916" w:type="dxa"/>
            <w:tcBorders>
              <w:bottom w:val="nil"/>
              <w:right w:val="nil"/>
            </w:tcBorders>
            <w:tcMar>
              <w:top w:w="75" w:type="dxa"/>
              <w:left w:w="135" w:type="dxa"/>
              <w:bottom w:w="75" w:type="dxa"/>
              <w:right w:w="135" w:type="dxa"/>
            </w:tcMar>
            <w:hideMark/>
          </w:tcPr>
          <w:p w14:paraId="3E6E5279" w14:textId="77777777" w:rsidR="00984FB7" w:rsidRPr="00984FB7" w:rsidRDefault="00984FB7">
            <w:pPr>
              <w:jc w:val="right"/>
              <w:rPr>
                <w:rFonts w:ascii="-apple-system" w:hAnsi="-apple-system"/>
                <w:sz w:val="20"/>
                <w:szCs w:val="20"/>
              </w:rPr>
            </w:pPr>
            <w:r>
              <w:rPr>
                <w:rStyle w:val="font-semibold"/>
                <w:rFonts w:ascii="-apple-system" w:hAnsi="-apple-system"/>
                <w:sz w:val="20"/>
                <w:szCs w:val="20"/>
              </w:rPr>
              <w:t>€85</w:t>
            </w:r>
          </w:p>
        </w:tc>
      </w:tr>
    </w:tbl>
    <w:p w14:paraId="2B267E30" w14:textId="77777777" w:rsidR="003D21D6" w:rsidRDefault="003D21D6" w:rsidP="003D21D6">
      <w:pPr>
        <w:spacing w:after="200"/>
        <w:rPr>
          <w:i/>
          <w:iCs/>
          <w:sz w:val="20"/>
          <w:szCs w:val="20"/>
        </w:rPr>
      </w:pPr>
      <w:r>
        <w:rPr>
          <w:i/>
          <w:iCs/>
          <w:sz w:val="20"/>
          <w:szCs w:val="20"/>
        </w:rPr>
        <w:t>3.5 Impacts of land constraint</w:t>
      </w:r>
    </w:p>
    <w:p w14:paraId="1360708B" w14:textId="77777777" w:rsidR="008E492E" w:rsidRDefault="00275377" w:rsidP="003D21D6">
      <w:pPr>
        <w:spacing w:after="200"/>
        <w:rPr>
          <w:sz w:val="20"/>
          <w:szCs w:val="20"/>
        </w:rPr>
      </w:pPr>
      <w:r>
        <w:rPr>
          <w:sz w:val="20"/>
          <w:szCs w:val="20"/>
        </w:rPr>
        <w:t xml:space="preserve">For large sites with high temperature processes, there are concentrated areas where the land resources just cannot provide most of the energy at 5 km buffer zone.  The major shortfall areas are in the Rhine-Meuse region where steel and </w:t>
      </w:r>
    </w:p>
    <w:p w14:paraId="7EC3CC07" w14:textId="7065FB23" w:rsidR="00CD60CA" w:rsidRDefault="00275377" w:rsidP="003D21D6">
      <w:pPr>
        <w:spacing w:after="200"/>
        <w:rPr>
          <w:noProof/>
        </w:rPr>
      </w:pPr>
      <w:r>
        <w:rPr>
          <w:sz w:val="20"/>
          <w:szCs w:val="20"/>
        </w:rPr>
        <w:t xml:space="preserve">steam cracking facilities are. These sites typically have ~8–50 km²/TWh land and ~12–14% solar capacity factor. Most sites at 5 km can meet enough energy at 15 km. Expanding to </w:t>
      </w:r>
      <w:r>
        <w:rPr>
          <w:sz w:val="20"/>
          <w:szCs w:val="20"/>
        </w:rPr>
        <w:lastRenderedPageBreak/>
        <w:t>15km allows all sites, except for 3, to reach over 50% availability.</w:t>
      </w:r>
      <w:r>
        <w:rPr>
          <w:noProof/>
        </w:rPr>
        <w:t xml:space="preserve"> </w:t>
      </w:r>
    </w:p>
    <w:p w14:paraId="38772B85" w14:textId="77777777" w:rsidR="00370CC9" w:rsidRDefault="00370CC9">
      <w:pPr>
        <w:sectPr w:rsidR="00370CC9">
          <w:type w:val="continuous"/>
          <w:pgSz w:w="11906" w:h="16838"/>
          <w:pgMar w:top="1440" w:right="851" w:bottom="1440" w:left="851" w:header="709" w:footer="709" w:gutter="57"/>
          <w:cols w:num="2" w:space="227"/>
          <w:docGrid w:linePitch="360"/>
        </w:sectPr>
      </w:pPr>
    </w:p>
    <w:p w14:paraId="4ECD5446" w14:textId="77777777" w:rsidR="00DB6E4D" w:rsidRDefault="00CD60CA" w:rsidP="00CD60CA">
      <w:pPr>
        <w:spacing w:after="200"/>
        <w:rPr>
          <w:b/>
          <w:bCs/>
          <w:color w:val="000000" w:themeColor="text1"/>
          <w:sz w:val="20"/>
          <w:szCs w:val="20"/>
        </w:rPr>
      </w:pPr>
      <w:r>
        <w:rPr>
          <w:noProof/>
          <w:sz w:val="20"/>
          <w:szCs w:val="20"/>
        </w:rPr>
        <w:drawing>
          <wp:inline distT="0" distB="0" distL="114300" distR="114300" wp14:anchorId="3B74C155" wp14:editId="0929A496">
            <wp:extent cx="6431536" cy="2688019"/>
            <wp:effectExtent l="0" t="0" r="0" b="4445"/>
            <wp:docPr id="121027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6418" name=""/>
                    <pic:cNvPicPr/>
                  </pic:nvPicPr>
                  <pic:blipFill>
                    <a:blip r:embed="rId14">
                      <a:extLst>
                        <a:ext uri="{28A0092B-C50C-407E-A947-70E740481C1C}">
                          <a14:useLocalDpi xmlns:a14="http://schemas.microsoft.com/office/drawing/2010/main" val="0"/>
                        </a:ext>
                      </a:extLst>
                    </a:blip>
                    <a:stretch>
                      <a:fillRect/>
                    </a:stretch>
                  </pic:blipFill>
                  <pic:spPr>
                    <a:xfrm>
                      <a:off x="0" y="0"/>
                      <a:ext cx="6431536" cy="2688019"/>
                    </a:xfrm>
                    <a:prstGeom prst="rect">
                      <a:avLst/>
                    </a:prstGeom>
                  </pic:spPr>
                </pic:pic>
              </a:graphicData>
            </a:graphic>
          </wp:inline>
        </w:drawing>
      </w:r>
      <w:r>
        <w:rPr>
          <w:b/>
          <w:bCs/>
          <w:color w:val="000000" w:themeColor="text1"/>
          <w:sz w:val="20"/>
          <w:szCs w:val="20"/>
        </w:rPr>
        <w:t xml:space="preserve"> </w:t>
      </w:r>
    </w:p>
    <w:p w14:paraId="3626DBCB" w14:textId="77777777" w:rsidR="00370CC9" w:rsidRDefault="00000000">
      <w:pPr>
        <w:rPr>
          <w:sz w:val="20"/>
          <w:szCs w:val="20"/>
        </w:rPr>
      </w:pPr>
      <w:r>
        <w:rPr>
          <w:sz w:val="20"/>
          <w:szCs w:val="20"/>
        </w:rPr>
        <w:t>Fig. 5 Facility-level heat availability achieved by land-constraint category: (a) 5 km buffer zone, (b) 15 km buffer zone</w:t>
      </w:r>
    </w:p>
    <w:p w14:paraId="3659CBD2" w14:textId="77777777" w:rsidR="00370CC9" w:rsidRDefault="00370CC9"/>
    <w:p w14:paraId="0BCAD6D6" w14:textId="77777777" w:rsidR="00FF4B8A" w:rsidRDefault="00FF4B8A">
      <w:pPr>
        <w:sectPr w:rsidR="00FF4B8A">
          <w:type w:val="continuous"/>
          <w:pgSz w:w="11906" w:h="16838"/>
          <w:pgMar w:top="1440" w:right="851" w:bottom="1440" w:left="851" w:header="709" w:footer="709" w:gutter="57"/>
          <w:cols w:space="227"/>
          <w:docGrid w:linePitch="360"/>
        </w:sectPr>
      </w:pPr>
    </w:p>
    <w:p w14:paraId="7FA08C48" w14:textId="77777777" w:rsidR="00DB6E4D" w:rsidRDefault="00DB6E4D" w:rsidP="00DB6E4D">
      <w:pPr>
        <w:pStyle w:val="PaperHeading"/>
        <w:rPr>
          <w:color w:val="000000" w:themeColor="text1"/>
        </w:rPr>
      </w:pPr>
      <w:r>
        <w:rPr>
          <w:color w:val="000000" w:themeColor="text1"/>
        </w:rPr>
        <w:t>4</w:t>
      </w:r>
      <w:r>
        <w:rPr>
          <w:color w:val="000000" w:themeColor="text1"/>
        </w:rPr>
        <w:tab/>
        <w:t>Discussion</w:t>
      </w:r>
    </w:p>
    <w:p w14:paraId="4D329D5E" w14:textId="77777777" w:rsidR="00D128B1" w:rsidRPr="00D128B1" w:rsidRDefault="00043514" w:rsidP="00CE7915">
      <w:pPr>
        <w:pStyle w:val="PaperHeading"/>
        <w:rPr>
          <w:b w:val="0"/>
          <w:bCs/>
          <w:color w:val="000000" w:themeColor="text1"/>
          <w:sz w:val="20"/>
          <w:szCs w:val="20"/>
        </w:rPr>
      </w:pPr>
      <w:r>
        <w:rPr>
          <w:b w:val="0"/>
          <w:bCs/>
          <w:i/>
          <w:iCs/>
          <w:color w:val="000000" w:themeColor="text1"/>
          <w:sz w:val="20"/>
          <w:szCs w:val="20"/>
        </w:rPr>
        <w:t>4.1 Motivation for off-grid renewable solution</w:t>
      </w:r>
    </w:p>
    <w:p w14:paraId="09047FBC" w14:textId="2AA0EBEB" w:rsidR="007449A1" w:rsidRDefault="003A01EC" w:rsidP="00EF1409">
      <w:pPr>
        <w:spacing w:after="200"/>
        <w:jc w:val="both"/>
        <w:rPr>
          <w:color w:val="000000" w:themeColor="text1"/>
          <w:sz w:val="20"/>
          <w:szCs w:val="20"/>
        </w:rPr>
      </w:pPr>
      <w:r>
        <w:rPr>
          <w:color w:val="000000" w:themeColor="text1"/>
          <w:sz w:val="20"/>
          <w:szCs w:val="20"/>
        </w:rPr>
        <w:t xml:space="preserve">One of the major roadblocks of electrification is the impacts to the electricity grid infrastructure. The high energy demand of even small or low-temperature industrial sites can cause outages in peak hours. With on-site renewable site, there is enough availability served such that industrial sites can use those resources during both non-peak and peak hours. This would reduce the need to upgrade grid infrastructure to meet peak hours and reduce cost and time to electrify heat generation. With even 5km of buffer zone, the 58% of total heat demand in the EU can be met with solar + heat pump/heat battery at a cost below natural gas fuel costs with carbon tax. This solar + storage solution does not require the whole system to be decarbonized for cost and emissions reductions. Before meeting the highest </w:t>
      </w:r>
      <w:r w:rsidR="00F4143C">
        <w:rPr>
          <w:color w:val="000000" w:themeColor="text1"/>
          <w:sz w:val="20"/>
          <w:szCs w:val="20"/>
        </w:rPr>
        <w:t xml:space="preserve">heat </w:t>
      </w:r>
      <w:r>
        <w:rPr>
          <w:color w:val="000000" w:themeColor="text1"/>
          <w:sz w:val="20"/>
          <w:szCs w:val="20"/>
        </w:rPr>
        <w:t xml:space="preserve">decarbonize target below gas, facilities can build up to the max savings points to get a considerable amount of energy for their facilities. </w:t>
      </w:r>
      <w:r w:rsidR="003B57C4">
        <w:rPr>
          <w:color w:val="000000" w:themeColor="text1"/>
          <w:sz w:val="20"/>
          <w:szCs w:val="20"/>
        </w:rPr>
        <w:t xml:space="preserve">This study highlights the high potential of utilizing solar plus storage resources to meet most of the industrial heat demand through rigorously modelled technoeconomic analysis. </w:t>
      </w:r>
    </w:p>
    <w:p w14:paraId="0CA502C7" w14:textId="77777777" w:rsidR="00FC4415" w:rsidRDefault="00CE7915" w:rsidP="00DB6E4D">
      <w:pPr>
        <w:pStyle w:val="PaperHeading"/>
        <w:rPr>
          <w:b w:val="0"/>
          <w:bCs/>
          <w:color w:val="000000" w:themeColor="text1"/>
          <w:sz w:val="20"/>
          <w:szCs w:val="20"/>
        </w:rPr>
      </w:pPr>
      <w:r>
        <w:rPr>
          <w:b w:val="0"/>
          <w:bCs/>
          <w:i/>
          <w:iCs/>
          <w:color w:val="000000" w:themeColor="text1"/>
          <w:sz w:val="20"/>
          <w:szCs w:val="20"/>
        </w:rPr>
        <w:t>4.2 Trade-off between solar resource and land availability</w:t>
      </w:r>
    </w:p>
    <w:p w14:paraId="0A2A6639" w14:textId="671F94F7" w:rsidR="00FF4B8A" w:rsidRDefault="00FC4415" w:rsidP="00CE1358">
      <w:pPr>
        <w:spacing w:after="200"/>
        <w:jc w:val="both"/>
        <w:rPr>
          <w:color w:val="000000" w:themeColor="text1"/>
          <w:sz w:val="20"/>
          <w:szCs w:val="20"/>
        </w:rPr>
      </w:pPr>
      <w:r>
        <w:rPr>
          <w:color w:val="000000" w:themeColor="text1"/>
          <w:sz w:val="20"/>
          <w:szCs w:val="20"/>
        </w:rPr>
        <w:t xml:space="preserve">Solar capacity factors interact with land available </w:t>
      </w:r>
      <w:r w:rsidR="00062E5C">
        <w:rPr>
          <w:color w:val="000000" w:themeColor="text1"/>
          <w:sz w:val="20"/>
          <w:szCs w:val="20"/>
        </w:rPr>
        <w:t>t</w:t>
      </w:r>
      <w:r>
        <w:rPr>
          <w:color w:val="000000" w:themeColor="text1"/>
          <w:sz w:val="20"/>
          <w:szCs w:val="20"/>
        </w:rPr>
        <w:t>hat makes the cost considerations different for each site. The decision to maximize cost savings versus maximize heat demand served depends on how much solar panel overbuilding might be enough to justify the cost and benefit</w:t>
      </w:r>
      <w:r w:rsidR="00F22D29">
        <w:rPr>
          <w:color w:val="000000" w:themeColor="text1"/>
          <w:sz w:val="20"/>
          <w:szCs w:val="20"/>
        </w:rPr>
        <w:t xml:space="preserve"> at each site</w:t>
      </w:r>
      <w:r>
        <w:rPr>
          <w:color w:val="000000" w:themeColor="text1"/>
          <w:sz w:val="20"/>
          <w:szCs w:val="20"/>
        </w:rPr>
        <w:t>. Other decisions such as feasibility of connecting to the grid and prices of grid electricity can play a significant factor in how a facility approach its decarbonization timeline. In the Rhine-Meuse region</w:t>
      </w:r>
      <w:r w:rsidR="00FF4B8A">
        <w:rPr>
          <w:color w:val="000000" w:themeColor="text1"/>
          <w:sz w:val="20"/>
          <w:szCs w:val="20"/>
        </w:rPr>
        <w:t>,</w:t>
      </w:r>
      <w:r>
        <w:rPr>
          <w:color w:val="000000" w:themeColor="text1"/>
          <w:sz w:val="20"/>
          <w:szCs w:val="20"/>
        </w:rPr>
        <w:t xml:space="preserve"> where high temperature and large industrial </w:t>
      </w:r>
      <w:r>
        <w:rPr>
          <w:color w:val="000000" w:themeColor="text1"/>
          <w:sz w:val="20"/>
          <w:szCs w:val="20"/>
        </w:rPr>
        <w:t>facilities are</w:t>
      </w:r>
      <w:r w:rsidR="007A76CE">
        <w:rPr>
          <w:color w:val="000000" w:themeColor="text1"/>
          <w:sz w:val="20"/>
          <w:szCs w:val="20"/>
        </w:rPr>
        <w:t xml:space="preserve"> located and available land resource is low</w:t>
      </w:r>
      <w:r>
        <w:rPr>
          <w:color w:val="000000" w:themeColor="text1"/>
          <w:sz w:val="20"/>
          <w:szCs w:val="20"/>
        </w:rPr>
        <w:t xml:space="preserve">, the regional regulation and electricity prices might </w:t>
      </w:r>
      <w:r w:rsidR="00FF4B8A">
        <w:rPr>
          <w:color w:val="000000" w:themeColor="text1"/>
          <w:sz w:val="20"/>
          <w:szCs w:val="20"/>
        </w:rPr>
        <w:t xml:space="preserve">help with decarbonization by enabling cheaper electricity prices to meet the total heat demand </w:t>
      </w:r>
      <w:r w:rsidR="00CF39EE">
        <w:rPr>
          <w:color w:val="000000" w:themeColor="text1"/>
          <w:sz w:val="20"/>
          <w:szCs w:val="20"/>
        </w:rPr>
        <w:t xml:space="preserve">with grid electricity. </w:t>
      </w:r>
    </w:p>
    <w:p w14:paraId="3168379A" w14:textId="639047C4" w:rsidR="00CE7915" w:rsidRPr="00D14F37" w:rsidRDefault="005927A5" w:rsidP="00CE1358">
      <w:pPr>
        <w:spacing w:after="200"/>
        <w:jc w:val="both"/>
        <w:rPr>
          <w:color w:val="000000" w:themeColor="text1"/>
          <w:sz w:val="20"/>
          <w:szCs w:val="20"/>
        </w:rPr>
      </w:pPr>
      <w:r>
        <w:rPr>
          <w:color w:val="000000" w:themeColor="text1"/>
          <w:sz w:val="20"/>
          <w:szCs w:val="20"/>
        </w:rPr>
        <w:t xml:space="preserve">Germany </w:t>
      </w:r>
      <w:r w:rsidR="00FC4415">
        <w:rPr>
          <w:color w:val="000000" w:themeColor="text1"/>
          <w:sz w:val="20"/>
          <w:szCs w:val="20"/>
        </w:rPr>
        <w:t xml:space="preserve">has implemented state subsidized electricity prices that would help support electrification efforts. (almost 50% of electricity prices) </w:t>
      </w:r>
      <w:r w:rsidR="00FC4415">
        <w:rPr>
          <w:color w:val="000000" w:themeColor="text1"/>
          <w:sz w:val="20"/>
          <w:szCs w:val="20"/>
        </w:rPr>
        <w:fldChar w:fldCharType="begin"/>
      </w:r>
      <w:r w:rsidR="00673234">
        <w:rPr>
          <w:color w:val="000000" w:themeColor="text1"/>
          <w:sz w:val="20"/>
          <w:szCs w:val="20"/>
        </w:rPr>
        <w:instrText xml:space="preserve"> ADDIN ZOTERO_ITEM CSL_CITATION {"citationID":"Sa08XTKb","properties":{"unsorted":false,"formattedCitation":"[24]","plainCitation":"[24]","noteIndex":0},"citationItems":[{"id":369,"uris":["http://zotero.org/users/20280584/items/DEFEF82K"],"itemData":{"id":369,"type":"post-weblog","abstract":"With the publication of the funding guideline on May 6, 2026, the legal framework for the German industrial electricity price is in place.","citation-key":"wiedemannIndustrialElectricityPrice2026","container-title":"KPMG-Law","language":"en-US","title":"The industrial electricity price - cost relief with new requirements and verification obligations","URL":"https://kpmg-law.de/en/the-industrial-electricity-price-cost-relief-with-new-requirements-and-verification-obligations/","author":[{"family":"Wiedemann","given":"Simone"}],"accessed":{"date-parts":[["2026",8,6]]},"issued":{"date-parts":[["2026",5,26]]}}}],"schema":"https://github.com/citation-style-language/schema/raw/master/csl-citation.json"} </w:instrText>
      </w:r>
      <w:r w:rsidR="00FC4415">
        <w:rPr>
          <w:color w:val="000000" w:themeColor="text1"/>
          <w:sz w:val="20"/>
          <w:szCs w:val="20"/>
        </w:rPr>
        <w:fldChar w:fldCharType="separate"/>
      </w:r>
      <w:r w:rsidR="00673234">
        <w:rPr>
          <w:noProof/>
          <w:color w:val="000000" w:themeColor="text1"/>
          <w:sz w:val="20"/>
          <w:szCs w:val="20"/>
        </w:rPr>
        <w:t>[24]</w:t>
      </w:r>
      <w:r w:rsidR="00FC4415">
        <w:rPr>
          <w:color w:val="000000" w:themeColor="text1"/>
          <w:sz w:val="20"/>
          <w:szCs w:val="20"/>
        </w:rPr>
        <w:fldChar w:fldCharType="end"/>
      </w:r>
      <w:r w:rsidR="00FC4415">
        <w:rPr>
          <w:color w:val="000000" w:themeColor="text1"/>
          <w:sz w:val="20"/>
          <w:szCs w:val="20"/>
        </w:rPr>
        <w:t xml:space="preserve">. </w:t>
      </w:r>
      <w:r w:rsidR="00625317">
        <w:rPr>
          <w:color w:val="000000" w:themeColor="text1"/>
          <w:sz w:val="20"/>
          <w:szCs w:val="20"/>
        </w:rPr>
        <w:t xml:space="preserve">Even with cost competitive grid electricity, the impacts on the distribution and transmission grid might prevent electrification from being approved or delay the electrification. </w:t>
      </w:r>
      <w:r w:rsidR="000C4958">
        <w:rPr>
          <w:color w:val="000000" w:themeColor="text1"/>
          <w:sz w:val="20"/>
          <w:szCs w:val="20"/>
        </w:rPr>
        <w:t xml:space="preserve">The affordability of solar panels and storage is rapidly decreasing </w:t>
      </w:r>
      <w:r w:rsidR="00D01838">
        <w:rPr>
          <w:color w:val="000000" w:themeColor="text1"/>
          <w:sz w:val="20"/>
          <w:szCs w:val="20"/>
        </w:rPr>
        <w:t>costs,</w:t>
      </w:r>
      <w:r w:rsidR="000C4958">
        <w:rPr>
          <w:color w:val="000000" w:themeColor="text1"/>
          <w:sz w:val="20"/>
          <w:szCs w:val="20"/>
        </w:rPr>
        <w:t xml:space="preserve"> and this could be a pathway to quicker and sooner decarbonization.</w:t>
      </w:r>
      <w:r w:rsidR="00625317">
        <w:rPr>
          <w:color w:val="000000" w:themeColor="text1"/>
          <w:sz w:val="20"/>
          <w:szCs w:val="20"/>
        </w:rPr>
        <w:t xml:space="preserve">  </w:t>
      </w:r>
    </w:p>
    <w:p w14:paraId="0629E857" w14:textId="77777777" w:rsidR="00043514" w:rsidRPr="003A5798" w:rsidRDefault="00043514" w:rsidP="00DB6E4D">
      <w:pPr>
        <w:pStyle w:val="PaperHeading"/>
        <w:rPr>
          <w:b w:val="0"/>
          <w:bCs/>
          <w:i/>
          <w:iCs/>
          <w:color w:val="000000" w:themeColor="text1"/>
          <w:sz w:val="20"/>
          <w:szCs w:val="20"/>
        </w:rPr>
      </w:pPr>
      <w:r>
        <w:rPr>
          <w:b w:val="0"/>
          <w:bCs/>
          <w:i/>
          <w:iCs/>
          <w:color w:val="000000" w:themeColor="text1"/>
          <w:sz w:val="20"/>
          <w:szCs w:val="20"/>
        </w:rPr>
        <w:t>4.3 Limitation</w:t>
      </w:r>
    </w:p>
    <w:p w14:paraId="10C2F978" w14:textId="5EAFDD5D" w:rsidR="00DB6E4D" w:rsidRDefault="00AA1DB9" w:rsidP="00896905">
      <w:pPr>
        <w:spacing w:after="200"/>
        <w:jc w:val="both"/>
        <w:rPr>
          <w:color w:val="000000" w:themeColor="text1"/>
          <w:sz w:val="20"/>
          <w:szCs w:val="20"/>
        </w:rPr>
      </w:pPr>
      <w:r>
        <w:rPr>
          <w:color w:val="000000" w:themeColor="text1"/>
          <w:sz w:val="20"/>
          <w:szCs w:val="20"/>
        </w:rPr>
        <w:t xml:space="preserve">Heat demand estimations are </w:t>
      </w:r>
      <w:r w:rsidR="008B009A">
        <w:rPr>
          <w:color w:val="000000" w:themeColor="text1"/>
          <w:sz w:val="20"/>
          <w:szCs w:val="20"/>
        </w:rPr>
        <w:t>based on literature sector energy consumption factors and emissions factors, not based on individual facility’s generation. These estimates are calculated based on EU published figures and averages by sector. They are validated by sector and country aggregated figures but may deviate from reference individual facilities</w:t>
      </w:r>
      <w:r w:rsidR="001D5676">
        <w:rPr>
          <w:color w:val="000000" w:themeColor="text1"/>
          <w:sz w:val="20"/>
          <w:szCs w:val="20"/>
        </w:rPr>
        <w:t xml:space="preserve"> significantly</w:t>
      </w:r>
      <w:r w:rsidR="008B009A">
        <w:rPr>
          <w:color w:val="000000" w:themeColor="text1"/>
          <w:sz w:val="20"/>
          <w:szCs w:val="20"/>
        </w:rPr>
        <w:t xml:space="preserve">. </w:t>
      </w:r>
      <w:r w:rsidR="00BF6F2C">
        <w:rPr>
          <w:color w:val="000000" w:themeColor="text1"/>
          <w:sz w:val="20"/>
          <w:szCs w:val="20"/>
        </w:rPr>
        <w:t xml:space="preserve">With more precise data on combustion plants and fuel types of each facility, the modeled heat generation and LCOH can be better fitted per facility using the same process in this study. </w:t>
      </w:r>
    </w:p>
    <w:p w14:paraId="22E93C59" w14:textId="3EE2E4AB" w:rsidR="00996DE3" w:rsidRDefault="00F22FA8" w:rsidP="00896905">
      <w:pPr>
        <w:spacing w:after="200"/>
        <w:jc w:val="both"/>
        <w:rPr>
          <w:color w:val="000000" w:themeColor="text1"/>
          <w:sz w:val="20"/>
          <w:szCs w:val="20"/>
        </w:rPr>
      </w:pPr>
      <w:r>
        <w:rPr>
          <w:color w:val="000000" w:themeColor="text1"/>
          <w:sz w:val="20"/>
          <w:szCs w:val="20"/>
        </w:rPr>
        <w:t>This study does not account for the land acquisition process as there is not enough data to systematically incorporate into this study. Only remote sensing categorized data were used to screen available land. Each facility would need to evaluate the land acquisition process</w:t>
      </w:r>
      <w:r w:rsidR="00BF1499">
        <w:rPr>
          <w:color w:val="000000" w:themeColor="text1"/>
          <w:sz w:val="20"/>
          <w:szCs w:val="20"/>
        </w:rPr>
        <w:t xml:space="preserve"> to accommodate the land needed for solar panels. </w:t>
      </w:r>
    </w:p>
    <w:p w14:paraId="09E9C57B" w14:textId="45B3F351" w:rsidR="00691EB6" w:rsidRPr="00691EB6" w:rsidRDefault="001D6672" w:rsidP="00691EB6">
      <w:pPr>
        <w:pStyle w:val="PaperHeading"/>
        <w:rPr>
          <w:color w:val="000000" w:themeColor="text1"/>
        </w:rPr>
      </w:pPr>
      <w:r>
        <w:rPr>
          <w:color w:val="000000" w:themeColor="text1"/>
        </w:rPr>
        <w:lastRenderedPageBreak/>
        <w:t>5</w:t>
      </w:r>
      <w:r w:rsidR="00691EB6" w:rsidRPr="00691EB6">
        <w:rPr>
          <w:color w:val="000000" w:themeColor="text1"/>
        </w:rPr>
        <w:tab/>
        <w:t>Conclusion</w:t>
      </w:r>
    </w:p>
    <w:p w14:paraId="7292EF0D" w14:textId="047B3F2B" w:rsidR="00691EB6" w:rsidRPr="00501A6A" w:rsidRDefault="00501A6A" w:rsidP="00896905">
      <w:pPr>
        <w:spacing w:after="200"/>
        <w:jc w:val="both"/>
        <w:rPr>
          <w:bCs/>
          <w:color w:val="000000" w:themeColor="text1"/>
          <w:sz w:val="20"/>
          <w:szCs w:val="20"/>
          <w:lang w:val="en-GB"/>
        </w:rPr>
      </w:pPr>
      <w:r w:rsidRPr="00501A6A">
        <w:rPr>
          <w:bCs/>
          <w:color w:val="000000" w:themeColor="text1"/>
          <w:sz w:val="20"/>
          <w:szCs w:val="20"/>
          <w:lang w:val="en-GB"/>
        </w:rPr>
        <w:t>This study shows that th</w:t>
      </w:r>
      <w:r>
        <w:rPr>
          <w:bCs/>
          <w:color w:val="000000" w:themeColor="text1"/>
          <w:sz w:val="20"/>
          <w:szCs w:val="20"/>
          <w:lang w:val="en-GB"/>
        </w:rPr>
        <w:t xml:space="preserve">e on-site solar and storage system can decarbonize </w:t>
      </w:r>
      <w:r w:rsidR="009327A5">
        <w:rPr>
          <w:bCs/>
          <w:color w:val="000000" w:themeColor="text1"/>
          <w:sz w:val="20"/>
          <w:szCs w:val="20"/>
          <w:lang w:val="en-GB"/>
        </w:rPr>
        <w:t>most of the</w:t>
      </w:r>
      <w:r>
        <w:rPr>
          <w:bCs/>
          <w:color w:val="000000" w:themeColor="text1"/>
          <w:sz w:val="20"/>
          <w:szCs w:val="20"/>
          <w:lang w:val="en-GB"/>
        </w:rPr>
        <w:t xml:space="preserve"> replaceable industrial process heat in the EU at costs below the natural gas benchmark. Within a 5km buffer zone, 59% of replaceable heat demand can be served at an average levelized cost of </w:t>
      </w:r>
      <w:r w:rsidRPr="00501A6A">
        <w:rPr>
          <w:bCs/>
          <w:color w:val="000000" w:themeColor="text1"/>
          <w:sz w:val="20"/>
          <w:szCs w:val="20"/>
          <w:lang w:val="en-GB"/>
        </w:rPr>
        <w:t>€</w:t>
      </w:r>
      <w:r w:rsidR="008E17F9">
        <w:rPr>
          <w:bCs/>
          <w:color w:val="000000" w:themeColor="text1"/>
          <w:sz w:val="20"/>
          <w:szCs w:val="20"/>
          <w:lang w:val="en-GB"/>
        </w:rPr>
        <w:t>55</w:t>
      </w:r>
      <w:r w:rsidRPr="00501A6A">
        <w:rPr>
          <w:bCs/>
          <w:color w:val="000000" w:themeColor="text1"/>
          <w:sz w:val="20"/>
          <w:szCs w:val="20"/>
          <w:lang w:val="en-GB"/>
        </w:rPr>
        <w:t>/MWh</w:t>
      </w:r>
      <w:r>
        <w:rPr>
          <w:bCs/>
          <w:color w:val="000000" w:themeColor="text1"/>
          <w:sz w:val="20"/>
          <w:szCs w:val="20"/>
          <w:lang w:val="en-GB"/>
        </w:rPr>
        <w:t xml:space="preserve">. That rate can be increased to 86% at </w:t>
      </w:r>
      <w:r w:rsidRPr="00501A6A">
        <w:rPr>
          <w:bCs/>
          <w:color w:val="000000" w:themeColor="text1"/>
          <w:sz w:val="20"/>
          <w:szCs w:val="20"/>
          <w:lang w:val="en-GB"/>
        </w:rPr>
        <w:t>€6</w:t>
      </w:r>
      <w:r w:rsidR="008E17F9">
        <w:rPr>
          <w:bCs/>
          <w:color w:val="000000" w:themeColor="text1"/>
          <w:sz w:val="20"/>
          <w:szCs w:val="20"/>
          <w:lang w:val="en-GB"/>
        </w:rPr>
        <w:t>2</w:t>
      </w:r>
      <w:r w:rsidRPr="00501A6A">
        <w:rPr>
          <w:bCs/>
          <w:color w:val="000000" w:themeColor="text1"/>
          <w:sz w:val="20"/>
          <w:szCs w:val="20"/>
          <w:lang w:val="en-GB"/>
        </w:rPr>
        <w:t>/MWh</w:t>
      </w:r>
      <w:r>
        <w:rPr>
          <w:bCs/>
          <w:color w:val="000000" w:themeColor="text1"/>
          <w:sz w:val="20"/>
          <w:szCs w:val="20"/>
          <w:lang w:val="en-GB"/>
        </w:rPr>
        <w:t xml:space="preserve"> with a 15km buffer zone. </w:t>
      </w:r>
      <w:r w:rsidR="009327A5">
        <w:rPr>
          <w:bCs/>
          <w:color w:val="000000" w:themeColor="text1"/>
          <w:sz w:val="20"/>
          <w:szCs w:val="20"/>
          <w:lang w:val="en-GB"/>
        </w:rPr>
        <w:t xml:space="preserve">Southern European facilities tend to have stronger solar resource and less heat intense industrial facilities which allows them to serve almost their entire replaceable heat demand. The large, land-constrained, high-temperature sites are concentrated in the Rhine-Meuse region which will require hybrid solutions with either grid electricity or gas use to meet </w:t>
      </w:r>
      <w:r w:rsidR="00B265CE">
        <w:rPr>
          <w:bCs/>
          <w:color w:val="000000" w:themeColor="text1"/>
          <w:sz w:val="20"/>
          <w:szCs w:val="20"/>
          <w:lang w:val="en-GB"/>
        </w:rPr>
        <w:t>all</w:t>
      </w:r>
      <w:r w:rsidR="009327A5">
        <w:rPr>
          <w:bCs/>
          <w:color w:val="000000" w:themeColor="text1"/>
          <w:sz w:val="20"/>
          <w:szCs w:val="20"/>
          <w:lang w:val="en-GB"/>
        </w:rPr>
        <w:t xml:space="preserve"> its needs. </w:t>
      </w:r>
      <w:r w:rsidR="005F46E6">
        <w:rPr>
          <w:bCs/>
          <w:color w:val="000000" w:themeColor="text1"/>
          <w:sz w:val="20"/>
          <w:szCs w:val="20"/>
          <w:lang w:val="en-GB"/>
        </w:rPr>
        <w:t xml:space="preserve">Because this pathway is cost-competitive without requiring full decarbonization of the electricity grid, it offers industrial facilities a deployable, near-term solution to reduce emissions and lower exposure to gas price volatility. </w:t>
      </w:r>
    </w:p>
    <w:p w14:paraId="2FE8C682" w14:textId="52069059" w:rsidR="007450AF" w:rsidRPr="007450AF" w:rsidRDefault="007450AF" w:rsidP="00896905">
      <w:pPr>
        <w:spacing w:after="200"/>
        <w:jc w:val="both"/>
        <w:rPr>
          <w:b/>
          <w:color w:val="000000" w:themeColor="text1"/>
          <w:lang w:val="en-GB"/>
        </w:rPr>
      </w:pPr>
      <w:r w:rsidRPr="007450AF">
        <w:rPr>
          <w:b/>
          <w:color w:val="000000" w:themeColor="text1"/>
          <w:lang w:val="en-GB"/>
        </w:rPr>
        <w:t>6</w:t>
      </w:r>
      <w:r w:rsidR="00691EB6">
        <w:rPr>
          <w:b/>
          <w:color w:val="000000" w:themeColor="text1"/>
          <w:lang w:val="en-GB"/>
        </w:rPr>
        <w:t xml:space="preserve">     </w:t>
      </w:r>
      <w:r w:rsidRPr="007450AF">
        <w:rPr>
          <w:b/>
          <w:color w:val="000000" w:themeColor="text1"/>
          <w:lang w:val="en-GB"/>
        </w:rPr>
        <w:t>References</w:t>
      </w:r>
    </w:p>
    <w:p w14:paraId="03FC39D5" w14:textId="77777777" w:rsidR="00673234" w:rsidRPr="00673234" w:rsidRDefault="007450AF" w:rsidP="00673234">
      <w:pPr>
        <w:pStyle w:val="Bibliography"/>
        <w:rPr>
          <w:rFonts w:eastAsia="Calibri"/>
          <w:color w:val="000000"/>
          <w:sz w:val="20"/>
          <w:lang w:eastAsia="en-GB"/>
        </w:rPr>
      </w:pPr>
      <w:r>
        <w:rPr>
          <w:b/>
          <w:bCs/>
          <w:color w:val="000000" w:themeColor="text1"/>
          <w:sz w:val="20"/>
          <w:szCs w:val="20"/>
        </w:rPr>
        <w:fldChar w:fldCharType="begin"/>
      </w:r>
      <w:r w:rsidR="00580A29">
        <w:rPr>
          <w:b/>
          <w:bCs/>
          <w:color w:val="000000" w:themeColor="text1"/>
          <w:sz w:val="20"/>
          <w:szCs w:val="20"/>
        </w:rPr>
        <w:instrText xml:space="preserve"> ADDIN ZOTERO_BIBL {"uncited":[],"omitted":[],"custom":[]} CSL_BIBLIOGRAPHY </w:instrText>
      </w:r>
      <w:r>
        <w:rPr>
          <w:b/>
          <w:bCs/>
          <w:color w:val="000000" w:themeColor="text1"/>
          <w:sz w:val="20"/>
          <w:szCs w:val="20"/>
        </w:rPr>
        <w:fldChar w:fldCharType="separate"/>
      </w:r>
      <w:r w:rsidR="00673234" w:rsidRPr="00673234">
        <w:rPr>
          <w:rFonts w:eastAsia="Calibri"/>
          <w:color w:val="000000"/>
          <w:sz w:val="20"/>
          <w:lang w:eastAsia="en-GB"/>
        </w:rPr>
        <w:t>[1]</w:t>
      </w:r>
      <w:r w:rsidR="00673234" w:rsidRPr="00673234">
        <w:rPr>
          <w:rFonts w:eastAsia="Calibri"/>
          <w:color w:val="000000"/>
          <w:sz w:val="20"/>
          <w:lang w:eastAsia="en-GB"/>
        </w:rPr>
        <w:tab/>
        <w:t>Matthias Rehfeldt, Simon Bußmann, Tobias Fleiter, and Jeffrey Rissman, “Direct electrification of industrial process heat. An assessment of technologies, potentials and future prospects for the EU,” Fraunhofer ISI, 2024. Accessed: Jul. 27, 2026. [Online]. Available: https://energyinnovation.org/wp-content/uploads/Direct-electrification-of-industrial-process-heat.-An-assessment-of-technologies-potentials-and-future-prospects-for-the-EU.pdf</w:t>
      </w:r>
    </w:p>
    <w:p w14:paraId="7E43610A"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[2]</w:t>
      </w:r>
      <w:r w:rsidRPr="00673234">
        <w:rPr>
          <w:rFonts w:eastAsia="Calibri"/>
          <w:color w:val="000000"/>
          <w:sz w:val="20"/>
          <w:lang w:eastAsia="en-GB"/>
        </w:rPr>
        <w:tab/>
        <w:t xml:space="preserve">S. Madeddu </w:t>
      </w:r>
      <w:r w:rsidRPr="00673234">
        <w:rPr>
          <w:rFonts w:eastAsia="Calibri"/>
          <w:i/>
          <w:iCs/>
          <w:color w:val="000000"/>
          <w:sz w:val="20"/>
          <w:lang w:eastAsia="en-GB"/>
        </w:rPr>
        <w:t>et al.</w:t>
      </w:r>
      <w:r w:rsidRPr="00673234">
        <w:rPr>
          <w:rFonts w:eastAsia="Calibri"/>
          <w:color w:val="000000"/>
          <w:sz w:val="20"/>
          <w:lang w:eastAsia="en-GB"/>
        </w:rPr>
        <w:t xml:space="preserve">, “The CO2 reduction potential for the European industry via direct electrification of heat supply (power-to-heat),” </w:t>
      </w:r>
      <w:r w:rsidRPr="00673234">
        <w:rPr>
          <w:rFonts w:eastAsia="Calibri"/>
          <w:i/>
          <w:iCs/>
          <w:color w:val="000000"/>
          <w:sz w:val="20"/>
          <w:lang w:eastAsia="en-GB"/>
        </w:rPr>
        <w:t>Environ. Res. Lett.</w:t>
      </w:r>
      <w:r w:rsidRPr="00673234">
        <w:rPr>
          <w:rFonts w:eastAsia="Calibri"/>
          <w:color w:val="000000"/>
          <w:sz w:val="20"/>
          <w:lang w:eastAsia="en-GB"/>
        </w:rPr>
        <w:t>, vol. 15, no. 12, p. 124004, Nov. 2020, doi: 10.1088/1748-9326/abbd02.</w:t>
      </w:r>
    </w:p>
    <w:p w14:paraId="79EEB377"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[3]</w:t>
      </w:r>
      <w:r w:rsidRPr="00673234">
        <w:rPr>
          <w:rFonts w:eastAsia="Calibri"/>
          <w:color w:val="000000"/>
          <w:sz w:val="20"/>
          <w:lang w:eastAsia="en-GB"/>
        </w:rPr>
        <w:tab/>
        <w:t>“Executive summary – Renewables for Industry – Analysis,” IEA. Accessed: Aug. 10, 2026. [Online]. Available: https://www.iea.org/reports/renewables-for-industry/executive-summary</w:t>
      </w:r>
    </w:p>
    <w:p w14:paraId="5567DF94"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[4]</w:t>
      </w:r>
      <w:r w:rsidRPr="00673234">
        <w:rPr>
          <w:rFonts w:eastAsia="Calibri"/>
          <w:color w:val="000000"/>
          <w:sz w:val="20"/>
          <w:lang w:eastAsia="en-GB"/>
        </w:rPr>
        <w:tab/>
        <w:t xml:space="preserve">H. M. Wikoff, D. Garfield, S. Hwang, M. M. Ribo, M. Ruth, and S. B. Reese, “Benchmarking thermal energy storage cost for industrial process heat,” </w:t>
      </w:r>
      <w:r w:rsidRPr="00673234">
        <w:rPr>
          <w:rFonts w:eastAsia="Calibri"/>
          <w:i/>
          <w:iCs/>
          <w:color w:val="000000"/>
          <w:sz w:val="20"/>
          <w:lang w:eastAsia="en-GB"/>
        </w:rPr>
        <w:t>Applied Energy</w:t>
      </w:r>
      <w:r w:rsidRPr="00673234">
        <w:rPr>
          <w:rFonts w:eastAsia="Calibri"/>
          <w:color w:val="000000"/>
          <w:sz w:val="20"/>
          <w:lang w:eastAsia="en-GB"/>
        </w:rPr>
        <w:t>, vol. 402, p. 126873, Dec. 2025, doi: 10.1016/j.apenergy.2025.126873.</w:t>
      </w:r>
    </w:p>
    <w:p w14:paraId="0CF91AA5"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[5]</w:t>
      </w:r>
      <w:r w:rsidRPr="00673234">
        <w:rPr>
          <w:rFonts w:eastAsia="Calibri"/>
          <w:color w:val="000000"/>
          <w:sz w:val="20"/>
          <w:lang w:eastAsia="en-GB"/>
        </w:rPr>
        <w:tab/>
        <w:t xml:space="preserve">A. Lal, M. Tavoni, N. Preuss, and F. You, “Aligning EU energy security and climate mitigation through targeted transition strategies,” </w:t>
      </w:r>
      <w:r w:rsidRPr="00673234">
        <w:rPr>
          <w:rFonts w:eastAsia="Calibri"/>
          <w:i/>
          <w:iCs/>
          <w:color w:val="000000"/>
          <w:sz w:val="20"/>
          <w:lang w:eastAsia="en-GB"/>
        </w:rPr>
        <w:t>Nat Commun</w:t>
      </w:r>
      <w:r w:rsidRPr="00673234">
        <w:rPr>
          <w:rFonts w:eastAsia="Calibri"/>
          <w:color w:val="000000"/>
          <w:sz w:val="20"/>
          <w:lang w:eastAsia="en-GB"/>
        </w:rPr>
        <w:t>, vol. 17, no. 1, p. 875, Jan. 2026, doi: 10.1038/s41467-025-67595-7.</w:t>
      </w:r>
    </w:p>
    <w:p w14:paraId="4B7FD24E"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[6]</w:t>
      </w:r>
      <w:r w:rsidRPr="00673234">
        <w:rPr>
          <w:rFonts w:eastAsia="Calibri"/>
          <w:color w:val="000000"/>
          <w:sz w:val="20"/>
          <w:lang w:eastAsia="en-GB"/>
        </w:rPr>
        <w:tab/>
        <w:t>J. Rosenow and S. Oxenaar, “Opportunities for heat electrification and energy efficiency in European industry”.</w:t>
      </w:r>
    </w:p>
    <w:p w14:paraId="01B3D42E"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[7]</w:t>
      </w:r>
      <w:r w:rsidRPr="00673234">
        <w:rPr>
          <w:rFonts w:eastAsia="Calibri"/>
          <w:color w:val="000000"/>
          <w:sz w:val="20"/>
          <w:lang w:eastAsia="en-GB"/>
        </w:rPr>
        <w:tab/>
        <w:t>“The Strait of Hormuz: Security Developments and Impacts on Oil, Gas, and Other Commodities.” Accessed: Aug. 10, 2026. [Online]. Available: https://www.congress.gov/crs-product/R45281</w:t>
      </w:r>
    </w:p>
    <w:p w14:paraId="6ADF9404"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[8]</w:t>
      </w:r>
      <w:r w:rsidRPr="00673234">
        <w:rPr>
          <w:rFonts w:eastAsia="Calibri"/>
          <w:color w:val="000000"/>
          <w:sz w:val="20"/>
          <w:lang w:eastAsia="en-GB"/>
        </w:rPr>
        <w:tab/>
        <w:t xml:space="preserve">J. Rosenow, C. Arpagaus, S. Lechtenböhmer, S. Oxenaar, and E. Pusceddu, “The heat is on: Policy solutions for industrial electrification,” </w:t>
      </w:r>
      <w:r w:rsidRPr="00673234">
        <w:rPr>
          <w:rFonts w:eastAsia="Calibri"/>
          <w:i/>
          <w:iCs/>
          <w:color w:val="000000"/>
          <w:sz w:val="20"/>
          <w:lang w:eastAsia="en-GB"/>
        </w:rPr>
        <w:t xml:space="preserve">Energy </w:t>
      </w:r>
      <w:r w:rsidRPr="00673234">
        <w:rPr>
          <w:rFonts w:eastAsia="Calibri"/>
          <w:i/>
          <w:iCs/>
          <w:color w:val="000000"/>
          <w:sz w:val="20"/>
          <w:lang w:eastAsia="en-GB"/>
        </w:rPr>
        <w:t>Research &amp; Social Science</w:t>
      </w:r>
      <w:r w:rsidRPr="00673234">
        <w:rPr>
          <w:rFonts w:eastAsia="Calibri"/>
          <w:color w:val="000000"/>
          <w:sz w:val="20"/>
          <w:lang w:eastAsia="en-GB"/>
        </w:rPr>
        <w:t>, vol. 127, p. 104227, Sep. 2025, doi: 10.1016/j.erss.2025.104227.</w:t>
      </w:r>
    </w:p>
    <w:p w14:paraId="1E3E5D36"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[9]</w:t>
      </w:r>
      <w:r w:rsidRPr="00673234">
        <w:rPr>
          <w:rFonts w:eastAsia="Calibri"/>
          <w:color w:val="000000"/>
          <w:sz w:val="20"/>
          <w:lang w:eastAsia="en-GB"/>
        </w:rPr>
        <w:tab/>
        <w:t>J. Dominguez, U. Paliwal, and A. Phadke, “U.S. Can Cost-Effectively Supply One Third of Industrial Heat Demand Using Off-Grid Electric Thermal Storage and Heat Pumps”.</w:t>
      </w:r>
    </w:p>
    <w:p w14:paraId="598A9F7B"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[10]</w:t>
      </w:r>
      <w:r w:rsidRPr="00673234">
        <w:rPr>
          <w:rFonts w:eastAsia="Calibri"/>
          <w:color w:val="000000"/>
          <w:sz w:val="20"/>
          <w:lang w:eastAsia="en-GB"/>
        </w:rPr>
        <w:tab/>
        <w:t>E. Chojkiewicz, A. Manocha, U. Paliwal, D. Callaway, and A. Phadke, “Utilizing Noncoincident Needs to Site Data Centers with Solar+Storage at Existing Gas Plants”.</w:t>
      </w:r>
    </w:p>
    <w:p w14:paraId="36151ABC"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[11]</w:t>
      </w:r>
      <w:r w:rsidRPr="00673234">
        <w:rPr>
          <w:rFonts w:eastAsia="Calibri"/>
          <w:color w:val="000000"/>
          <w:sz w:val="20"/>
          <w:lang w:eastAsia="en-GB"/>
        </w:rPr>
        <w:tab/>
        <w:t>M. Baselovic, “A credible gas endgame for Europe,” Strategic Perspectives. Accessed: Aug. 10, 2026. [Online]. Available: https://strategicperspectives.eu/a-credible-gas-endgame-for-europe-electrification-and-regional-partnerships/</w:t>
      </w:r>
    </w:p>
    <w:p w14:paraId="62AF6B19"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[12]</w:t>
      </w:r>
      <w:r w:rsidRPr="00673234">
        <w:rPr>
          <w:rFonts w:eastAsia="Calibri"/>
          <w:color w:val="000000"/>
          <w:sz w:val="20"/>
          <w:lang w:eastAsia="en-GB"/>
        </w:rPr>
        <w:tab/>
        <w:t>“Crossed wires꞉ Grid capacity could block EU energy security,” Ember. Accessed: Aug. 10, 2026. [Online]. Available: https://ember-energy.org/latest-insights/crossed-wires-grid-capacity-could-block-eu-energy-security</w:t>
      </w:r>
    </w:p>
    <w:p w14:paraId="7EAC7EE3"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[13]</w:t>
      </w:r>
      <w:r w:rsidRPr="00673234">
        <w:rPr>
          <w:rFonts w:eastAsia="Calibri"/>
          <w:color w:val="000000"/>
          <w:sz w:val="20"/>
          <w:lang w:eastAsia="en-GB"/>
        </w:rPr>
        <w:tab/>
        <w:t>“The business case for electrifying industrial heat,” Agora Industry, Agora Energiewende, Fraunhofer ISI, ECCO Think Tank and Reform Institu. Accessed: Jul. 22, 2026. [Online]. Available: https://www.agora-industry.org/fileadmin/Projekte/2023/2023-36_IND_Electrification_low_heat/A-IND_396_The_business_case_for_electrifying_industrial_heat_WEB.pdf</w:t>
      </w:r>
    </w:p>
    <w:p w14:paraId="3A8CBE61"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[14]</w:t>
      </w:r>
      <w:r w:rsidRPr="00673234">
        <w:rPr>
          <w:rFonts w:eastAsia="Calibri"/>
          <w:color w:val="000000"/>
          <w:sz w:val="20"/>
          <w:lang w:eastAsia="en-GB"/>
        </w:rPr>
        <w:tab/>
        <w:t xml:space="preserve">M. Neuwirth, T. Fleiter, and R. Hofmann, “Modelling the transformation of energy-intensive industries based on site-specific investment decisions,” </w:t>
      </w:r>
      <w:r w:rsidRPr="00673234">
        <w:rPr>
          <w:rFonts w:eastAsia="Calibri"/>
          <w:i/>
          <w:iCs/>
          <w:color w:val="000000"/>
          <w:sz w:val="20"/>
          <w:lang w:eastAsia="en-GB"/>
        </w:rPr>
        <w:t>Sci Rep</w:t>
      </w:r>
      <w:r w:rsidRPr="00673234">
        <w:rPr>
          <w:rFonts w:eastAsia="Calibri"/>
          <w:color w:val="000000"/>
          <w:sz w:val="20"/>
          <w:lang w:eastAsia="en-GB"/>
        </w:rPr>
        <w:t>, vol. 14, no. 1, p. 30552, Dec. 2024, doi: 10.1038/s41598-024-78881-7.</w:t>
      </w:r>
    </w:p>
    <w:p w14:paraId="44706914"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[15]</w:t>
      </w:r>
      <w:r w:rsidRPr="00673234">
        <w:rPr>
          <w:rFonts w:eastAsia="Calibri"/>
          <w:color w:val="000000"/>
          <w:sz w:val="20"/>
          <w:lang w:eastAsia="en-GB"/>
        </w:rPr>
        <w:tab/>
        <w:t xml:space="preserve">S. Pezzutto </w:t>
      </w:r>
      <w:r w:rsidRPr="00673234">
        <w:rPr>
          <w:rFonts w:eastAsia="Calibri"/>
          <w:i/>
          <w:iCs/>
          <w:color w:val="000000"/>
          <w:sz w:val="20"/>
          <w:lang w:eastAsia="en-GB"/>
        </w:rPr>
        <w:t>et al.</w:t>
      </w:r>
      <w:r w:rsidRPr="00673234">
        <w:rPr>
          <w:rFonts w:eastAsia="Calibri"/>
          <w:color w:val="000000"/>
          <w:sz w:val="20"/>
          <w:lang w:eastAsia="en-GB"/>
        </w:rPr>
        <w:t>, “Hotmaps project, D2.3 WP2 report – open data set for the EU28,” EURAC, e-think, TUW, Fraunhofer ISI, 2018. [Online]. Available: https://www.hotmaps-project.eu/wp-content/uploads/2018/03/D2.3-Hotmaps_for-upload_revised-final_.pdf</w:t>
      </w:r>
    </w:p>
    <w:p w14:paraId="277BF5F0"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[16]</w:t>
      </w:r>
      <w:r w:rsidRPr="00673234">
        <w:rPr>
          <w:rFonts w:eastAsia="Calibri"/>
          <w:color w:val="000000"/>
          <w:sz w:val="20"/>
          <w:lang w:eastAsia="en-GB"/>
        </w:rPr>
        <w:tab/>
        <w:t>Gomez, Dario and Watterson, John D., “STATIONARY COMBUSTION.” Accessed: Jul. 31, 2026. [Online]. Available: https://www.ipcc-nggip.iges.or.jp/public/2006gl/pdf/2_Volume2/V2_2_Ch2_Stationary_Combustion.pdf</w:t>
      </w:r>
    </w:p>
    <w:p w14:paraId="5996D193"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[17]</w:t>
      </w:r>
      <w:r w:rsidRPr="00673234">
        <w:rPr>
          <w:rFonts w:eastAsia="Calibri"/>
          <w:color w:val="000000"/>
          <w:sz w:val="20"/>
          <w:lang w:eastAsia="en-GB"/>
        </w:rPr>
        <w:tab/>
        <w:t>Eurostat, “Disaggregated final energy consumption in industry by NACE Rev. 2 activity - quantities (nrg_d_indq).” 2024. [Online]. Available: https://europa.eu</w:t>
      </w:r>
    </w:p>
    <w:p w14:paraId="09F2E8FF"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[18]</w:t>
      </w:r>
      <w:r w:rsidRPr="00673234">
        <w:rPr>
          <w:rFonts w:eastAsia="Calibri"/>
          <w:color w:val="000000"/>
          <w:sz w:val="20"/>
          <w:lang w:eastAsia="en-GB"/>
        </w:rPr>
        <w:tab/>
        <w:t>“[nrg_d_indq_n] Disaggregated final energy consumption in industry by NACE Rev. 2 activity - quantities.” Accessed: Jul. 16, 2026. [Online]. Available: https://ec.europa.eu/eurostat/databrowser/view/nrg_d_indq_n/default/table?lang=en</w:t>
      </w:r>
    </w:p>
    <w:p w14:paraId="46E12407"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[19]</w:t>
      </w:r>
      <w:r w:rsidRPr="00673234">
        <w:rPr>
          <w:rFonts w:eastAsia="Calibri"/>
          <w:color w:val="000000"/>
          <w:sz w:val="20"/>
          <w:lang w:eastAsia="en-GB"/>
        </w:rPr>
        <w:tab/>
        <w:t>“BloombergNEF,” BloombergNEF. Accessed: Aug. 03, 2026. [Online]. Available: https://about.bnef.com/</w:t>
      </w:r>
    </w:p>
    <w:p w14:paraId="462FEC85"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[20]</w:t>
      </w:r>
      <w:r w:rsidRPr="00673234">
        <w:rPr>
          <w:rFonts w:eastAsia="Calibri"/>
          <w:color w:val="000000"/>
          <w:sz w:val="20"/>
          <w:lang w:eastAsia="en-GB"/>
        </w:rPr>
        <w:tab/>
        <w:t>J. Rissman, “Decarbonizing Low-Temperature Industrial Heat in the U.S.”.</w:t>
      </w:r>
    </w:p>
    <w:p w14:paraId="37918B33"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[21]</w:t>
      </w:r>
      <w:r w:rsidRPr="00673234">
        <w:rPr>
          <w:rFonts w:eastAsia="Calibri"/>
          <w:color w:val="000000"/>
          <w:sz w:val="20"/>
          <w:lang w:eastAsia="en-GB"/>
        </w:rPr>
        <w:tab/>
        <w:t>J. Rissman and E. Gimon, “Industrial Thermal Batteries”.</w:t>
      </w:r>
    </w:p>
    <w:p w14:paraId="6595F80B"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lastRenderedPageBreak/>
        <w:t>[22]</w:t>
      </w:r>
      <w:r w:rsidRPr="00673234">
        <w:rPr>
          <w:rFonts w:eastAsia="Calibri"/>
          <w:color w:val="000000"/>
          <w:sz w:val="20"/>
          <w:lang w:eastAsia="en-GB"/>
        </w:rPr>
        <w:tab/>
        <w:t>Eurostat, “Gas prices for industrial consumers - bi-annual data (from 2007 onwards).” Eurostat, 2026. doi: 10.2908/NRG_PC_203.</w:t>
      </w:r>
    </w:p>
    <w:p w14:paraId="4559BA01"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[23]</w:t>
      </w:r>
      <w:r w:rsidRPr="00673234">
        <w:rPr>
          <w:rFonts w:eastAsia="Calibri"/>
          <w:color w:val="000000"/>
          <w:sz w:val="20"/>
          <w:lang w:eastAsia="en-GB"/>
        </w:rPr>
        <w:tab/>
        <w:t>“Technology factsheet natural gas boiler industry.” Accessed: Aug. 03, 2026. [Online]. Available: https://energy.nl/wp-content/uploads/technology-factsheets-natural-gas-boiler-industry-7.pdf</w:t>
      </w:r>
    </w:p>
    <w:p w14:paraId="1E418372" w14:textId="77777777" w:rsidR="00673234" w:rsidRPr="00673234" w:rsidRDefault="00673234" w:rsidP="00673234">
      <w:pPr>
        <w:pStyle w:val="Bibliography"/>
        <w:rPr>
          <w:rFonts w:eastAsia="Calibri"/>
          <w:color w:val="000000"/>
          <w:sz w:val="20"/>
          <w:lang w:eastAsia="en-GB"/>
        </w:rPr>
      </w:pPr>
      <w:r w:rsidRPr="00673234">
        <w:rPr>
          <w:rFonts w:eastAsia="Calibri"/>
          <w:color w:val="000000"/>
          <w:sz w:val="20"/>
          <w:lang w:eastAsia="en-GB"/>
        </w:rPr>
        <w:t>[24]</w:t>
      </w:r>
      <w:r w:rsidRPr="00673234">
        <w:rPr>
          <w:rFonts w:eastAsia="Calibri"/>
          <w:color w:val="000000"/>
          <w:sz w:val="20"/>
          <w:lang w:eastAsia="en-GB"/>
        </w:rPr>
        <w:tab/>
        <w:t>S. Wiedemann, “The industrial electricity price - cost relief with new requirements and verification obligations,” KPMG-Law. Accessed: Aug. 06, 2026. [Online]. Available: https://kpmg-law.de/en/the-industrial-electricity-price-cost-relief-with-new-requirements-and-verification-obligations/</w:t>
      </w:r>
    </w:p>
    <w:p w14:paraId="68BCEE4F" w14:textId="525C600A" w:rsidR="00592EFC" w:rsidRPr="00896905" w:rsidRDefault="007450AF" w:rsidP="00673234">
      <w:pPr>
        <w:pStyle w:val="Bibliography"/>
        <w:rPr>
          <w:b/>
          <w:bCs/>
          <w:color w:val="000000" w:themeColor="text1"/>
          <w:sz w:val="20"/>
          <w:szCs w:val="20"/>
        </w:rPr>
      </w:pPr>
      <w:r>
        <w:rPr>
          <w:b/>
          <w:bCs/>
          <w:color w:val="000000" w:themeColor="text1"/>
          <w:sz w:val="20"/>
          <w:szCs w:val="20"/>
        </w:rPr>
        <w:fldChar w:fldCharType="end"/>
      </w:r>
    </w:p>
    <w:p w14:paraId="330F2D95" w14:textId="77777777" w:rsidR="00CA55D5" w:rsidRDefault="00CA55D5">
      <w:pPr>
        <w:rPr>
          <w:rFonts w:eastAsia="SimSun"/>
          <w:bCs/>
          <w:i/>
          <w:iCs/>
          <w:color w:val="EE0000"/>
          <w:sz w:val="20"/>
          <w:szCs w:val="20"/>
          <w:lang w:val="en-AU" w:eastAsia="zh-CN"/>
        </w:rPr>
      </w:pPr>
      <w:r>
        <w:rPr>
          <w:rFonts w:eastAsia="SimSun"/>
          <w:bCs/>
          <w:i/>
          <w:iCs/>
          <w:color w:val="EE0000"/>
          <w:sz w:val="20"/>
          <w:szCs w:val="20"/>
          <w:lang w:val="en-AU" w:eastAsia="zh-CN"/>
        </w:rPr>
        <w:br w:type="page"/>
      </w:r>
    </w:p>
    <w:p w14:paraId="685481A5" w14:textId="77777777" w:rsidR="00F15C30" w:rsidRPr="00D56430" w:rsidRDefault="00170FE0" w:rsidP="00BE681B">
      <w:pPr>
        <w:keepNext/>
        <w:spacing w:before="240" w:after="60"/>
        <w:outlineLvl w:val="1"/>
        <w:rPr>
          <w:rFonts w:eastAsia="SimSun"/>
          <w:bCs/>
          <w:i/>
          <w:iCs/>
          <w:color w:val="EE0000"/>
          <w:sz w:val="20"/>
          <w:szCs w:val="20"/>
          <w:lang w:val="en-AU" w:eastAsia="zh-CN"/>
        </w:rPr>
      </w:pPr>
      <w:r>
        <w:rPr>
          <w:rFonts w:eastAsia="SimSun"/>
          <w:bCs/>
          <w:i/>
          <w:iCs/>
          <w:color w:val="EE0000"/>
          <w:sz w:val="20"/>
          <w:szCs w:val="20"/>
          <w:lang w:val="en-AU" w:eastAsia="zh-CN"/>
        </w:rPr>
        <w:lastRenderedPageBreak/>
        <w:t>3.1 Figures</w:t>
      </w:r>
    </w:p>
    <w:p w14:paraId="0CFE92F3" w14:textId="77777777" w:rsidR="00846584" w:rsidRPr="00D56430" w:rsidRDefault="00F15C30" w:rsidP="00F15C30">
      <w:pPr>
        <w:jc w:val="both"/>
        <w:rPr>
          <w:rFonts w:eastAsia="SimSun"/>
          <w:color w:val="EE0000"/>
          <w:sz w:val="20"/>
          <w:szCs w:val="20"/>
          <w:lang w:val="en-AU" w:eastAsia="zh-CN"/>
        </w:rPr>
      </w:pPr>
      <w:r>
        <w:rPr>
          <w:rFonts w:eastAsia="SimSun"/>
          <w:color w:val="EE0000"/>
          <w:sz w:val="20"/>
          <w:szCs w:val="20"/>
          <w:lang w:eastAsia="zh-CN"/>
        </w:rPr>
        <w:t xml:space="preserve">Graphics may be full colour but make sure that they are appropriate for print (black and white) and online (colour) publication. Coloured line graphs should use dotted or dashed lines, or shapes to distinguish them apart in print. Examples of graphs in acceptable formats are given in Fig 1. </w:t>
      </w:r>
      <w:r>
        <w:rPr>
          <w:rFonts w:eastAsia="SimSun"/>
          <w:color w:val="EE0000"/>
          <w:sz w:val="20"/>
          <w:szCs w:val="20"/>
          <w:lang w:val="en-AU" w:eastAsia="zh-CN"/>
        </w:rPr>
        <w:t>Each figure should be explicitly referred to in numerical order and should be embedded within the text at the appropriate point. A maximum of four subfigures are allowed per figure.</w:t>
      </w:r>
    </w:p>
    <w:p w14:paraId="1D583F5C" w14:textId="77777777" w:rsidR="00ED75F1" w:rsidRPr="00896905" w:rsidRDefault="00ED75F1" w:rsidP="00F15C30">
      <w:pPr>
        <w:jc w:val="both"/>
        <w:rPr>
          <w:rFonts w:eastAsia="SimSun"/>
          <w:color w:val="EE0000"/>
          <w:sz w:val="20"/>
          <w:szCs w:val="20"/>
          <w:lang w:eastAsia="zh-CN"/>
        </w:rPr>
      </w:pPr>
    </w:p>
    <w:p w14:paraId="5D83600C" w14:textId="77777777" w:rsidR="00E723D9" w:rsidRPr="000420F7" w:rsidRDefault="00E723D9" w:rsidP="000420F7">
      <w:pPr>
        <w:jc w:val="both"/>
        <w:rPr>
          <w:rFonts w:eastAsia="SimSun"/>
          <w:color w:val="EE0000"/>
          <w:sz w:val="20"/>
          <w:szCs w:val="20"/>
          <w:lang w:val="en-AU" w:eastAsia="zh-CN"/>
        </w:rPr>
      </w:pPr>
    </w:p>
    <w:p w14:paraId="14088BF9" w14:textId="77777777" w:rsidR="00E723D9" w:rsidRPr="00D56430" w:rsidRDefault="00E723D9" w:rsidP="00F15C30">
      <w:pPr>
        <w:jc w:val="center"/>
        <w:rPr>
          <w:i/>
          <w:color w:val="EE0000"/>
        </w:rPr>
      </w:pPr>
    </w:p>
    <w:p w14:paraId="26EE7A3E" w14:textId="77777777" w:rsidR="00E723D9" w:rsidRPr="00D56430" w:rsidRDefault="00E723D9" w:rsidP="00F15C30">
      <w:pPr>
        <w:jc w:val="center"/>
        <w:rPr>
          <w:i/>
          <w:color w:val="EE0000"/>
        </w:rPr>
      </w:pPr>
    </w:p>
    <w:p w14:paraId="25D46B80" w14:textId="77777777" w:rsidR="00E723D9" w:rsidRPr="00D56430" w:rsidRDefault="00E723D9" w:rsidP="00E723D9">
      <w:pPr>
        <w:jc w:val="center"/>
        <w:rPr>
          <w:i/>
          <w:color w:val="EE0000"/>
        </w:rPr>
      </w:pPr>
      <w:r>
        <w:rPr>
          <w:i/>
          <w:color w:val="EE0000"/>
        </w:rPr>
        <w:t>a</w:t>
      </w:r>
    </w:p>
    <w:p w14:paraId="612CD235" w14:textId="77777777" w:rsidR="00E723D9" w:rsidRPr="00D56430" w:rsidRDefault="00E723D9" w:rsidP="00F15C30">
      <w:pPr>
        <w:jc w:val="center"/>
        <w:rPr>
          <w:i/>
          <w:color w:val="EE0000"/>
        </w:rPr>
      </w:pPr>
    </w:p>
    <w:p w14:paraId="0F892AC0" w14:textId="77777777" w:rsidR="00637551" w:rsidRPr="00D56430" w:rsidRDefault="00637551" w:rsidP="00E723D9">
      <w:pPr>
        <w:rPr>
          <w:color w:val="EE0000"/>
        </w:rPr>
      </w:pPr>
    </w:p>
    <w:p w14:paraId="1C39C605" w14:textId="77777777" w:rsidR="00ED75F1" w:rsidRPr="00D56430" w:rsidRDefault="00ED75F1" w:rsidP="00E723D9">
      <w:pPr>
        <w:rPr>
          <w:i/>
          <w:color w:val="EE0000"/>
        </w:rPr>
      </w:pPr>
    </w:p>
    <w:p w14:paraId="6F6E5F1E" w14:textId="77777777" w:rsidR="00E723D9" w:rsidRPr="00D56430" w:rsidRDefault="00E723D9" w:rsidP="00085EA3">
      <w:pPr>
        <w:jc w:val="center"/>
        <w:rPr>
          <w:i/>
          <w:color w:val="EE0000"/>
        </w:rPr>
      </w:pPr>
    </w:p>
    <w:p w14:paraId="7843EFAA" w14:textId="77777777" w:rsidR="00CD60CA" w:rsidRPr="00D56430" w:rsidRDefault="00CD60CA" w:rsidP="00085EA3">
      <w:pPr>
        <w:jc w:val="center"/>
        <w:rPr>
          <w:i/>
          <w:color w:val="EE0000"/>
        </w:rPr>
      </w:pPr>
    </w:p>
    <w:p w14:paraId="614E5101" w14:textId="77777777" w:rsidR="00E723D9" w:rsidRPr="00D56430" w:rsidRDefault="00E723D9" w:rsidP="00E723D9">
      <w:pPr>
        <w:rPr>
          <w:i/>
          <w:color w:val="EE0000"/>
        </w:rPr>
      </w:pPr>
    </w:p>
    <w:p w14:paraId="14868422" w14:textId="77777777" w:rsidR="00E723D9" w:rsidRPr="00D56430" w:rsidRDefault="00E723D9" w:rsidP="00085EA3">
      <w:pPr>
        <w:jc w:val="center"/>
        <w:rPr>
          <w:i/>
          <w:color w:val="EE0000"/>
        </w:rPr>
      </w:pPr>
    </w:p>
    <w:p w14:paraId="0787CDFE" w14:textId="77777777" w:rsidR="00E723D9" w:rsidRPr="00D56430" w:rsidRDefault="00E723D9" w:rsidP="00085EA3">
      <w:pPr>
        <w:jc w:val="center"/>
        <w:rPr>
          <w:i/>
          <w:color w:val="EE0000"/>
        </w:rPr>
      </w:pPr>
    </w:p>
    <w:p w14:paraId="7FF6413E" w14:textId="77777777" w:rsidR="00E723D9" w:rsidRPr="00D56430" w:rsidRDefault="00E723D9" w:rsidP="00085EA3">
      <w:pPr>
        <w:jc w:val="center"/>
        <w:rPr>
          <w:i/>
          <w:color w:val="EE0000"/>
        </w:rPr>
      </w:pPr>
    </w:p>
    <w:p w14:paraId="2531DBAA" w14:textId="77777777" w:rsidR="00E723D9" w:rsidRPr="00D56430" w:rsidRDefault="00E723D9" w:rsidP="00085EA3">
      <w:pPr>
        <w:jc w:val="center"/>
        <w:rPr>
          <w:i/>
          <w:color w:val="EE0000"/>
        </w:rPr>
      </w:pPr>
      <w:r>
        <w:rPr>
          <w:i/>
          <w:color w:val="EE0000"/>
        </w:rPr>
        <w:t>b</w:t>
      </w:r>
    </w:p>
    <w:p w14:paraId="04C4D111" w14:textId="77777777" w:rsidR="00E723D9" w:rsidRPr="00D56430" w:rsidRDefault="00E723D9" w:rsidP="00085EA3">
      <w:pPr>
        <w:jc w:val="center"/>
        <w:rPr>
          <w:i/>
          <w:color w:val="EE0000"/>
        </w:rPr>
      </w:pPr>
    </w:p>
    <w:p w14:paraId="0D953785" w14:textId="77777777" w:rsidR="00B75E5B" w:rsidRPr="00D56430" w:rsidRDefault="00170FE0" w:rsidP="00F15C30">
      <w:pPr>
        <w:rPr>
          <w:i/>
          <w:color w:val="EE0000"/>
        </w:rPr>
      </w:pPr>
      <w:r>
        <w:rPr>
          <w:rFonts w:eastAsia="SimSun"/>
          <w:i/>
          <w:iCs/>
          <w:color w:val="EE0000"/>
          <w:sz w:val="20"/>
          <w:szCs w:val="20"/>
          <w:lang w:val="en-AU" w:eastAsia="zh-CN"/>
        </w:rPr>
        <w:t>3.1.1 Figure Captions</w:t>
      </w:r>
      <w:r>
        <w:rPr>
          <w:i/>
          <w:color w:val="EE0000"/>
        </w:rPr>
        <w:t xml:space="preserve">: </w:t>
      </w:r>
      <w:r>
        <w:rPr>
          <w:rFonts w:eastAsia="SimSun"/>
          <w:iCs/>
          <w:color w:val="EE0000"/>
          <w:sz w:val="20"/>
          <w:szCs w:val="20"/>
          <w:lang w:val="en-AU" w:eastAsia="zh-CN"/>
        </w:rPr>
        <w:t>two examples of figure captions in an acceptable format for Fig 1.are given below:</w:t>
      </w:r>
    </w:p>
    <w:p w14:paraId="307FA197" w14:textId="77777777" w:rsidR="00B75E5B" w:rsidRPr="00D56430" w:rsidRDefault="00B75E5B" w:rsidP="00F15C30">
      <w:pPr>
        <w:rPr>
          <w:rFonts w:eastAsia="SimSun"/>
          <w:iCs/>
          <w:color w:val="EE0000"/>
          <w:sz w:val="20"/>
          <w:szCs w:val="20"/>
          <w:lang w:val="en-AU" w:eastAsia="zh-CN"/>
        </w:rPr>
      </w:pPr>
    </w:p>
    <w:p w14:paraId="2B66E125" w14:textId="77777777" w:rsidR="00170FE0" w:rsidRPr="00D56430" w:rsidRDefault="00F15C30" w:rsidP="00F15C30">
      <w:pPr>
        <w:rPr>
          <w:rFonts w:eastAsia="SimSun"/>
          <w:iCs/>
          <w:color w:val="EE0000"/>
          <w:sz w:val="20"/>
          <w:szCs w:val="20"/>
          <w:lang w:val="en-AU" w:eastAsia="zh-CN"/>
        </w:rPr>
      </w:pPr>
      <w:r>
        <w:rPr>
          <w:rFonts w:eastAsia="SimSun"/>
          <w:iCs/>
          <w:color w:val="EE0000"/>
          <w:sz w:val="20"/>
          <w:szCs w:val="20"/>
          <w:lang w:val="en-AU" w:eastAsia="zh-CN"/>
        </w:rPr>
        <w:t xml:space="preserve">Fig. 1 (a) Sample graph with pink (dotted), blue (solid) and black (dashed) lines, (b) Sample graph with black (diamond), black (triangle) and black (square) markers </w:t>
      </w:r>
    </w:p>
    <w:p w14:paraId="24D80044" w14:textId="77777777" w:rsidR="00F15C30" w:rsidRPr="00D56430" w:rsidRDefault="00F15C30" w:rsidP="00623DCC">
      <w:pPr>
        <w:spacing w:before="120" w:after="120"/>
        <w:rPr>
          <w:rFonts w:eastAsia="SimSun"/>
          <w:iCs/>
          <w:color w:val="EE0000"/>
          <w:sz w:val="20"/>
          <w:szCs w:val="20"/>
          <w:lang w:val="en-AU" w:eastAsia="zh-CN"/>
        </w:rPr>
      </w:pPr>
      <w:r>
        <w:rPr>
          <w:rFonts w:eastAsia="SimSun"/>
          <w:b/>
          <w:iCs/>
          <w:color w:val="EE0000"/>
          <w:sz w:val="20"/>
          <w:szCs w:val="20"/>
          <w:lang w:val="en-AU" w:eastAsia="zh-CN"/>
        </w:rPr>
        <w:t>or</w:t>
      </w:r>
    </w:p>
    <w:p w14:paraId="0D8EF08C" w14:textId="77777777" w:rsidR="00F15C30" w:rsidRPr="00D56430" w:rsidRDefault="00F15C30" w:rsidP="00F15C30">
      <w:pPr>
        <w:rPr>
          <w:rFonts w:eastAsia="SimSun"/>
          <w:iCs/>
          <w:color w:val="EE0000"/>
          <w:sz w:val="20"/>
          <w:szCs w:val="20"/>
          <w:lang w:val="en-AU" w:eastAsia="zh-CN"/>
        </w:rPr>
      </w:pPr>
      <w:r>
        <w:rPr>
          <w:rFonts w:eastAsia="SimSun"/>
          <w:iCs/>
          <w:color w:val="EE0000"/>
          <w:sz w:val="20"/>
          <w:szCs w:val="20"/>
          <w:lang w:val="en-AU" w:eastAsia="zh-CN"/>
        </w:rPr>
        <w:t>Figure 1 Sample graph</w:t>
      </w:r>
    </w:p>
    <w:p w14:paraId="3FAED50B" w14:textId="77777777" w:rsidR="00F15C30" w:rsidRPr="00D56430" w:rsidRDefault="00170FE0" w:rsidP="00F15C30">
      <w:pPr>
        <w:rPr>
          <w:rFonts w:eastAsia="SimSun"/>
          <w:iCs/>
          <w:color w:val="EE0000"/>
          <w:sz w:val="20"/>
          <w:szCs w:val="20"/>
          <w:lang w:val="en-AU" w:eastAsia="zh-CN"/>
        </w:rPr>
      </w:pPr>
      <w:r>
        <w:rPr>
          <w:rFonts w:eastAsia="SimSun"/>
          <w:iCs/>
          <w:color w:val="EE0000"/>
          <w:sz w:val="20"/>
          <w:szCs w:val="20"/>
          <w:lang w:val="en-AU" w:eastAsia="zh-CN"/>
        </w:rPr>
        <w:t>(a) Subfigure 1</w:t>
      </w:r>
    </w:p>
    <w:p w14:paraId="312FEAF4" w14:textId="77777777" w:rsidR="00F15C30" w:rsidRPr="00D56430" w:rsidRDefault="00170FE0" w:rsidP="00F15C30">
      <w:pPr>
        <w:rPr>
          <w:rFonts w:eastAsia="SimSun"/>
          <w:iCs/>
          <w:color w:val="EE0000"/>
          <w:sz w:val="20"/>
          <w:szCs w:val="20"/>
          <w:lang w:val="en-AU" w:eastAsia="zh-CN"/>
        </w:rPr>
      </w:pPr>
      <w:r>
        <w:rPr>
          <w:rFonts w:eastAsia="SimSun"/>
          <w:iCs/>
          <w:color w:val="EE0000"/>
          <w:sz w:val="20"/>
          <w:szCs w:val="20"/>
          <w:lang w:val="en-AU" w:eastAsia="zh-CN"/>
        </w:rPr>
        <w:t>(b) Subfigure 2</w:t>
      </w:r>
    </w:p>
    <w:p w14:paraId="165551F5" w14:textId="77777777" w:rsidR="00170FE0" w:rsidRPr="00D56430" w:rsidRDefault="00170FE0" w:rsidP="00F15C30">
      <w:pPr>
        <w:jc w:val="both"/>
        <w:rPr>
          <w:rFonts w:eastAsia="SimSun"/>
          <w:i/>
          <w:color w:val="EE0000"/>
          <w:sz w:val="20"/>
          <w:szCs w:val="20"/>
          <w:lang w:val="en-AU" w:eastAsia="zh-CN"/>
        </w:rPr>
      </w:pPr>
    </w:p>
    <w:p w14:paraId="6235EA23" w14:textId="77777777" w:rsidR="00F15C30" w:rsidRPr="00D56430" w:rsidRDefault="00F15C30" w:rsidP="00F15C30">
      <w:pPr>
        <w:jc w:val="both"/>
        <w:rPr>
          <w:rFonts w:eastAsia="SimSun"/>
          <w:color w:val="EE0000"/>
          <w:lang w:eastAsia="zh-CN"/>
        </w:rPr>
      </w:pPr>
      <w:r>
        <w:rPr>
          <w:rFonts w:eastAsia="SimSun"/>
          <w:color w:val="EE0000"/>
          <w:sz w:val="20"/>
          <w:szCs w:val="20"/>
          <w:lang w:eastAsia="zh-CN"/>
        </w:rPr>
        <w:t>Figure captions must be below the figure, in 10pt font and should ideally consist of one sentence.  If a figure has subfigures, all subfigures should also have a caption and should be identified by letters, e.g. (</w:t>
      </w:r>
      <w:r>
        <w:rPr>
          <w:rFonts w:eastAsia="SimSun"/>
          <w:i/>
          <w:color w:val="EE0000"/>
          <w:sz w:val="20"/>
          <w:szCs w:val="20"/>
          <w:lang w:eastAsia="zh-CN"/>
        </w:rPr>
        <w:t>a)</w:t>
      </w:r>
      <w:r>
        <w:rPr>
          <w:rFonts w:eastAsia="SimSun"/>
          <w:color w:val="EE0000"/>
          <w:sz w:val="20"/>
          <w:szCs w:val="20"/>
          <w:lang w:eastAsia="zh-CN"/>
        </w:rPr>
        <w:t>, (</w:t>
      </w:r>
      <w:r>
        <w:rPr>
          <w:rFonts w:eastAsia="SimSun"/>
          <w:i/>
          <w:color w:val="EE0000"/>
          <w:sz w:val="20"/>
          <w:szCs w:val="20"/>
          <w:lang w:eastAsia="zh-CN"/>
        </w:rPr>
        <w:t>b)</w:t>
      </w:r>
      <w:r>
        <w:rPr>
          <w:rFonts w:eastAsia="SimSun"/>
          <w:color w:val="EE0000"/>
          <w:sz w:val="20"/>
          <w:szCs w:val="20"/>
          <w:lang w:eastAsia="zh-CN"/>
        </w:rPr>
        <w:t>, (</w:t>
      </w:r>
      <w:r>
        <w:rPr>
          <w:rFonts w:eastAsia="SimSun"/>
          <w:i/>
          <w:color w:val="EE0000"/>
          <w:sz w:val="20"/>
          <w:szCs w:val="20"/>
          <w:lang w:eastAsia="zh-CN"/>
        </w:rPr>
        <w:t>c), (d)</w:t>
      </w:r>
      <w:r>
        <w:rPr>
          <w:rFonts w:eastAsia="SimSun"/>
          <w:color w:val="EE0000"/>
          <w:sz w:val="20"/>
          <w:szCs w:val="20"/>
          <w:lang w:eastAsia="zh-CN"/>
        </w:rPr>
        <w:t xml:space="preserve"> as shown above. </w:t>
      </w:r>
    </w:p>
    <w:p w14:paraId="49641B27" w14:textId="77777777" w:rsidR="00F15C30" w:rsidRPr="00D56430" w:rsidRDefault="00170FE0" w:rsidP="00F15C30">
      <w:pPr>
        <w:keepNext/>
        <w:spacing w:before="240" w:after="60"/>
        <w:outlineLvl w:val="1"/>
        <w:rPr>
          <w:rFonts w:eastAsia="SimSun"/>
          <w:bCs/>
          <w:i/>
          <w:iCs/>
          <w:color w:val="EE0000"/>
          <w:sz w:val="20"/>
          <w:szCs w:val="20"/>
          <w:lang w:eastAsia="zh-CN"/>
        </w:rPr>
      </w:pPr>
      <w:r>
        <w:rPr>
          <w:rFonts w:eastAsia="SimSun"/>
          <w:bCs/>
          <w:i/>
          <w:iCs/>
          <w:color w:val="EE0000"/>
          <w:sz w:val="20"/>
          <w:szCs w:val="20"/>
          <w:lang w:eastAsia="zh-CN"/>
        </w:rPr>
        <w:t>3.2 Tables</w:t>
      </w:r>
    </w:p>
    <w:p w14:paraId="20728A3A" w14:textId="77777777" w:rsidR="00846584" w:rsidRPr="00D56430" w:rsidRDefault="00F15C30" w:rsidP="00F15C30">
      <w:pPr>
        <w:jc w:val="both"/>
        <w:rPr>
          <w:rFonts w:eastAsia="SimSun"/>
          <w:color w:val="EE0000"/>
          <w:sz w:val="20"/>
          <w:szCs w:val="20"/>
          <w:lang w:eastAsia="zh-CN"/>
        </w:rPr>
      </w:pPr>
      <w:r>
        <w:rPr>
          <w:rFonts w:eastAsia="SimSun"/>
          <w:color w:val="EE0000"/>
          <w:sz w:val="20"/>
          <w:szCs w:val="20"/>
          <w:lang w:eastAsia="zh-CN"/>
        </w:rPr>
        <w:t>Tables should be formatted as shown in the example below with no column lines, unless these are essential for clarifying the content of the table. Row lines can be used to distinguish the column headings from the content of the table.</w:t>
      </w:r>
    </w:p>
    <w:p w14:paraId="652D8B7D" w14:textId="77777777" w:rsidR="00846584" w:rsidRPr="00D56430" w:rsidRDefault="00846584" w:rsidP="00F15C30">
      <w:pPr>
        <w:jc w:val="both"/>
        <w:rPr>
          <w:rFonts w:eastAsia="SimSun"/>
          <w:color w:val="EE0000"/>
          <w:sz w:val="20"/>
          <w:szCs w:val="20"/>
          <w:lang w:eastAsia="zh-CN"/>
        </w:rPr>
      </w:pPr>
    </w:p>
    <w:p w14:paraId="1F4D31FF" w14:textId="77777777" w:rsidR="00F15C30" w:rsidRPr="00D56430" w:rsidRDefault="00F15C30" w:rsidP="00F15C30">
      <w:pPr>
        <w:jc w:val="both"/>
        <w:rPr>
          <w:rFonts w:eastAsia="SimSun"/>
          <w:color w:val="EE0000"/>
          <w:sz w:val="20"/>
          <w:szCs w:val="20"/>
          <w:lang w:eastAsia="zh-CN"/>
        </w:rPr>
      </w:pPr>
      <w:r>
        <w:rPr>
          <w:rFonts w:eastAsia="SimSun"/>
          <w:color w:val="EE0000"/>
          <w:sz w:val="20"/>
          <w:szCs w:val="20"/>
          <w:lang w:eastAsia="zh-CN"/>
        </w:rPr>
        <w:t>Table 1 Example table</w:t>
      </w:r>
    </w:p>
    <w:p w14:paraId="6F83D994" w14:textId="77777777" w:rsidR="00F15C30" w:rsidRPr="00D56430" w:rsidRDefault="00F15C30" w:rsidP="00F15C30">
      <w:pPr>
        <w:rPr>
          <w:color w:val="EE0000"/>
          <w:sz w:val="20"/>
          <w:szCs w:val="20"/>
        </w:rPr>
      </w:pPr>
    </w:p>
    <w:tbl>
      <w:tblPr>
        <w:tblW w:w="0" w:type="auto"/>
        <w:tblLook w:val="04A0" w:firstRow="1" w:lastRow="0" w:firstColumn="1" w:lastColumn="0" w:noHBand="0" w:noVBand="1"/>
      </w:tblPr>
      <w:tblGrid>
        <w:gridCol w:w="1863"/>
        <w:gridCol w:w="1645"/>
        <w:gridCol w:w="1452"/>
      </w:tblGrid>
      <w:tr w:rsidR="00F15C30" w:rsidRPr="00D56430" w14:paraId="3CAC761D" w14:textId="77777777" w:rsidTr="00FD2C96">
        <w:trPr>
          <w:trHeight w:val="295"/>
        </w:trPr>
        <w:tc>
          <w:tcPr>
            <w:tcW w:w="1951" w:type="dxa"/>
            <w:tcBorders>
              <w:top w:val="single" w:sz="8" w:space="0" w:color="auto"/>
            </w:tcBorders>
          </w:tcPr>
          <w:p w14:paraId="303EE9B8"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Column heading</w:t>
            </w:r>
          </w:p>
        </w:tc>
        <w:tc>
          <w:tcPr>
            <w:tcW w:w="2126" w:type="dxa"/>
            <w:tcBorders>
              <w:top w:val="single" w:sz="8" w:space="0" w:color="auto"/>
            </w:tcBorders>
          </w:tcPr>
          <w:p w14:paraId="78990158"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Column heading two</w:t>
            </w:r>
          </w:p>
        </w:tc>
        <w:tc>
          <w:tcPr>
            <w:tcW w:w="2127" w:type="dxa"/>
            <w:tcBorders>
              <w:top w:val="single" w:sz="8" w:space="0" w:color="auto"/>
            </w:tcBorders>
          </w:tcPr>
          <w:p w14:paraId="20D59471"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Column heading three</w:t>
            </w:r>
          </w:p>
        </w:tc>
      </w:tr>
      <w:tr w:rsidR="00F15C30" w:rsidRPr="00D56430" w14:paraId="7BD1C120" w14:textId="77777777" w:rsidTr="00FD2C96">
        <w:tc>
          <w:tcPr>
            <w:tcW w:w="6204" w:type="dxa"/>
            <w:gridSpan w:val="3"/>
          </w:tcPr>
          <w:p w14:paraId="3F3BFFD1" w14:textId="77777777" w:rsidR="00F15C30" w:rsidRPr="00D56430" w:rsidRDefault="008514BD" w:rsidP="00FD2C96">
            <w:pPr>
              <w:jc w:val="both"/>
              <w:rPr>
                <w:rFonts w:eastAsia="SimSun"/>
                <w:color w:val="EE0000"/>
                <w:sz w:val="20"/>
                <w:szCs w:val="20"/>
                <w:lang w:eastAsia="zh-CN"/>
              </w:rPr>
            </w:pPr>
            <w:r>
              <w:pict w14:anchorId="08B6A561">
                <v:rect id="Horizontal Line 1" o:spid="_x0000_s1026" alt="" style="width:24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tc>
      </w:tr>
      <w:tr w:rsidR="00F15C30" w:rsidRPr="00D56430" w14:paraId="04F5DB8F" w14:textId="77777777" w:rsidTr="00FD2C96">
        <w:tc>
          <w:tcPr>
            <w:tcW w:w="1951" w:type="dxa"/>
          </w:tcPr>
          <w:p w14:paraId="38EADE6A"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Row 1</w:t>
            </w:r>
          </w:p>
        </w:tc>
        <w:tc>
          <w:tcPr>
            <w:tcW w:w="2126" w:type="dxa"/>
          </w:tcPr>
          <w:p w14:paraId="256350AA"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Row 1</w:t>
            </w:r>
          </w:p>
        </w:tc>
        <w:tc>
          <w:tcPr>
            <w:tcW w:w="2127" w:type="dxa"/>
          </w:tcPr>
          <w:p w14:paraId="6E1A6086"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Row 1</w:t>
            </w:r>
          </w:p>
        </w:tc>
      </w:tr>
      <w:tr w:rsidR="00F15C30" w:rsidRPr="00D56430" w14:paraId="22D81EB1" w14:textId="77777777" w:rsidTr="00FD2C96">
        <w:tc>
          <w:tcPr>
            <w:tcW w:w="1951" w:type="dxa"/>
            <w:tcBorders>
              <w:bottom w:val="single" w:sz="8" w:space="0" w:color="auto"/>
            </w:tcBorders>
          </w:tcPr>
          <w:p w14:paraId="66F4BF8F"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Row 2</w:t>
            </w:r>
          </w:p>
        </w:tc>
        <w:tc>
          <w:tcPr>
            <w:tcW w:w="2126" w:type="dxa"/>
            <w:tcBorders>
              <w:bottom w:val="single" w:sz="8" w:space="0" w:color="auto"/>
            </w:tcBorders>
          </w:tcPr>
          <w:p w14:paraId="5665BD25"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Row 2</w:t>
            </w:r>
          </w:p>
        </w:tc>
        <w:tc>
          <w:tcPr>
            <w:tcW w:w="2127" w:type="dxa"/>
            <w:tcBorders>
              <w:bottom w:val="single" w:sz="8" w:space="0" w:color="auto"/>
            </w:tcBorders>
          </w:tcPr>
          <w:p w14:paraId="1816195F" w14:textId="77777777" w:rsidR="00F15C30" w:rsidRPr="00D56430" w:rsidRDefault="00F15C30" w:rsidP="00FD2C96">
            <w:pPr>
              <w:jc w:val="both"/>
              <w:rPr>
                <w:rFonts w:eastAsia="SimSun"/>
                <w:color w:val="EE0000"/>
                <w:sz w:val="20"/>
                <w:szCs w:val="20"/>
                <w:lang w:eastAsia="zh-CN"/>
              </w:rPr>
            </w:pPr>
            <w:r>
              <w:rPr>
                <w:rFonts w:eastAsia="SimSun"/>
                <w:color w:val="EE0000"/>
                <w:sz w:val="20"/>
                <w:szCs w:val="20"/>
                <w:lang w:eastAsia="zh-CN"/>
              </w:rPr>
              <w:t>Row 2</w:t>
            </w:r>
          </w:p>
        </w:tc>
      </w:tr>
    </w:tbl>
    <w:p w14:paraId="581E2339" w14:textId="77777777" w:rsidR="00F15C30" w:rsidRPr="00D56430" w:rsidRDefault="00516824" w:rsidP="00E723D9">
      <w:pPr>
        <w:numPr>
          <w:ilvl w:val="1"/>
          <w:numId w:val="0"/>
        </w:numPr>
        <w:spacing w:before="360" w:after="60"/>
        <w:rPr>
          <w:rFonts w:eastAsia="SimSun"/>
          <w:i/>
          <w:color w:val="EE0000"/>
          <w:sz w:val="20"/>
          <w:szCs w:val="20"/>
          <w:lang w:val="en-AU" w:eastAsia="zh-CN"/>
        </w:rPr>
      </w:pPr>
      <w:r>
        <w:rPr>
          <w:rFonts w:eastAsia="SimSun"/>
          <w:i/>
          <w:color w:val="EE0000"/>
          <w:sz w:val="20"/>
          <w:szCs w:val="20"/>
          <w:lang w:val="en-AU" w:eastAsia="zh-CN"/>
        </w:rPr>
        <w:t xml:space="preserve">3.2.1 Table Captions: </w:t>
      </w:r>
      <w:r>
        <w:rPr>
          <w:color w:val="EE0000"/>
          <w:sz w:val="20"/>
          <w:szCs w:val="20"/>
        </w:rPr>
        <w:t>tables must be numbered and cited within the text in strict numerical order.  Table captions must be above the table and in 10 pt font.</w:t>
      </w:r>
    </w:p>
    <w:p w14:paraId="173A2105" w14:textId="77777777" w:rsidR="00F15C30" w:rsidRPr="00D56430" w:rsidRDefault="00170FE0" w:rsidP="00F15C30">
      <w:pPr>
        <w:keepNext/>
        <w:spacing w:before="240" w:after="60"/>
        <w:outlineLvl w:val="1"/>
        <w:rPr>
          <w:rFonts w:eastAsia="SimSun"/>
          <w:bCs/>
          <w:i/>
          <w:iCs/>
          <w:color w:val="EE0000"/>
          <w:sz w:val="20"/>
          <w:szCs w:val="20"/>
          <w:lang w:val="en-AU" w:eastAsia="zh-CN"/>
        </w:rPr>
      </w:pPr>
      <w:r>
        <w:rPr>
          <w:rFonts w:eastAsia="SimSun"/>
          <w:bCs/>
          <w:i/>
          <w:iCs/>
          <w:color w:val="EE0000"/>
          <w:sz w:val="20"/>
          <w:szCs w:val="20"/>
          <w:lang w:val="en-AU" w:eastAsia="zh-CN"/>
        </w:rPr>
        <w:t>3.3 Mathematical equations</w:t>
      </w:r>
    </w:p>
    <w:p w14:paraId="2C117218" w14:textId="77777777" w:rsidR="00085EA3" w:rsidRPr="00D56430" w:rsidRDefault="00F15C30" w:rsidP="00B81FE8">
      <w:pPr>
        <w:numPr>
          <w:ilvl w:val="0"/>
          <w:numId w:val="4"/>
        </w:numPr>
        <w:ind w:left="284" w:hanging="284"/>
        <w:jc w:val="both"/>
        <w:rPr>
          <w:rFonts w:eastAsia="SimSun"/>
          <w:color w:val="EE0000"/>
          <w:sz w:val="20"/>
          <w:szCs w:val="20"/>
          <w:lang w:val="en-AU" w:eastAsia="zh-CN"/>
        </w:rPr>
      </w:pPr>
      <w:r>
        <w:rPr>
          <w:rFonts w:eastAsia="SimSun"/>
          <w:color w:val="EE0000"/>
          <w:sz w:val="20"/>
          <w:szCs w:val="20"/>
          <w:lang w:val="en-AU" w:eastAsia="zh-CN"/>
        </w:rPr>
        <w:t>Equations should fit into a two-column print format and be single spaced.</w:t>
      </w:r>
    </w:p>
    <w:p w14:paraId="3452BBD1"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Pr>
          <w:rFonts w:eastAsia="SimSun"/>
          <w:color w:val="EE0000"/>
          <w:sz w:val="20"/>
          <w:szCs w:val="20"/>
          <w:lang w:val="en-AU" w:eastAsia="zh-CN"/>
        </w:rPr>
        <w:t>When writing mathematics, avoid confusion between characters that could be mistaken for one another, e.g. the letter 'l' and the number one.</w:t>
      </w:r>
    </w:p>
    <w:p w14:paraId="64FC0422"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Pr>
          <w:rFonts w:eastAsia="SimSun"/>
          <w:color w:val="EE0000"/>
          <w:sz w:val="20"/>
          <w:szCs w:val="20"/>
          <w:lang w:val="en-AU" w:eastAsia="zh-CN"/>
        </w:rPr>
        <w:t>Vectors and matrices should be in bold italic and variables in italic.</w:t>
      </w:r>
    </w:p>
    <w:p w14:paraId="333789EF"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Pr>
          <w:rFonts w:eastAsia="SimSun"/>
          <w:color w:val="EE0000"/>
          <w:sz w:val="20"/>
          <w:szCs w:val="20"/>
          <w:lang w:val="en-AU" w:eastAsia="zh-CN"/>
        </w:rPr>
        <w:t>If your paper contains superscripts or subscripts, take special care to ensure that the positioning of the characters is unambiguous.</w:t>
      </w:r>
    </w:p>
    <w:p w14:paraId="74B359C8"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Pr>
          <w:rFonts w:eastAsia="SimSun"/>
          <w:color w:val="EE0000"/>
          <w:sz w:val="20"/>
          <w:szCs w:val="20"/>
          <w:lang w:val="en-AU" w:eastAsia="zh-CN"/>
        </w:rPr>
        <w:t>Exponential expressions should be written using superscript notation, i.e. 5x10</w:t>
      </w:r>
      <w:r>
        <w:rPr>
          <w:rFonts w:eastAsia="SimSun"/>
          <w:color w:val="EE0000"/>
          <w:sz w:val="20"/>
          <w:szCs w:val="20"/>
          <w:vertAlign w:val="superscript"/>
          <w:lang w:val="en-AU" w:eastAsia="zh-CN"/>
        </w:rPr>
        <w:t>3</w:t>
      </w:r>
      <w:r>
        <w:rPr>
          <w:rFonts w:eastAsia="SimSun"/>
          <w:color w:val="EE0000"/>
          <w:sz w:val="20"/>
          <w:szCs w:val="20"/>
          <w:lang w:val="en-AU" w:eastAsia="zh-CN"/>
        </w:rPr>
        <w:t xml:space="preserve"> not 5E03. </w:t>
      </w:r>
    </w:p>
    <w:p w14:paraId="1F884432" w14:textId="77777777" w:rsidR="00F15C30" w:rsidRPr="00D56430" w:rsidRDefault="00F15C30" w:rsidP="00B81FE8">
      <w:pPr>
        <w:numPr>
          <w:ilvl w:val="0"/>
          <w:numId w:val="5"/>
        </w:numPr>
        <w:ind w:left="284" w:hanging="284"/>
        <w:jc w:val="both"/>
        <w:rPr>
          <w:rFonts w:eastAsia="SimSun"/>
          <w:color w:val="EE0000"/>
          <w:sz w:val="20"/>
          <w:szCs w:val="20"/>
          <w:lang w:val="en-AU" w:eastAsia="zh-CN"/>
        </w:rPr>
      </w:pPr>
      <w:r>
        <w:rPr>
          <w:rFonts w:eastAsia="SimSun"/>
          <w:color w:val="EE0000"/>
          <w:sz w:val="20"/>
          <w:szCs w:val="20"/>
          <w:lang w:val="en-AU" w:eastAsia="zh-CN"/>
        </w:rPr>
        <w:t>A multiplication symbol should be used, not a dot.</w:t>
      </w:r>
    </w:p>
    <w:p w14:paraId="49ACF347" w14:textId="77777777" w:rsidR="00623DCC" w:rsidRPr="00D56430" w:rsidRDefault="00F15C30" w:rsidP="00B81FE8">
      <w:pPr>
        <w:numPr>
          <w:ilvl w:val="0"/>
          <w:numId w:val="5"/>
        </w:numPr>
        <w:ind w:left="284" w:hanging="284"/>
        <w:jc w:val="both"/>
        <w:rPr>
          <w:rFonts w:eastAsia="SimSun"/>
          <w:color w:val="EE0000"/>
          <w:sz w:val="20"/>
          <w:szCs w:val="20"/>
          <w:lang w:val="en-AU" w:eastAsia="zh-CN"/>
        </w:rPr>
      </w:pPr>
      <w:r>
        <w:rPr>
          <w:rFonts w:eastAsia="SimSun"/>
          <w:color w:val="EE0000"/>
          <w:sz w:val="20"/>
          <w:szCs w:val="20"/>
          <w:lang w:val="en-AU" w:eastAsia="zh-CN"/>
        </w:rPr>
        <w:t>Refer to equations using round brackets e.g. (1)</w:t>
      </w:r>
    </w:p>
    <w:p w14:paraId="0AFDBEB7" w14:textId="77777777" w:rsidR="00085EA3" w:rsidRPr="00D56430" w:rsidRDefault="00085EA3" w:rsidP="00623DCC">
      <w:pPr>
        <w:keepNext/>
        <w:spacing w:before="240" w:after="60"/>
        <w:outlineLvl w:val="1"/>
        <w:rPr>
          <w:rFonts w:eastAsia="SimSun"/>
          <w:bCs/>
          <w:i/>
          <w:iCs/>
          <w:color w:val="EE0000"/>
          <w:sz w:val="20"/>
          <w:szCs w:val="20"/>
          <w:lang w:eastAsia="zh-CN"/>
        </w:rPr>
      </w:pPr>
      <w:r>
        <w:rPr>
          <w:rFonts w:eastAsia="SimSun"/>
          <w:bCs/>
          <w:i/>
          <w:iCs/>
          <w:color w:val="EE0000"/>
          <w:sz w:val="20"/>
          <w:szCs w:val="20"/>
          <w:lang w:eastAsia="zh-CN"/>
        </w:rPr>
        <w:t>3.4 Units</w:t>
      </w:r>
    </w:p>
    <w:p w14:paraId="438A36BE" w14:textId="77777777" w:rsidR="00943FC3" w:rsidRPr="00D56430" w:rsidRDefault="00943FC3" w:rsidP="00F15C30">
      <w:pPr>
        <w:jc w:val="both"/>
        <w:rPr>
          <w:rFonts w:eastAsia="SimSun"/>
          <w:color w:val="EE0000"/>
          <w:sz w:val="20"/>
          <w:szCs w:val="20"/>
          <w:lang w:val="en-AU" w:eastAsia="zh-CN"/>
        </w:rPr>
      </w:pPr>
    </w:p>
    <w:p w14:paraId="2862DCB5" w14:textId="77777777" w:rsidR="00623DCC" w:rsidRPr="00D56430" w:rsidRDefault="00085EA3" w:rsidP="00B81FE8">
      <w:pPr>
        <w:numPr>
          <w:ilvl w:val="0"/>
          <w:numId w:val="6"/>
        </w:numPr>
        <w:ind w:left="284" w:hanging="284"/>
        <w:jc w:val="both"/>
        <w:rPr>
          <w:rFonts w:eastAsia="SimSun"/>
          <w:color w:val="EE0000"/>
          <w:sz w:val="20"/>
          <w:szCs w:val="20"/>
          <w:lang w:val="en-AU" w:eastAsia="zh-CN"/>
        </w:rPr>
      </w:pPr>
      <w:r>
        <w:rPr>
          <w:rFonts w:eastAsia="SimSun"/>
          <w:color w:val="EE0000"/>
          <w:sz w:val="20"/>
          <w:szCs w:val="20"/>
          <w:lang w:val="en-AU" w:eastAsia="zh-CN"/>
        </w:rPr>
        <w:t>Use SI (MKS) units only and avoid spelling the unit in full instead of using the shortened notation e.g. use kJ not kilo Joules.</w:t>
      </w:r>
    </w:p>
    <w:p w14:paraId="73B9E2BE" w14:textId="77777777" w:rsidR="00085EA3" w:rsidRPr="00D56430" w:rsidRDefault="00085EA3" w:rsidP="00B81FE8">
      <w:pPr>
        <w:numPr>
          <w:ilvl w:val="0"/>
          <w:numId w:val="6"/>
        </w:numPr>
        <w:ind w:left="284" w:hanging="284"/>
        <w:jc w:val="both"/>
        <w:rPr>
          <w:rFonts w:eastAsia="SimSun"/>
          <w:color w:val="EE0000"/>
          <w:sz w:val="20"/>
          <w:szCs w:val="20"/>
          <w:lang w:val="en-AU" w:eastAsia="zh-CN"/>
        </w:rPr>
      </w:pPr>
      <w:r>
        <w:rPr>
          <w:rFonts w:eastAsia="SimSun"/>
          <w:color w:val="EE0000"/>
          <w:sz w:val="20"/>
          <w:szCs w:val="20"/>
          <w:lang w:val="en-AU" w:eastAsia="zh-CN"/>
        </w:rPr>
        <w:t>If for any reason you must use mixed units, the units used for each quantity in an equation must be stated.</w:t>
      </w:r>
    </w:p>
    <w:p w14:paraId="3D3C8ECE" w14:textId="77777777" w:rsidR="00085EA3" w:rsidRPr="00D56430" w:rsidRDefault="00085EA3" w:rsidP="00085EA3">
      <w:pPr>
        <w:numPr>
          <w:ilvl w:val="0"/>
          <w:numId w:val="6"/>
        </w:numPr>
        <w:ind w:left="284" w:hanging="284"/>
        <w:jc w:val="both"/>
        <w:rPr>
          <w:rFonts w:eastAsia="SimSun"/>
          <w:color w:val="EE0000"/>
          <w:sz w:val="20"/>
          <w:szCs w:val="20"/>
          <w:lang w:val="en-AU" w:eastAsia="zh-CN"/>
        </w:rPr>
      </w:pPr>
      <w:r>
        <w:rPr>
          <w:rFonts w:eastAsia="SimSun"/>
          <w:color w:val="EE0000"/>
          <w:sz w:val="20"/>
          <w:szCs w:val="20"/>
          <w:lang w:val="en-AU" w:eastAsia="zh-CN"/>
        </w:rPr>
        <w:t xml:space="preserve">Place a zero before decimal points: “0.10” do not put “.10.” </w:t>
      </w:r>
    </w:p>
    <w:p w14:paraId="573F515F" w14:textId="77777777" w:rsidR="00B14F61" w:rsidRPr="00D56430" w:rsidRDefault="00B14F61" w:rsidP="00B14F61">
      <w:pPr>
        <w:ind w:left="284"/>
        <w:jc w:val="both"/>
        <w:rPr>
          <w:rFonts w:eastAsia="SimSun"/>
          <w:color w:val="EE0000"/>
          <w:sz w:val="20"/>
          <w:szCs w:val="20"/>
          <w:lang w:val="en-AU" w:eastAsia="zh-CN"/>
        </w:rPr>
      </w:pPr>
    </w:p>
    <w:p w14:paraId="33218FDD" w14:textId="77777777" w:rsidR="00FF39E7" w:rsidRPr="00D56430" w:rsidRDefault="00FF39E7" w:rsidP="00FF39E7">
      <w:pPr>
        <w:pStyle w:val="PaperHeading"/>
        <w:rPr>
          <w:color w:val="EE0000"/>
        </w:rPr>
      </w:pPr>
      <w:r>
        <w:rPr>
          <w:color w:val="EE0000"/>
        </w:rPr>
        <w:t>4</w:t>
      </w:r>
      <w:r>
        <w:rPr>
          <w:color w:val="EE0000"/>
        </w:rPr>
        <w:tab/>
        <w:t>Conclusion</w:t>
      </w:r>
    </w:p>
    <w:p w14:paraId="2998EFC5" w14:textId="77777777" w:rsidR="00FA4891" w:rsidRPr="00D56430" w:rsidRDefault="00FA4891" w:rsidP="00FF39E7">
      <w:pPr>
        <w:pStyle w:val="PaperHeading"/>
        <w:rPr>
          <w:b w:val="0"/>
          <w:color w:val="EE0000"/>
          <w:sz w:val="20"/>
          <w:szCs w:val="20"/>
        </w:rPr>
      </w:pPr>
      <w:r>
        <w:rPr>
          <w:b w:val="0"/>
          <w:color w:val="EE0000"/>
          <w:sz w:val="20"/>
          <w:szCs w:val="20"/>
        </w:rPr>
        <w:t xml:space="preserve">Submissions should always include the following sections: an abstract; an introduction; a conclusion and a references section. If any of the above sections are not included the paper may be asked to add the relevant section or be rejected. </w:t>
      </w:r>
    </w:p>
    <w:p w14:paraId="6B333447" w14:textId="77777777" w:rsidR="00FF39E7" w:rsidRPr="00D56430" w:rsidRDefault="00170FE0" w:rsidP="00FF39E7">
      <w:pPr>
        <w:pStyle w:val="PaperHeading"/>
        <w:rPr>
          <w:color w:val="EE0000"/>
        </w:rPr>
      </w:pPr>
      <w:r>
        <w:rPr>
          <w:color w:val="EE0000"/>
        </w:rPr>
        <w:t>5</w:t>
      </w:r>
      <w:r>
        <w:rPr>
          <w:color w:val="EE0000"/>
        </w:rPr>
        <w:tab/>
        <w:t>Acknowledgements</w:t>
      </w:r>
    </w:p>
    <w:p w14:paraId="26696E39" w14:textId="77777777" w:rsidR="005A4685" w:rsidRPr="00D56430" w:rsidRDefault="00FA4891" w:rsidP="008C01AB">
      <w:pPr>
        <w:pStyle w:val="PaperHeading"/>
        <w:rPr>
          <w:b w:val="0"/>
          <w:color w:val="EE0000"/>
        </w:rPr>
      </w:pPr>
      <w:r>
        <w:rPr>
          <w:b w:val="0"/>
          <w:color w:val="EE0000"/>
          <w:sz w:val="20"/>
          <w:szCs w:val="20"/>
        </w:rPr>
        <w:t xml:space="preserve">Acknowledgements should be placed after the conclusion and before the references section. Details of grants, financial aid and other special assistance should be noted. </w:t>
      </w:r>
    </w:p>
    <w:p w14:paraId="35B63FDF" w14:textId="77777777" w:rsidR="00FF39E7" w:rsidRPr="00D56430" w:rsidRDefault="00170FE0" w:rsidP="00FF39E7">
      <w:pPr>
        <w:pStyle w:val="PaperHeading"/>
        <w:rPr>
          <w:color w:val="EE0000"/>
        </w:rPr>
      </w:pPr>
      <w:r>
        <w:rPr>
          <w:color w:val="EE0000"/>
        </w:rPr>
        <w:t>6</w:t>
      </w:r>
      <w:r>
        <w:rPr>
          <w:color w:val="EE0000"/>
        </w:rPr>
        <w:tab/>
        <w:t>References</w:t>
      </w:r>
    </w:p>
    <w:p w14:paraId="2BBD2C93" w14:textId="77777777" w:rsidR="00FA4891" w:rsidRPr="00D56430" w:rsidRDefault="00943FC3" w:rsidP="00FA4891">
      <w:pPr>
        <w:rPr>
          <w:i/>
          <w:color w:val="EE0000"/>
          <w:sz w:val="20"/>
          <w:szCs w:val="20"/>
        </w:rPr>
      </w:pPr>
      <w:r>
        <w:rPr>
          <w:i/>
          <w:color w:val="EE0000"/>
          <w:sz w:val="20"/>
          <w:szCs w:val="20"/>
        </w:rPr>
        <w:t>6.1 Referencing Style</w:t>
      </w:r>
    </w:p>
    <w:p w14:paraId="1363BFB9" w14:textId="77777777" w:rsidR="00FA4891" w:rsidRPr="00D56430" w:rsidRDefault="00FA4891" w:rsidP="00FA4891">
      <w:pPr>
        <w:rPr>
          <w:color w:val="EE0000"/>
          <w:sz w:val="20"/>
          <w:szCs w:val="20"/>
        </w:rPr>
      </w:pPr>
      <w:r>
        <w:rPr>
          <w:color w:val="EE0000"/>
          <w:sz w:val="20"/>
          <w:szCs w:val="20"/>
        </w:rPr>
        <w:t xml:space="preserve">You should number your references sequentially throughout the text, and each reference should be individually numbered and enclosed in square brackets (e.g. [1]). </w:t>
      </w:r>
    </w:p>
    <w:p w14:paraId="74BED826" w14:textId="77777777" w:rsidR="00FA4891" w:rsidRPr="00D56430" w:rsidRDefault="00FA4891" w:rsidP="00FA4891">
      <w:pPr>
        <w:rPr>
          <w:color w:val="EE0000"/>
          <w:sz w:val="20"/>
          <w:szCs w:val="20"/>
        </w:rPr>
      </w:pPr>
      <w:r>
        <w:rPr>
          <w:color w:val="EE0000"/>
          <w:sz w:val="20"/>
          <w:szCs w:val="20"/>
        </w:rPr>
        <w:t xml:space="preserve">If the number of authors on a reference is greater than three list the first three authors followed by et al. </w:t>
      </w:r>
    </w:p>
    <w:p w14:paraId="58770FA2" w14:textId="77777777" w:rsidR="00FA4891" w:rsidRPr="00D56430" w:rsidRDefault="00BB15E3" w:rsidP="00FA4891">
      <w:pPr>
        <w:rPr>
          <w:color w:val="EE0000"/>
          <w:sz w:val="20"/>
          <w:szCs w:val="20"/>
        </w:rPr>
      </w:pPr>
      <w:r>
        <w:rPr>
          <w:color w:val="EE0000"/>
          <w:sz w:val="20"/>
          <w:szCs w:val="20"/>
        </w:rPr>
        <w:t>Ensure that all references in the Reference list are cited in the text and vice versa. Failure to do so may cause delays in the publishing of your paper, should you be accepted.</w:t>
      </w:r>
    </w:p>
    <w:p w14:paraId="6A9F8DFE" w14:textId="77777777" w:rsidR="00FA4891" w:rsidRPr="00D56430" w:rsidRDefault="00BB15E3" w:rsidP="00FA4891">
      <w:pPr>
        <w:rPr>
          <w:color w:val="EE0000"/>
          <w:sz w:val="20"/>
          <w:szCs w:val="20"/>
        </w:rPr>
      </w:pPr>
      <w:r>
        <w:rPr>
          <w:color w:val="EE0000"/>
          <w:sz w:val="20"/>
          <w:szCs w:val="20"/>
        </w:rPr>
        <w:t>Ensure that you provide as much information as possible to allow the reader to locate the article concerned. This is particularly important for articles appearing in conferences, workshops and books that may not appear in journal databases.</w:t>
      </w:r>
    </w:p>
    <w:p w14:paraId="061748CE" w14:textId="77777777" w:rsidR="00FA4891" w:rsidRPr="00D56430" w:rsidRDefault="00FA4891" w:rsidP="00FA4891">
      <w:pPr>
        <w:rPr>
          <w:color w:val="EE0000"/>
          <w:sz w:val="20"/>
          <w:szCs w:val="20"/>
        </w:rPr>
      </w:pPr>
      <w:r>
        <w:rPr>
          <w:color w:val="EE0000"/>
          <w:sz w:val="20"/>
          <w:szCs w:val="20"/>
        </w:rPr>
        <w:lastRenderedPageBreak/>
        <w:t>Do not include references for papers that have been submitted and not accepted for publication. Papers that have been accepted for publication are allowed as long as all information is provided.</w:t>
      </w:r>
    </w:p>
    <w:p w14:paraId="4650C028" w14:textId="77777777" w:rsidR="00FA4891" w:rsidRPr="00D56430" w:rsidRDefault="00FA4891" w:rsidP="00FA4891">
      <w:pPr>
        <w:rPr>
          <w:color w:val="EE0000"/>
          <w:sz w:val="20"/>
          <w:szCs w:val="20"/>
        </w:rPr>
      </w:pPr>
      <w:r>
        <w:rPr>
          <w:color w:val="EE0000"/>
          <w:sz w:val="20"/>
          <w:szCs w:val="20"/>
        </w:rPr>
        <w:t>Provide all author name(s) and initials, title of the paper, date published, title of the journal or book, volume number, editors (if any), and finally the page range. For books and conferences, the town of publication and publisher (in parentheses) should also be given.</w:t>
      </w:r>
    </w:p>
    <w:p w14:paraId="22E896A6" w14:textId="77777777" w:rsidR="00FA4891" w:rsidRPr="00D56430" w:rsidRDefault="00FA4891" w:rsidP="00FA4891">
      <w:pPr>
        <w:rPr>
          <w:b/>
          <w:color w:val="EE0000"/>
          <w:sz w:val="20"/>
          <w:szCs w:val="20"/>
        </w:rPr>
      </w:pPr>
      <w:r>
        <w:rPr>
          <w:b/>
          <w:color w:val="EE0000"/>
          <w:sz w:val="20"/>
          <w:szCs w:val="20"/>
        </w:rPr>
        <w:t>Example References</w:t>
      </w:r>
    </w:p>
    <w:p w14:paraId="4FE82928" w14:textId="77777777" w:rsidR="00FA4891" w:rsidRPr="00D56430" w:rsidRDefault="00943FC3" w:rsidP="00FA4891">
      <w:pPr>
        <w:rPr>
          <w:i/>
          <w:color w:val="EE0000"/>
          <w:sz w:val="20"/>
          <w:szCs w:val="20"/>
        </w:rPr>
      </w:pPr>
      <w:r>
        <w:rPr>
          <w:i/>
          <w:color w:val="EE0000"/>
          <w:sz w:val="20"/>
          <w:szCs w:val="20"/>
        </w:rPr>
        <w:t>6.2 Referencing Examples</w:t>
      </w:r>
    </w:p>
    <w:p w14:paraId="187FCEFB" w14:textId="77777777" w:rsidR="00FA4891" w:rsidRPr="00D56430" w:rsidRDefault="00FA4891" w:rsidP="00B81FE8">
      <w:pPr>
        <w:rPr>
          <w:b/>
          <w:color w:val="EE0000"/>
          <w:sz w:val="20"/>
          <w:szCs w:val="20"/>
        </w:rPr>
      </w:pPr>
      <w:r>
        <w:rPr>
          <w:b/>
          <w:color w:val="EE0000"/>
          <w:sz w:val="20"/>
          <w:szCs w:val="20"/>
        </w:rPr>
        <w:t>Journal articles</w:t>
      </w:r>
    </w:p>
    <w:p w14:paraId="7A3438CA" w14:textId="77777777" w:rsidR="00FA4891" w:rsidRPr="00D56430" w:rsidRDefault="00FA4891" w:rsidP="00B81FE8">
      <w:pPr>
        <w:rPr>
          <w:color w:val="EE0000"/>
          <w:sz w:val="20"/>
          <w:szCs w:val="20"/>
        </w:rPr>
      </w:pPr>
      <w:r>
        <w:rPr>
          <w:color w:val="EE0000"/>
          <w:sz w:val="20"/>
          <w:szCs w:val="20"/>
        </w:rPr>
        <w:t>[5] Smith, T., Jones, M.: 'The title of the paper', IET Syst. Biol., 2007, 1, (2), pp. 1–7</w:t>
      </w:r>
    </w:p>
    <w:p w14:paraId="407393C5" w14:textId="77777777" w:rsidR="00FA4891" w:rsidRPr="00D56430" w:rsidRDefault="00FA4891" w:rsidP="00B81FE8">
      <w:pPr>
        <w:rPr>
          <w:color w:val="EE0000"/>
          <w:sz w:val="20"/>
          <w:szCs w:val="20"/>
        </w:rPr>
      </w:pPr>
      <w:r>
        <w:rPr>
          <w:color w:val="EE0000"/>
          <w:sz w:val="20"/>
          <w:szCs w:val="20"/>
        </w:rPr>
        <w:t>[6] Borwn, L., Thomas, H., James, C., et al.:'The title of the paper, IET Communications, 2012, 6, (5), pp 125-138</w:t>
      </w:r>
    </w:p>
    <w:p w14:paraId="2CF8C61B" w14:textId="77777777" w:rsidR="00E723D9" w:rsidRPr="00D56430" w:rsidRDefault="00E723D9" w:rsidP="00B81FE8">
      <w:pPr>
        <w:rPr>
          <w:color w:val="EE0000"/>
          <w:sz w:val="20"/>
          <w:szCs w:val="20"/>
        </w:rPr>
      </w:pPr>
    </w:p>
    <w:p w14:paraId="5ED4D5F8" w14:textId="77777777" w:rsidR="00FA4891" w:rsidRPr="00D56430" w:rsidRDefault="00FA4891" w:rsidP="00B81FE8">
      <w:pPr>
        <w:rPr>
          <w:b/>
          <w:color w:val="EE0000"/>
          <w:sz w:val="20"/>
          <w:szCs w:val="20"/>
        </w:rPr>
      </w:pPr>
      <w:r>
        <w:rPr>
          <w:b/>
          <w:color w:val="EE0000"/>
          <w:sz w:val="20"/>
          <w:szCs w:val="20"/>
        </w:rPr>
        <w:t>Conference Paper</w:t>
      </w:r>
    </w:p>
    <w:p w14:paraId="262174F8" w14:textId="77777777" w:rsidR="00FA4891" w:rsidRPr="00D56430" w:rsidRDefault="00FA4891" w:rsidP="00B81FE8">
      <w:pPr>
        <w:rPr>
          <w:color w:val="EE0000"/>
          <w:sz w:val="20"/>
          <w:szCs w:val="20"/>
        </w:rPr>
      </w:pPr>
      <w:r>
        <w:rPr>
          <w:color w:val="EE0000"/>
          <w:sz w:val="20"/>
          <w:szCs w:val="20"/>
        </w:rPr>
        <w:t>[7] Jones, L., Brown, D.: 'The title of the conference paper'. Proc. Int. Conf. Systems Biology, Stockholm, Sweden, May 2006, pp. 1–7</w:t>
      </w:r>
    </w:p>
    <w:p w14:paraId="6C911AD1" w14:textId="77777777" w:rsidR="00B81FE8" w:rsidRPr="00D56430" w:rsidRDefault="00B81FE8" w:rsidP="00B81FE8">
      <w:pPr>
        <w:rPr>
          <w:b/>
          <w:color w:val="EE0000"/>
          <w:sz w:val="20"/>
          <w:szCs w:val="20"/>
        </w:rPr>
      </w:pPr>
    </w:p>
    <w:p w14:paraId="15BEC422" w14:textId="77777777" w:rsidR="00FA4891" w:rsidRPr="00D56430" w:rsidRDefault="00FA4891" w:rsidP="00B81FE8">
      <w:pPr>
        <w:rPr>
          <w:b/>
          <w:color w:val="EE0000"/>
          <w:sz w:val="20"/>
          <w:szCs w:val="20"/>
        </w:rPr>
      </w:pPr>
      <w:r>
        <w:rPr>
          <w:b/>
          <w:color w:val="EE0000"/>
          <w:sz w:val="20"/>
          <w:szCs w:val="20"/>
        </w:rPr>
        <w:t>Book, book chapter and manual</w:t>
      </w:r>
    </w:p>
    <w:p w14:paraId="5276F7BC" w14:textId="77777777" w:rsidR="00FA4891" w:rsidRPr="00D56430" w:rsidRDefault="00FA4891" w:rsidP="00B81FE8">
      <w:pPr>
        <w:rPr>
          <w:color w:val="EE0000"/>
          <w:sz w:val="20"/>
          <w:szCs w:val="20"/>
        </w:rPr>
      </w:pPr>
      <w:r>
        <w:rPr>
          <w:color w:val="EE0000"/>
          <w:sz w:val="20"/>
          <w:szCs w:val="20"/>
        </w:rPr>
        <w:t>[8] Hodges, A., Smith, N.: 'The title of the book chapter', in Brown, S. (Ed.): 'Handbook of Systems Biology' (IEE Press, 2004, 1st edn.), pp. 1–7</w:t>
      </w:r>
    </w:p>
    <w:p w14:paraId="390AC7A8" w14:textId="77777777" w:rsidR="00FA4891" w:rsidRPr="00D56430" w:rsidRDefault="00FA4891" w:rsidP="00B81FE8">
      <w:pPr>
        <w:rPr>
          <w:color w:val="EE0000"/>
          <w:sz w:val="20"/>
          <w:szCs w:val="20"/>
        </w:rPr>
      </w:pPr>
      <w:r>
        <w:rPr>
          <w:color w:val="EE0000"/>
          <w:sz w:val="20"/>
          <w:szCs w:val="20"/>
        </w:rPr>
        <w:t>[9] Harrison, E.A., and Abbott, C.: 'The title of the book' (XYZ Press, 2005, 2nd edn. 2006)</w:t>
      </w:r>
    </w:p>
    <w:p w14:paraId="6D9A4222" w14:textId="77777777" w:rsidR="00B81FE8" w:rsidRPr="00D56430" w:rsidRDefault="00B81FE8" w:rsidP="00B81FE8">
      <w:pPr>
        <w:rPr>
          <w:b/>
          <w:color w:val="EE0000"/>
          <w:sz w:val="20"/>
          <w:szCs w:val="20"/>
        </w:rPr>
      </w:pPr>
    </w:p>
    <w:p w14:paraId="51E804D7" w14:textId="77777777" w:rsidR="00FA4891" w:rsidRPr="00D56430" w:rsidRDefault="00FA4891" w:rsidP="00B81FE8">
      <w:pPr>
        <w:rPr>
          <w:b/>
          <w:color w:val="EE0000"/>
          <w:sz w:val="20"/>
          <w:szCs w:val="20"/>
        </w:rPr>
      </w:pPr>
      <w:r>
        <w:rPr>
          <w:b/>
          <w:color w:val="EE0000"/>
          <w:sz w:val="20"/>
          <w:szCs w:val="20"/>
        </w:rPr>
        <w:t>Patent</w:t>
      </w:r>
    </w:p>
    <w:p w14:paraId="4D0E9AED" w14:textId="77777777" w:rsidR="00FA4891" w:rsidRPr="00D56430" w:rsidRDefault="00FA4891" w:rsidP="00B81FE8">
      <w:pPr>
        <w:rPr>
          <w:color w:val="EE0000"/>
          <w:sz w:val="20"/>
          <w:szCs w:val="20"/>
        </w:rPr>
      </w:pPr>
      <w:r>
        <w:rPr>
          <w:color w:val="EE0000"/>
          <w:sz w:val="20"/>
          <w:szCs w:val="20"/>
        </w:rPr>
        <w:t>[11] Brown, F.: 'The title of the patent (if available)'. British Patent 123456, July 2004</w:t>
      </w:r>
    </w:p>
    <w:p w14:paraId="445A4260" w14:textId="77777777" w:rsidR="00B81FE8" w:rsidRPr="00D56430" w:rsidRDefault="00B81FE8" w:rsidP="00B81FE8">
      <w:pPr>
        <w:rPr>
          <w:b/>
          <w:color w:val="EE0000"/>
          <w:sz w:val="20"/>
          <w:szCs w:val="20"/>
        </w:rPr>
      </w:pPr>
    </w:p>
    <w:p w14:paraId="55B13344" w14:textId="77777777" w:rsidR="00FA4891" w:rsidRPr="00D56430" w:rsidRDefault="00FA4891" w:rsidP="00B81FE8">
      <w:pPr>
        <w:rPr>
          <w:b/>
          <w:color w:val="EE0000"/>
          <w:sz w:val="20"/>
          <w:szCs w:val="20"/>
        </w:rPr>
      </w:pPr>
      <w:r>
        <w:rPr>
          <w:b/>
          <w:color w:val="EE0000"/>
          <w:sz w:val="20"/>
          <w:szCs w:val="20"/>
        </w:rPr>
        <w:t>Report</w:t>
      </w:r>
    </w:p>
    <w:p w14:paraId="0A08A21B" w14:textId="77777777" w:rsidR="00FA4891" w:rsidRPr="00D56430" w:rsidRDefault="00FA4891" w:rsidP="00B81FE8">
      <w:pPr>
        <w:rPr>
          <w:color w:val="EE0000"/>
          <w:sz w:val="20"/>
          <w:szCs w:val="20"/>
        </w:rPr>
      </w:pPr>
      <w:r>
        <w:rPr>
          <w:color w:val="EE0000"/>
          <w:sz w:val="20"/>
          <w:szCs w:val="20"/>
        </w:rPr>
        <w:t>[10] IET., 'Report Title' (Publisher, 2013), pp. 1-5</w:t>
      </w:r>
    </w:p>
    <w:p w14:paraId="083F9697" w14:textId="77777777" w:rsidR="00FA4891" w:rsidRPr="00D56430" w:rsidRDefault="00FA4891" w:rsidP="00B81FE8">
      <w:pPr>
        <w:rPr>
          <w:color w:val="EE0000"/>
          <w:sz w:val="20"/>
          <w:szCs w:val="20"/>
        </w:rPr>
      </w:pPr>
      <w:r>
        <w:rPr>
          <w:color w:val="EE0000"/>
          <w:sz w:val="20"/>
          <w:szCs w:val="20"/>
        </w:rPr>
        <w:t>[12] Smith, D., Hodges, J.: British Patent Application 98765, 1925</w:t>
      </w:r>
    </w:p>
    <w:p w14:paraId="0A80DBDA" w14:textId="77777777" w:rsidR="00B81FE8" w:rsidRPr="00D56430" w:rsidRDefault="00B81FE8" w:rsidP="00B81FE8">
      <w:pPr>
        <w:rPr>
          <w:b/>
          <w:color w:val="EE0000"/>
          <w:sz w:val="20"/>
          <w:szCs w:val="20"/>
        </w:rPr>
      </w:pPr>
    </w:p>
    <w:p w14:paraId="0C7EE821" w14:textId="77777777" w:rsidR="00FA4891" w:rsidRPr="00D56430" w:rsidRDefault="00FA4891" w:rsidP="00B81FE8">
      <w:pPr>
        <w:rPr>
          <w:b/>
          <w:color w:val="EE0000"/>
          <w:sz w:val="20"/>
          <w:szCs w:val="20"/>
        </w:rPr>
      </w:pPr>
      <w:r>
        <w:rPr>
          <w:b/>
          <w:color w:val="EE0000"/>
          <w:sz w:val="20"/>
          <w:szCs w:val="20"/>
        </w:rPr>
        <w:t>Standard</w:t>
      </w:r>
    </w:p>
    <w:p w14:paraId="7B9BFAB9" w14:textId="77777777" w:rsidR="00FA4891" w:rsidRPr="00D56430" w:rsidRDefault="00FA4891" w:rsidP="00B81FE8">
      <w:pPr>
        <w:rPr>
          <w:color w:val="EE0000"/>
          <w:sz w:val="20"/>
          <w:szCs w:val="20"/>
        </w:rPr>
      </w:pPr>
      <w:r>
        <w:rPr>
          <w:color w:val="EE0000"/>
          <w:sz w:val="20"/>
          <w:szCs w:val="20"/>
        </w:rPr>
        <w:t>[14] BS1234: 'The title of the standard', 2006</w:t>
      </w:r>
    </w:p>
    <w:p w14:paraId="29EE8903" w14:textId="77777777" w:rsidR="00B81FE8" w:rsidRPr="00D56430" w:rsidRDefault="00B81FE8" w:rsidP="00B81FE8">
      <w:pPr>
        <w:rPr>
          <w:b/>
          <w:color w:val="EE0000"/>
          <w:sz w:val="20"/>
          <w:szCs w:val="20"/>
        </w:rPr>
      </w:pPr>
    </w:p>
    <w:p w14:paraId="3F0B1108" w14:textId="77777777" w:rsidR="00FA4891" w:rsidRPr="00D56430" w:rsidRDefault="00FA4891" w:rsidP="00B81FE8">
      <w:pPr>
        <w:rPr>
          <w:b/>
          <w:color w:val="EE0000"/>
          <w:sz w:val="20"/>
          <w:szCs w:val="20"/>
        </w:rPr>
      </w:pPr>
      <w:r>
        <w:rPr>
          <w:b/>
          <w:color w:val="EE0000"/>
          <w:sz w:val="20"/>
          <w:szCs w:val="20"/>
        </w:rPr>
        <w:t>Thesis</w:t>
      </w:r>
    </w:p>
    <w:p w14:paraId="26992AB0" w14:textId="77777777" w:rsidR="00FA4891" w:rsidRPr="00D56430" w:rsidRDefault="00FA4891" w:rsidP="00B81FE8">
      <w:pPr>
        <w:rPr>
          <w:color w:val="EE0000"/>
          <w:sz w:val="20"/>
          <w:szCs w:val="20"/>
        </w:rPr>
      </w:pPr>
      <w:r>
        <w:rPr>
          <w:color w:val="EE0000"/>
          <w:sz w:val="20"/>
          <w:szCs w:val="20"/>
        </w:rPr>
        <w:t>[13] Abbott, N.L.: 'The title of the thesis'. PhD thesis, XYZ University, 2005</w:t>
      </w:r>
    </w:p>
    <w:p w14:paraId="5D07600D" w14:textId="77777777" w:rsidR="00B81FE8" w:rsidRPr="00D56430" w:rsidRDefault="00B81FE8" w:rsidP="00B81FE8">
      <w:pPr>
        <w:rPr>
          <w:b/>
          <w:color w:val="EE0000"/>
          <w:sz w:val="20"/>
          <w:szCs w:val="20"/>
        </w:rPr>
      </w:pPr>
    </w:p>
    <w:p w14:paraId="7EFCC2D0" w14:textId="77777777" w:rsidR="00FA4891" w:rsidRPr="00D56430" w:rsidRDefault="00FA4891" w:rsidP="00B81FE8">
      <w:pPr>
        <w:rPr>
          <w:b/>
          <w:color w:val="EE0000"/>
          <w:sz w:val="20"/>
          <w:szCs w:val="20"/>
        </w:rPr>
      </w:pPr>
      <w:r>
        <w:rPr>
          <w:b/>
          <w:color w:val="EE0000"/>
          <w:sz w:val="20"/>
          <w:szCs w:val="20"/>
        </w:rPr>
        <w:t>Websites</w:t>
      </w:r>
    </w:p>
    <w:p w14:paraId="41CA9B93" w14:textId="77777777" w:rsidR="00FA4891" w:rsidRPr="00D56430" w:rsidRDefault="00FA4891" w:rsidP="00B81FE8">
      <w:pPr>
        <w:rPr>
          <w:color w:val="EE0000"/>
          <w:sz w:val="20"/>
          <w:szCs w:val="20"/>
        </w:rPr>
      </w:pPr>
      <w:r>
        <w:rPr>
          <w:color w:val="EE0000"/>
          <w:sz w:val="20"/>
          <w:szCs w:val="20"/>
        </w:rPr>
        <w:t>[1] ‘Author Guide - IET Research Journals’, http://digital-library.theiet.org/journals/author-guide, accessed 27 November 2014</w:t>
      </w:r>
    </w:p>
    <w:p w14:paraId="14BF338B" w14:textId="77777777" w:rsidR="00FA4891" w:rsidRPr="00D56430" w:rsidRDefault="00FA4891" w:rsidP="00B81FE8">
      <w:pPr>
        <w:rPr>
          <w:color w:val="EE0000"/>
          <w:sz w:val="20"/>
          <w:szCs w:val="20"/>
        </w:rPr>
      </w:pPr>
      <w:r>
        <w:rPr>
          <w:color w:val="EE0000"/>
          <w:sz w:val="20"/>
          <w:szCs w:val="20"/>
        </w:rPr>
        <w:t>[2] ‘Research journal length policy’, http://digital-library.theiet.org/files/research_journals_length_policy.pdf, accessed 27 November 2014</w:t>
      </w:r>
    </w:p>
    <w:p w14:paraId="06290682" w14:textId="77777777" w:rsidR="00FA4891" w:rsidRPr="00D56430" w:rsidRDefault="00FA4891" w:rsidP="00B81FE8">
      <w:pPr>
        <w:rPr>
          <w:color w:val="EE0000"/>
          <w:sz w:val="20"/>
          <w:szCs w:val="20"/>
        </w:rPr>
      </w:pPr>
      <w:r>
        <w:rPr>
          <w:color w:val="EE0000"/>
          <w:sz w:val="20"/>
          <w:szCs w:val="20"/>
        </w:rPr>
        <w:t xml:space="preserve">[3] ‘ORCID: Connecting research and researchers’, http://orcid.org/, accessed 3 December 2014  </w:t>
      </w:r>
    </w:p>
    <w:p w14:paraId="6EEB66BD" w14:textId="77777777" w:rsidR="00CF794B" w:rsidRPr="00D56430" w:rsidRDefault="00FA4891" w:rsidP="00B81FE8">
      <w:pPr>
        <w:rPr>
          <w:color w:val="EE0000"/>
          <w:sz w:val="20"/>
          <w:szCs w:val="20"/>
        </w:rPr>
      </w:pPr>
      <w:r>
        <w:rPr>
          <w:color w:val="EE0000"/>
          <w:sz w:val="20"/>
          <w:szCs w:val="20"/>
        </w:rPr>
        <w:t>[4] ‘Fundref’, http://www.crossref.org/fundref/, accessed 4 December 2014</w:t>
      </w:r>
    </w:p>
    <w:p w14:paraId="57D165BB" w14:textId="77777777" w:rsidR="00AC24C6" w:rsidRPr="00D56430" w:rsidRDefault="00AC24C6" w:rsidP="00FA4891">
      <w:pPr>
        <w:rPr>
          <w:color w:val="EE0000"/>
          <w:sz w:val="20"/>
          <w:szCs w:val="20"/>
        </w:rPr>
      </w:pPr>
    </w:p>
    <w:p w14:paraId="1738A78E" w14:textId="77777777" w:rsidR="00AC24C6" w:rsidRPr="00D56430" w:rsidRDefault="00AC24C6" w:rsidP="00FA4891">
      <w:pPr>
        <w:rPr>
          <w:color w:val="EE0000"/>
          <w:sz w:val="20"/>
          <w:szCs w:val="20"/>
        </w:rPr>
      </w:pPr>
    </w:p>
    <w:p w14:paraId="7380A649" w14:textId="77777777" w:rsidR="00AC24C6" w:rsidRPr="00D56430" w:rsidRDefault="00AC24C6" w:rsidP="00FA4891">
      <w:pPr>
        <w:rPr>
          <w:color w:val="EE0000"/>
        </w:rPr>
      </w:pPr>
    </w:p>
    <w:p w14:paraId="29782519" w14:textId="77777777" w:rsidR="00F61B51" w:rsidRPr="00D56430" w:rsidRDefault="00F61B51" w:rsidP="00FA4891">
      <w:pPr>
        <w:rPr>
          <w:color w:val="EE0000"/>
        </w:rPr>
      </w:pPr>
    </w:p>
    <w:p w14:paraId="0133FD30" w14:textId="77777777" w:rsidR="008C01AB" w:rsidRPr="00D56430" w:rsidRDefault="008C01AB" w:rsidP="00FA4891">
      <w:pPr>
        <w:rPr>
          <w:color w:val="EE0000"/>
        </w:rPr>
      </w:pPr>
    </w:p>
    <w:p w14:paraId="4284CA64" w14:textId="77777777" w:rsidR="008C01AB" w:rsidRPr="00D56430" w:rsidRDefault="008C01AB" w:rsidP="00FA4891">
      <w:pPr>
        <w:rPr>
          <w:color w:val="EE0000"/>
        </w:rPr>
      </w:pPr>
    </w:p>
    <w:p w14:paraId="7B5541C1" w14:textId="77777777" w:rsidR="00F61B51" w:rsidRPr="00D56430" w:rsidRDefault="00F61B51" w:rsidP="00FA4891">
      <w:pPr>
        <w:rPr>
          <w:color w:val="EE0000"/>
        </w:rPr>
      </w:pPr>
    </w:p>
    <w:p w14:paraId="10C89635" w14:textId="77777777" w:rsidR="00F61B51" w:rsidRPr="00D56430" w:rsidRDefault="00F61B51" w:rsidP="00AC24C6">
      <w:pPr>
        <w:keepNext/>
        <w:spacing w:before="240" w:after="60"/>
        <w:outlineLvl w:val="0"/>
        <w:rPr>
          <w:rFonts w:eastAsia="SimSun"/>
          <w:b/>
          <w:bCs/>
          <w:color w:val="EE0000"/>
          <w:kern w:val="32"/>
          <w:lang w:val="en-AU" w:eastAsia="zh-CN"/>
        </w:rPr>
        <w:sectPr w:rsidR="00F61B51" w:rsidRPr="00D56430" w:rsidSect="00EC323B">
          <w:type w:val="continuous"/>
          <w:pgSz w:w="11906" w:h="16838"/>
          <w:pgMar w:top="1440" w:right="851" w:bottom="1440" w:left="851" w:header="709" w:footer="709" w:gutter="57"/>
          <w:cols w:num="2" w:space="227"/>
          <w:docGrid w:linePitch="360"/>
        </w:sectPr>
      </w:pPr>
    </w:p>
    <w:p w14:paraId="7A3723ED" w14:textId="77777777" w:rsidR="00C2312D" w:rsidRPr="00D56430" w:rsidRDefault="00C2312D" w:rsidP="00846584">
      <w:pPr>
        <w:contextualSpacing/>
        <w:jc w:val="center"/>
        <w:rPr>
          <w:b/>
          <w:color w:val="EE0000"/>
        </w:rPr>
      </w:pPr>
      <w:r>
        <w:rPr>
          <w:b/>
          <w:color w:val="EE0000"/>
          <w:sz w:val="36"/>
          <w:szCs w:val="36"/>
        </w:rPr>
        <w:t>Additional Information</w:t>
      </w:r>
    </w:p>
    <w:p w14:paraId="306A2F8A" w14:textId="77777777" w:rsidR="00C2312D" w:rsidRPr="00D56430" w:rsidRDefault="00C2312D" w:rsidP="00C2312D">
      <w:pPr>
        <w:contextualSpacing/>
        <w:rPr>
          <w:b/>
          <w:color w:val="EE0000"/>
        </w:rPr>
      </w:pPr>
    </w:p>
    <w:p w14:paraId="74AE7EF2" w14:textId="77777777" w:rsidR="00C2312D" w:rsidRPr="00D56430" w:rsidRDefault="00C2312D" w:rsidP="00C2312D">
      <w:pPr>
        <w:contextualSpacing/>
        <w:rPr>
          <w:color w:val="EE0000"/>
        </w:rPr>
      </w:pPr>
      <w:r>
        <w:rPr>
          <w:b/>
          <w:color w:val="EE0000"/>
        </w:rPr>
        <w:t>I)</w:t>
      </w:r>
      <w:r>
        <w:rPr>
          <w:b/>
          <w:color w:val="EE0000"/>
        </w:rPr>
        <w:tab/>
      </w:r>
      <w:r>
        <w:rPr>
          <w:b/>
          <w:color w:val="EE0000"/>
          <w:u w:val="single"/>
        </w:rPr>
        <w:t>Submission Specification for Conference Papers</w:t>
      </w:r>
    </w:p>
    <w:p w14:paraId="6549047F" w14:textId="77777777" w:rsidR="00C2312D" w:rsidRPr="00D56430" w:rsidRDefault="00C2312D" w:rsidP="00C2312D">
      <w:pPr>
        <w:jc w:val="both"/>
        <w:rPr>
          <w:rFonts w:eastAsia="SimSun"/>
          <w:color w:val="EE0000"/>
          <w:lang w:val="en-AU" w:eastAsia="zh-CN"/>
        </w:rPr>
      </w:pPr>
      <w:r>
        <w:rPr>
          <w:rFonts w:eastAsia="SimSun"/>
          <w:color w:val="EE0000"/>
          <w:lang w:val="en-AU" w:eastAsia="zh-CN"/>
        </w:rPr>
        <w:t>This ‘Submission Specification for Conference Papers’ document provides instructions for the submission of Conference Papers for publication on the IET Digital Platform.</w:t>
      </w:r>
    </w:p>
    <w:p w14:paraId="3D3E5C45" w14:textId="77777777" w:rsidR="00C2312D" w:rsidRPr="00D56430" w:rsidRDefault="00C2312D" w:rsidP="00C2312D">
      <w:pPr>
        <w:jc w:val="both"/>
        <w:rPr>
          <w:rFonts w:eastAsia="SimSun"/>
          <w:color w:val="EE0000"/>
          <w:lang w:val="en-AU" w:eastAsia="zh-CN"/>
        </w:rPr>
      </w:pPr>
    </w:p>
    <w:p w14:paraId="1C669EA2" w14:textId="77777777" w:rsidR="00C2312D" w:rsidRPr="00D56430" w:rsidRDefault="00C2312D" w:rsidP="00C2312D">
      <w:pPr>
        <w:jc w:val="both"/>
        <w:rPr>
          <w:rFonts w:eastAsia="SimSun"/>
          <w:color w:val="EE0000"/>
          <w:lang w:val="en-AU" w:eastAsia="zh-CN"/>
        </w:rPr>
      </w:pPr>
      <w:r>
        <w:rPr>
          <w:rFonts w:eastAsia="SimSun"/>
          <w:color w:val="EE0000"/>
          <w:lang w:val="en-AU" w:eastAsia="zh-CN"/>
        </w:rPr>
        <w:t xml:space="preserve">This document is to be used in conjunction with the ‘Manuscript-template.docx’. </w:t>
      </w:r>
    </w:p>
    <w:p w14:paraId="27E05EFB" w14:textId="77777777" w:rsidR="00C2312D" w:rsidRPr="00D56430" w:rsidRDefault="00C2312D" w:rsidP="00C2312D">
      <w:pPr>
        <w:jc w:val="both"/>
        <w:rPr>
          <w:rFonts w:eastAsia="SimSun"/>
          <w:b/>
          <w:color w:val="EE0000"/>
          <w:lang w:val="en-AU" w:eastAsia="zh-CN"/>
        </w:rPr>
      </w:pPr>
      <w:r>
        <w:rPr>
          <w:rFonts w:eastAsia="SimSun"/>
          <w:b/>
          <w:color w:val="EE0000"/>
          <w:lang w:val="en-AU" w:eastAsia="zh-CN"/>
        </w:rPr>
        <w:t xml:space="preserve">The Conference Paper is to be prepared in MS Word format and then printed to PDF. </w:t>
      </w:r>
    </w:p>
    <w:p w14:paraId="65A88A83" w14:textId="77777777" w:rsidR="00C2312D" w:rsidRPr="00D56430" w:rsidRDefault="00C2312D" w:rsidP="00C2312D">
      <w:pPr>
        <w:jc w:val="both"/>
        <w:rPr>
          <w:rFonts w:eastAsia="SimSun"/>
          <w:color w:val="EE0000"/>
          <w:lang w:val="en-AU" w:eastAsia="zh-CN"/>
        </w:rPr>
      </w:pPr>
    </w:p>
    <w:p w14:paraId="0DD6C0CC" w14:textId="77777777" w:rsidR="00C2312D" w:rsidRPr="00D56430" w:rsidRDefault="00C2312D" w:rsidP="00C2312D">
      <w:pPr>
        <w:keepNext/>
        <w:spacing w:before="240" w:after="60"/>
        <w:outlineLvl w:val="0"/>
        <w:rPr>
          <w:rFonts w:eastAsia="SimSun"/>
          <w:b/>
          <w:bCs/>
          <w:color w:val="EE0000"/>
          <w:kern w:val="32"/>
          <w:lang w:val="en-AU" w:eastAsia="zh-CN"/>
        </w:rPr>
      </w:pPr>
      <w:bookmarkStart w:id="0" w:name="Submission"/>
      <w:r>
        <w:rPr>
          <w:rFonts w:eastAsia="SimSun"/>
          <w:b/>
          <w:bCs/>
          <w:color w:val="EE0000"/>
          <w:kern w:val="32"/>
          <w:lang w:val="en-AU" w:eastAsia="zh-CN"/>
        </w:rPr>
        <w:t>1.</w:t>
      </w:r>
      <w:r>
        <w:rPr>
          <w:rFonts w:eastAsia="SimSun"/>
          <w:b/>
          <w:bCs/>
          <w:color w:val="EE0000"/>
          <w:kern w:val="32"/>
          <w:lang w:val="en-AU" w:eastAsia="zh-CN"/>
        </w:rPr>
        <w:tab/>
        <w:t>Submission requirements</w:t>
      </w:r>
    </w:p>
    <w:bookmarkEnd w:id="0"/>
    <w:p w14:paraId="02AF1998" w14:textId="77777777" w:rsidR="00C2312D" w:rsidRPr="00D56430" w:rsidRDefault="00C2312D" w:rsidP="00C2312D">
      <w:pPr>
        <w:jc w:val="both"/>
        <w:rPr>
          <w:rFonts w:eastAsia="SimSun"/>
          <w:color w:val="EE0000"/>
          <w:lang w:val="en-AU" w:eastAsia="zh-CN"/>
        </w:rPr>
      </w:pPr>
      <w:r>
        <w:rPr>
          <w:rFonts w:eastAsia="SimSun"/>
          <w:color w:val="EE0000"/>
          <w:lang w:val="en-AU" w:eastAsia="zh-CN"/>
        </w:rPr>
        <w:t>Conference papers must satisfy the following requirements:</w:t>
      </w:r>
    </w:p>
    <w:p w14:paraId="12759AA3" w14:textId="77777777" w:rsidR="00C2312D" w:rsidRPr="00D56430" w:rsidRDefault="00C2312D" w:rsidP="00C2312D">
      <w:pPr>
        <w:keepNext/>
        <w:spacing w:before="240" w:after="60"/>
        <w:outlineLvl w:val="2"/>
        <w:rPr>
          <w:b/>
          <w:bCs/>
          <w:color w:val="EE0000"/>
        </w:rPr>
      </w:pPr>
      <w:r>
        <w:rPr>
          <w:b/>
          <w:bCs/>
          <w:color w:val="EE0000"/>
        </w:rPr>
        <w:t>1.1</w:t>
      </w:r>
      <w:r>
        <w:rPr>
          <w:b/>
          <w:bCs/>
          <w:color w:val="EE0000"/>
        </w:rPr>
        <w:tab/>
        <w:t>Manuscript Submission</w:t>
      </w:r>
    </w:p>
    <w:p w14:paraId="44BA1E75" w14:textId="77777777" w:rsidR="00C2312D" w:rsidRPr="00D56430" w:rsidRDefault="00C2312D" w:rsidP="00C2312D">
      <w:pPr>
        <w:jc w:val="both"/>
        <w:rPr>
          <w:rFonts w:eastAsia="SimSun"/>
          <w:color w:val="EE0000"/>
          <w:lang w:val="en-AU" w:eastAsia="zh-CN"/>
        </w:rPr>
      </w:pPr>
    </w:p>
    <w:p w14:paraId="332F44AC" w14:textId="77777777" w:rsidR="00C2312D" w:rsidRPr="00D56430" w:rsidRDefault="00C2312D" w:rsidP="00C2312D">
      <w:pPr>
        <w:jc w:val="both"/>
        <w:rPr>
          <w:rFonts w:eastAsia="SimSun"/>
          <w:color w:val="EE0000"/>
          <w:lang w:val="en-AU" w:eastAsia="zh-CN"/>
        </w:rPr>
      </w:pPr>
      <w:r>
        <w:rPr>
          <w:rFonts w:eastAsia="SimSun"/>
          <w:b/>
          <w:color w:val="EE0000"/>
          <w:lang w:val="en-AU" w:eastAsia="zh-CN"/>
        </w:rPr>
        <w:t>1.1.1</w:t>
      </w:r>
      <w:r>
        <w:rPr>
          <w:rFonts w:eastAsia="SimSun"/>
          <w:b/>
          <w:color w:val="EE0000"/>
          <w:lang w:val="en-AU" w:eastAsia="zh-CN"/>
        </w:rPr>
        <w:tab/>
        <w:t>Originality</w:t>
      </w:r>
      <w:r>
        <w:rPr>
          <w:rFonts w:eastAsia="SimSun"/>
          <w:color w:val="EE0000"/>
          <w:lang w:val="en-AU" w:eastAsia="zh-CN"/>
        </w:rPr>
        <w:t xml:space="preserve">: Is the work scientifically rigorous, accurate and novel? Does the work contain significant additional material to that already published? Has its value been demonstrated? </w:t>
      </w:r>
    </w:p>
    <w:p w14:paraId="376A4FFA" w14:textId="77777777" w:rsidR="00C2312D" w:rsidRPr="00D56430" w:rsidRDefault="00C2312D" w:rsidP="00C2312D">
      <w:pPr>
        <w:jc w:val="both"/>
        <w:rPr>
          <w:rFonts w:eastAsia="SimSun"/>
          <w:color w:val="EE0000"/>
          <w:lang w:val="en-AU" w:eastAsia="zh-CN"/>
        </w:rPr>
      </w:pPr>
    </w:p>
    <w:p w14:paraId="048B0D54" w14:textId="77777777" w:rsidR="00C2312D" w:rsidRPr="00D56430" w:rsidRDefault="00C2312D" w:rsidP="00C2312D">
      <w:pPr>
        <w:rPr>
          <w:color w:val="EE0000"/>
        </w:rPr>
      </w:pPr>
      <w:r>
        <w:rPr>
          <w:b/>
          <w:color w:val="EE0000"/>
        </w:rPr>
        <w:t>1.1.2</w:t>
      </w:r>
      <w:r>
        <w:rPr>
          <w:b/>
          <w:color w:val="EE0000"/>
        </w:rPr>
        <w:tab/>
        <w:t>Plagiarism</w:t>
      </w:r>
      <w:r>
        <w:rPr>
          <w:color w:val="EE0000"/>
        </w:rPr>
        <w:t>: All conference papers submitted to the IET for publication must record original work which has not been published previously. Any alleged cases of plagiarism will be dealt with according to the ‘</w:t>
      </w:r>
      <w:hyperlink r:id="rId15" w:history="1">
        <w:r>
          <w:rPr>
            <w:color w:val="EE0000"/>
            <w:u w:val="single"/>
          </w:rPr>
          <w:t>IET Policy in Relation to Plagiarism, Infringement of Copyright and Infringement of Moral Rights and Submission to Multiple Publications</w:t>
        </w:r>
      </w:hyperlink>
      <w:r>
        <w:rPr>
          <w:color w:val="EE0000"/>
        </w:rPr>
        <w:t xml:space="preserve">’. </w:t>
      </w:r>
    </w:p>
    <w:p w14:paraId="658B0B62" w14:textId="77777777" w:rsidR="00C2312D" w:rsidRPr="00D56430" w:rsidRDefault="00C2312D" w:rsidP="00C2312D">
      <w:pPr>
        <w:rPr>
          <w:color w:val="EE0000"/>
        </w:rPr>
      </w:pPr>
    </w:p>
    <w:p w14:paraId="22408D77" w14:textId="77777777" w:rsidR="00C2312D" w:rsidRPr="00D56430" w:rsidRDefault="00C2312D" w:rsidP="00C2312D">
      <w:pPr>
        <w:rPr>
          <w:color w:val="EE0000"/>
        </w:rPr>
      </w:pPr>
      <w:r>
        <w:rPr>
          <w:b/>
          <w:color w:val="EE0000"/>
        </w:rPr>
        <w:t>1.1.3</w:t>
      </w:r>
      <w:r>
        <w:rPr>
          <w:b/>
          <w:color w:val="EE0000"/>
        </w:rPr>
        <w:tab/>
        <w:t>Multiple submissions:</w:t>
      </w:r>
      <w:r>
        <w:rPr>
          <w:color w:val="EE0000"/>
        </w:rPr>
        <w:t xml:space="preserve"> The IET does not permit manuscripts included in its conference proceedings to be simultaneously under review for another conference or publication.  </w:t>
      </w:r>
    </w:p>
    <w:p w14:paraId="217FC00F" w14:textId="77777777" w:rsidR="00C2312D" w:rsidRPr="00D56430" w:rsidRDefault="00C2312D" w:rsidP="00C2312D">
      <w:pPr>
        <w:rPr>
          <w:color w:val="EE0000"/>
        </w:rPr>
      </w:pPr>
      <w:r>
        <w:rPr>
          <w:color w:val="EE0000"/>
        </w:rPr>
        <w:t xml:space="preserve">Once a case of multiple submissions has been established, the paper/s in question will be immediately declined for publication by the IET. </w:t>
      </w:r>
    </w:p>
    <w:p w14:paraId="3CF7D145" w14:textId="77777777" w:rsidR="00C2312D" w:rsidRPr="00D56430" w:rsidRDefault="00C2312D" w:rsidP="00C2312D">
      <w:pPr>
        <w:rPr>
          <w:color w:val="EE0000"/>
        </w:rPr>
      </w:pPr>
    </w:p>
    <w:p w14:paraId="0A242B65" w14:textId="77777777" w:rsidR="00C2312D" w:rsidRPr="00D56430" w:rsidRDefault="00C2312D" w:rsidP="00C2312D">
      <w:pPr>
        <w:rPr>
          <w:color w:val="EE0000"/>
        </w:rPr>
      </w:pPr>
      <w:r>
        <w:rPr>
          <w:b/>
          <w:color w:val="EE0000"/>
        </w:rPr>
        <w:t>1.1.4</w:t>
      </w:r>
      <w:r>
        <w:rPr>
          <w:b/>
          <w:color w:val="EE0000"/>
        </w:rPr>
        <w:tab/>
        <w:t>Relevance:</w:t>
      </w:r>
      <w:r>
        <w:rPr>
          <w:color w:val="EE0000"/>
        </w:rPr>
        <w:t xml:space="preserve"> Is the material appropriate to the scope of the conference to which it is submitted? </w:t>
      </w:r>
    </w:p>
    <w:p w14:paraId="28A187AD" w14:textId="77777777" w:rsidR="00C2312D" w:rsidRPr="00D56430" w:rsidRDefault="00C2312D" w:rsidP="00C2312D">
      <w:pPr>
        <w:rPr>
          <w:color w:val="EE0000"/>
        </w:rPr>
      </w:pPr>
    </w:p>
    <w:p w14:paraId="57DEC459" w14:textId="77777777" w:rsidR="00C2312D" w:rsidRPr="00D56430" w:rsidRDefault="00C2312D" w:rsidP="00C2312D">
      <w:pPr>
        <w:rPr>
          <w:color w:val="EE0000"/>
        </w:rPr>
      </w:pPr>
      <w:r>
        <w:rPr>
          <w:b/>
          <w:color w:val="EE0000"/>
        </w:rPr>
        <w:t>1.1.5</w:t>
      </w:r>
      <w:r>
        <w:rPr>
          <w:b/>
          <w:color w:val="EE0000"/>
        </w:rPr>
        <w:tab/>
        <w:t>Clarity:</w:t>
      </w:r>
      <w:r>
        <w:rPr>
          <w:color w:val="EE0000"/>
        </w:rPr>
        <w:t xml:space="preserve"> Is the English clear and well written? Poorly written English may obscure the scientific merit of your paper. Are the ideas expressed clearly and concisely? Are the concepts understandable? </w:t>
      </w:r>
    </w:p>
    <w:p w14:paraId="181F75A2" w14:textId="77777777" w:rsidR="00C2312D" w:rsidRPr="00D56430" w:rsidRDefault="00C2312D" w:rsidP="00C2312D">
      <w:pPr>
        <w:keepNext/>
        <w:spacing w:before="240" w:after="60"/>
        <w:outlineLvl w:val="2"/>
        <w:rPr>
          <w:b/>
          <w:bCs/>
          <w:color w:val="EE0000"/>
        </w:rPr>
      </w:pPr>
      <w:r>
        <w:rPr>
          <w:b/>
          <w:bCs/>
          <w:color w:val="EE0000"/>
        </w:rPr>
        <w:t>2.</w:t>
      </w:r>
      <w:r>
        <w:rPr>
          <w:b/>
          <w:bCs/>
          <w:color w:val="EE0000"/>
        </w:rPr>
        <w:tab/>
        <w:t>Post-print Policy</w:t>
      </w:r>
    </w:p>
    <w:p w14:paraId="09F07F87" w14:textId="77777777" w:rsidR="00C2312D" w:rsidRPr="00D56430" w:rsidRDefault="00C2312D" w:rsidP="00C2312D">
      <w:pPr>
        <w:jc w:val="both"/>
        <w:rPr>
          <w:rFonts w:eastAsia="SimSun"/>
          <w:color w:val="EE0000"/>
          <w:lang w:eastAsia="zh-CN"/>
        </w:rPr>
      </w:pPr>
    </w:p>
    <w:p w14:paraId="6A590FF1" w14:textId="77777777" w:rsidR="00C2312D" w:rsidRPr="00D56430" w:rsidRDefault="00C2312D" w:rsidP="00C2312D">
      <w:pPr>
        <w:jc w:val="both"/>
        <w:rPr>
          <w:rFonts w:eastAsia="SimSun"/>
          <w:color w:val="EE0000"/>
          <w:lang w:eastAsia="zh-CN"/>
        </w:rPr>
      </w:pPr>
      <w:r>
        <w:rPr>
          <w:rFonts w:eastAsia="SimSun"/>
          <w:color w:val="EE0000"/>
          <w:lang w:eastAsia="zh-CN"/>
        </w:rPr>
        <w:t>2.1.1</w:t>
      </w:r>
      <w:r>
        <w:rPr>
          <w:rFonts w:eastAsia="SimSun"/>
          <w:color w:val="EE0000"/>
          <w:lang w:eastAsia="zh-CN"/>
        </w:rPr>
        <w:tab/>
        <w:t xml:space="preserve">The author may post post-prints of their conference papers published by the IET on repositories, servers and websites of any sort, provided that these servers are operated by the author's institution or the funding body contributing to the research. To comply with funding requirements, authors may also deposit their conference papers in repositories (or mirror sites) designated by the funding body. </w:t>
      </w:r>
    </w:p>
    <w:p w14:paraId="75C58FB3" w14:textId="77777777" w:rsidR="00C2312D" w:rsidRPr="00D56430" w:rsidRDefault="00C2312D" w:rsidP="00C2312D">
      <w:pPr>
        <w:jc w:val="both"/>
        <w:rPr>
          <w:rFonts w:eastAsia="SimSun"/>
          <w:color w:val="EE0000"/>
          <w:lang w:eastAsia="zh-CN"/>
        </w:rPr>
      </w:pPr>
    </w:p>
    <w:p w14:paraId="3726CF99" w14:textId="77777777" w:rsidR="00C2312D" w:rsidRPr="00D56430" w:rsidRDefault="00C2312D" w:rsidP="00C2312D">
      <w:pPr>
        <w:jc w:val="both"/>
        <w:rPr>
          <w:rFonts w:eastAsia="SimSun"/>
          <w:color w:val="EE0000"/>
          <w:lang w:eastAsia="zh-CN"/>
        </w:rPr>
      </w:pPr>
      <w:r>
        <w:rPr>
          <w:rFonts w:eastAsia="SimSun"/>
          <w:color w:val="EE0000"/>
          <w:lang w:eastAsia="zh-CN"/>
        </w:rPr>
        <w:t xml:space="preserve">The conditions attached to this are as follows: </w:t>
      </w:r>
    </w:p>
    <w:p w14:paraId="66F6E6F0" w14:textId="77777777" w:rsidR="00C2312D" w:rsidRPr="00D56430" w:rsidRDefault="00C2312D" w:rsidP="00C2312D">
      <w:pPr>
        <w:jc w:val="both"/>
        <w:rPr>
          <w:rFonts w:eastAsia="SimSun"/>
          <w:color w:val="EE0000"/>
          <w:lang w:eastAsia="zh-CN"/>
        </w:rPr>
      </w:pPr>
    </w:p>
    <w:p w14:paraId="29067488" w14:textId="77777777" w:rsidR="00C2312D" w:rsidRPr="00D56430" w:rsidRDefault="00C2312D" w:rsidP="00C2312D">
      <w:pPr>
        <w:jc w:val="both"/>
        <w:rPr>
          <w:rFonts w:eastAsia="SimSun"/>
          <w:color w:val="EE0000"/>
          <w:lang w:eastAsia="zh-CN"/>
        </w:rPr>
      </w:pPr>
      <w:r>
        <w:rPr>
          <w:rFonts w:eastAsia="SimSun"/>
          <w:color w:val="EE0000"/>
          <w:lang w:eastAsia="zh-CN"/>
        </w:rPr>
        <w:t>2.1.2</w:t>
      </w:r>
      <w:r>
        <w:rPr>
          <w:rFonts w:eastAsia="SimSun"/>
          <w:color w:val="EE0000"/>
          <w:lang w:eastAsia="zh-CN"/>
        </w:rPr>
        <w:tab/>
        <w:t>Access to such servers is not for commercial use and does not depend on payment of access, subscription, or membership fees.</w:t>
      </w:r>
    </w:p>
    <w:p w14:paraId="77B15C18" w14:textId="77777777" w:rsidR="00C2312D" w:rsidRPr="00D56430" w:rsidRDefault="00C2312D" w:rsidP="00C2312D">
      <w:pPr>
        <w:jc w:val="both"/>
        <w:rPr>
          <w:rFonts w:eastAsia="SimSun"/>
          <w:color w:val="EE0000"/>
          <w:lang w:eastAsia="zh-CN"/>
        </w:rPr>
      </w:pPr>
    </w:p>
    <w:p w14:paraId="6A270AFD" w14:textId="77777777" w:rsidR="00C2312D" w:rsidRPr="00D56430" w:rsidRDefault="00C2312D" w:rsidP="00C2312D">
      <w:pPr>
        <w:jc w:val="both"/>
        <w:rPr>
          <w:rFonts w:eastAsia="SimSun"/>
          <w:color w:val="EE0000"/>
          <w:lang w:eastAsia="zh-CN"/>
        </w:rPr>
      </w:pPr>
      <w:r>
        <w:rPr>
          <w:rFonts w:eastAsia="SimSun"/>
          <w:color w:val="EE0000"/>
          <w:lang w:eastAsia="zh-CN"/>
        </w:rPr>
        <w:t>2.1.3</w:t>
      </w:r>
      <w:r>
        <w:rPr>
          <w:rFonts w:eastAsia="SimSun"/>
          <w:color w:val="EE0000"/>
          <w:lang w:eastAsia="zh-CN"/>
        </w:rPr>
        <w:tab/>
        <w:t xml:space="preserve">The following wording clearly appears on the front page of the post-print: </w:t>
      </w:r>
    </w:p>
    <w:p w14:paraId="76DD78EE" w14:textId="77777777" w:rsidR="00C2312D" w:rsidRPr="00D56430" w:rsidRDefault="00C2312D" w:rsidP="00C2312D">
      <w:pPr>
        <w:jc w:val="both"/>
        <w:rPr>
          <w:rFonts w:eastAsia="SimSun"/>
          <w:color w:val="EE0000"/>
          <w:lang w:eastAsia="zh-CN"/>
        </w:rPr>
      </w:pPr>
    </w:p>
    <w:p w14:paraId="29752751" w14:textId="77777777" w:rsidR="00C2312D" w:rsidRPr="00D56430" w:rsidRDefault="00C2312D" w:rsidP="00C2312D">
      <w:pPr>
        <w:jc w:val="both"/>
        <w:rPr>
          <w:rFonts w:eastAsia="SimSun"/>
          <w:color w:val="EE0000"/>
          <w:lang w:eastAsia="zh-CN"/>
        </w:rPr>
      </w:pPr>
      <w:r>
        <w:rPr>
          <w:rFonts w:eastAsia="SimSun"/>
          <w:color w:val="EE0000"/>
          <w:lang w:eastAsia="zh-CN"/>
        </w:rPr>
        <w:t xml:space="preserve">"This paper is a post-print of a paper submitted to and accepted for publication in Conference Proceedings of </w:t>
      </w:r>
      <w:r>
        <w:rPr>
          <w:rFonts w:eastAsia="SimSun"/>
          <w:i/>
          <w:color w:val="EE0000"/>
          <w:lang w:eastAsia="zh-CN"/>
        </w:rPr>
        <w:t>conference title</w:t>
      </w:r>
      <w:r>
        <w:rPr>
          <w:rFonts w:eastAsia="SimSun"/>
          <w:color w:val="EE0000"/>
          <w:lang w:eastAsia="zh-CN"/>
        </w:rPr>
        <w:t xml:space="preserve"> and is subject to Institution of Engineering and Technology Copyright. The copy of record is available at IET Digital Library" </w:t>
      </w:r>
    </w:p>
    <w:p w14:paraId="0E7214A3" w14:textId="77777777" w:rsidR="00C2312D" w:rsidRPr="00D56430" w:rsidRDefault="00C2312D" w:rsidP="00C2312D">
      <w:pPr>
        <w:jc w:val="both"/>
        <w:rPr>
          <w:rFonts w:eastAsia="SimSun"/>
          <w:color w:val="EE0000"/>
          <w:lang w:eastAsia="zh-CN"/>
        </w:rPr>
      </w:pPr>
    </w:p>
    <w:p w14:paraId="498E6C42" w14:textId="77777777" w:rsidR="00C2312D" w:rsidRPr="00D56430" w:rsidRDefault="00C2312D" w:rsidP="00C2312D">
      <w:pPr>
        <w:jc w:val="both"/>
        <w:rPr>
          <w:rFonts w:eastAsia="SimSun"/>
          <w:color w:val="EE0000"/>
          <w:lang w:eastAsia="zh-CN"/>
        </w:rPr>
      </w:pPr>
      <w:r>
        <w:rPr>
          <w:rFonts w:eastAsia="SimSun"/>
          <w:color w:val="EE0000"/>
          <w:lang w:eastAsia="zh-CN"/>
        </w:rPr>
        <w:t>2.1.4</w:t>
      </w:r>
      <w:r>
        <w:rPr>
          <w:rFonts w:eastAsia="SimSun"/>
          <w:color w:val="EE0000"/>
          <w:lang w:eastAsia="zh-CN"/>
        </w:rPr>
        <w:tab/>
        <w:t xml:space="preserve">The post-print must be the author's version and not the IET version/PDF. </w:t>
      </w:r>
    </w:p>
    <w:p w14:paraId="77DBFEE8" w14:textId="77777777" w:rsidR="00C2312D" w:rsidRPr="00D56430" w:rsidRDefault="00C2312D" w:rsidP="00C2312D">
      <w:pPr>
        <w:jc w:val="both"/>
        <w:rPr>
          <w:rFonts w:eastAsia="SimSun"/>
          <w:color w:val="EE0000"/>
          <w:lang w:eastAsia="zh-CN"/>
        </w:rPr>
      </w:pPr>
    </w:p>
    <w:p w14:paraId="4DCF0FCE" w14:textId="77777777" w:rsidR="00C2312D" w:rsidRPr="00D56430" w:rsidRDefault="00C2312D" w:rsidP="00C2312D">
      <w:pPr>
        <w:jc w:val="both"/>
        <w:rPr>
          <w:rFonts w:eastAsia="SimSun"/>
          <w:color w:val="EE0000"/>
          <w:lang w:eastAsia="zh-CN"/>
        </w:rPr>
      </w:pPr>
      <w:r>
        <w:rPr>
          <w:rFonts w:eastAsia="SimSun"/>
          <w:color w:val="EE0000"/>
          <w:lang w:eastAsia="zh-CN"/>
        </w:rPr>
        <w:t>2.1.5</w:t>
      </w:r>
      <w:r>
        <w:rPr>
          <w:rFonts w:eastAsia="SimSun"/>
          <w:color w:val="EE0000"/>
          <w:lang w:eastAsia="zh-CN"/>
        </w:rPr>
        <w:tab/>
        <w:t xml:space="preserve">The post-print must not be posted prior to publication of the paper by the IET and when posted any preprint version should be removed. </w:t>
      </w:r>
    </w:p>
    <w:p w14:paraId="1B9E1F8A" w14:textId="77777777" w:rsidR="00C2312D" w:rsidRPr="00D56430" w:rsidRDefault="00C2312D" w:rsidP="00C2312D">
      <w:pPr>
        <w:keepNext/>
        <w:spacing w:before="240" w:after="60"/>
        <w:outlineLvl w:val="2"/>
        <w:rPr>
          <w:b/>
          <w:bCs/>
          <w:color w:val="EE0000"/>
        </w:rPr>
      </w:pPr>
      <w:r>
        <w:rPr>
          <w:b/>
          <w:bCs/>
          <w:color w:val="EE0000"/>
        </w:rPr>
        <w:t>3.1</w:t>
      </w:r>
      <w:r>
        <w:rPr>
          <w:b/>
          <w:bCs/>
          <w:color w:val="EE0000"/>
        </w:rPr>
        <w:tab/>
        <w:t xml:space="preserve">Copyright </w:t>
      </w:r>
    </w:p>
    <w:p w14:paraId="1C2CB279" w14:textId="77777777" w:rsidR="00C2312D" w:rsidRPr="00D56430" w:rsidRDefault="00C2312D" w:rsidP="00C2312D">
      <w:pPr>
        <w:jc w:val="both"/>
        <w:rPr>
          <w:rFonts w:eastAsia="SimSun"/>
          <w:color w:val="EE0000"/>
          <w:lang w:eastAsia="zh-CN"/>
        </w:rPr>
      </w:pPr>
    </w:p>
    <w:p w14:paraId="79C78E6A" w14:textId="77777777" w:rsidR="00C2312D" w:rsidRPr="00D56430" w:rsidRDefault="00C2312D" w:rsidP="00C2312D">
      <w:pPr>
        <w:jc w:val="both"/>
        <w:rPr>
          <w:rFonts w:eastAsia="SimSun"/>
          <w:color w:val="EE0000"/>
          <w:lang w:eastAsia="zh-CN"/>
        </w:rPr>
      </w:pPr>
      <w:r>
        <w:rPr>
          <w:rFonts w:eastAsia="SimSun"/>
          <w:color w:val="EE0000"/>
          <w:lang w:eastAsia="zh-CN"/>
        </w:rPr>
        <w:t>3.1.1</w:t>
      </w:r>
      <w:r>
        <w:rPr>
          <w:rFonts w:eastAsia="SimSun"/>
          <w:color w:val="EE0000"/>
          <w:lang w:eastAsia="zh-CN"/>
        </w:rPr>
        <w:tab/>
      </w:r>
      <w:r>
        <w:rPr>
          <w:rFonts w:eastAsia="SimSun"/>
          <w:color w:val="EE0000"/>
          <w:shd w:val="clear" w:color="auto" w:fill="FFFFFF"/>
          <w:lang w:val="en-AU" w:eastAsia="zh-CN"/>
        </w:rPr>
        <w:t>An author submitting a paper should ensure that he or she has the right to publish the paper and that it contains nothing defamatory. The IET will assume that all co-authors have agreed to the submission of any paper received.</w:t>
      </w:r>
    </w:p>
    <w:p w14:paraId="77AF7D21" w14:textId="77777777" w:rsidR="00C2312D" w:rsidRPr="00D56430" w:rsidRDefault="00C2312D" w:rsidP="00C2312D">
      <w:pPr>
        <w:jc w:val="both"/>
        <w:rPr>
          <w:rFonts w:eastAsia="SimSun"/>
          <w:color w:val="EE0000"/>
          <w:lang w:eastAsia="zh-CN"/>
        </w:rPr>
      </w:pPr>
    </w:p>
    <w:p w14:paraId="22604829" w14:textId="77777777" w:rsidR="00C2312D" w:rsidRPr="00D56430" w:rsidRDefault="00C2312D" w:rsidP="00C2312D">
      <w:pPr>
        <w:jc w:val="both"/>
        <w:rPr>
          <w:rFonts w:eastAsia="SimSun"/>
          <w:color w:val="EE0000"/>
          <w:lang w:eastAsia="zh-CN"/>
        </w:rPr>
      </w:pPr>
      <w:r>
        <w:rPr>
          <w:rFonts w:eastAsia="SimSun"/>
          <w:color w:val="EE0000"/>
          <w:lang w:eastAsia="zh-CN"/>
        </w:rPr>
        <w:t xml:space="preserve">3.1.2 </w:t>
      </w:r>
      <w:r>
        <w:rPr>
          <w:rFonts w:eastAsia="SimSun"/>
          <w:color w:val="EE0000"/>
          <w:lang w:eastAsia="zh-CN"/>
        </w:rPr>
        <w:tab/>
        <w:t>Your conference paper must be accompanied by a signed licence to publish.</w:t>
      </w:r>
    </w:p>
    <w:p w14:paraId="62BD1965" w14:textId="77777777" w:rsidR="00C2312D" w:rsidRPr="00D56430" w:rsidRDefault="00C2312D" w:rsidP="00C2312D">
      <w:pPr>
        <w:jc w:val="both"/>
        <w:rPr>
          <w:rFonts w:eastAsia="SimSun"/>
          <w:color w:val="EE0000"/>
          <w:lang w:eastAsia="zh-CN"/>
        </w:rPr>
      </w:pPr>
    </w:p>
    <w:p w14:paraId="0B8422FE" w14:textId="77777777" w:rsidR="00C2312D" w:rsidRPr="00D56430" w:rsidRDefault="00C2312D" w:rsidP="00C2312D">
      <w:pPr>
        <w:jc w:val="both"/>
        <w:rPr>
          <w:rFonts w:eastAsia="SimSun"/>
          <w:color w:val="EE0000"/>
          <w:lang w:eastAsia="zh-CN"/>
        </w:rPr>
      </w:pPr>
      <w:r>
        <w:rPr>
          <w:rFonts w:eastAsia="SimSun"/>
          <w:color w:val="EE0000"/>
          <w:lang w:eastAsia="zh-CN"/>
        </w:rPr>
        <w:t>3.1.3</w:t>
      </w:r>
      <w:r>
        <w:rPr>
          <w:rFonts w:eastAsia="SimSun"/>
          <w:color w:val="EE0000"/>
          <w:lang w:eastAsia="zh-CN"/>
        </w:rPr>
        <w:tab/>
        <w:t>Copyright: Unless the paper is either "United Kingdom Crown copyright" or "a work of the US Government and in the Public Domain", the copyright remain with the author(s).</w:t>
      </w:r>
    </w:p>
    <w:p w14:paraId="673F21F1" w14:textId="77777777" w:rsidR="00C2312D" w:rsidRPr="00D56430" w:rsidRDefault="00C2312D" w:rsidP="00C2312D">
      <w:pPr>
        <w:jc w:val="both"/>
        <w:rPr>
          <w:rFonts w:eastAsia="SimSun"/>
          <w:color w:val="EE0000"/>
          <w:lang w:eastAsia="zh-CN"/>
        </w:rPr>
      </w:pPr>
    </w:p>
    <w:p w14:paraId="7C06192D" w14:textId="77777777" w:rsidR="00C2312D" w:rsidRPr="00D56430" w:rsidRDefault="00C2312D" w:rsidP="00C2312D">
      <w:pPr>
        <w:jc w:val="both"/>
        <w:rPr>
          <w:rFonts w:eastAsia="SimSun"/>
          <w:color w:val="EE0000"/>
          <w:lang w:eastAsia="zh-CN"/>
        </w:rPr>
      </w:pPr>
      <w:r>
        <w:rPr>
          <w:rFonts w:eastAsia="SimSun"/>
          <w:color w:val="EE0000"/>
          <w:lang w:eastAsia="zh-CN"/>
        </w:rPr>
        <w:t>3.1.4</w:t>
      </w:r>
      <w:r>
        <w:rPr>
          <w:rFonts w:eastAsia="SimSun"/>
          <w:color w:val="EE0000"/>
          <w:lang w:eastAsia="zh-CN"/>
        </w:rPr>
        <w:tab/>
        <w:t>Right to publish: An author submitting a paper should ensure that he or she has the right to publish the paper and that it contains nothing defamatory. The IET will assume that all co-authors have agreed to the submission of any paper received.</w:t>
      </w:r>
    </w:p>
    <w:p w14:paraId="1100D281" w14:textId="77777777" w:rsidR="00C2312D" w:rsidRPr="00D56430" w:rsidRDefault="00C2312D" w:rsidP="00C2312D">
      <w:pPr>
        <w:keepNext/>
        <w:spacing w:before="240" w:after="60"/>
        <w:outlineLvl w:val="2"/>
        <w:rPr>
          <w:b/>
          <w:bCs/>
          <w:color w:val="EE0000"/>
        </w:rPr>
      </w:pPr>
      <w:r>
        <w:rPr>
          <w:b/>
          <w:bCs/>
          <w:color w:val="EE0000"/>
        </w:rPr>
        <w:lastRenderedPageBreak/>
        <w:t>4.1</w:t>
      </w:r>
      <w:r>
        <w:rPr>
          <w:b/>
          <w:bCs/>
          <w:color w:val="EE0000"/>
        </w:rPr>
        <w:tab/>
        <w:t>Permissions to Reproduce</w:t>
      </w:r>
    </w:p>
    <w:p w14:paraId="67985BC7" w14:textId="77777777" w:rsidR="00C2312D" w:rsidRPr="00D56430" w:rsidRDefault="00C2312D" w:rsidP="00C2312D">
      <w:pPr>
        <w:jc w:val="both"/>
        <w:rPr>
          <w:rFonts w:eastAsia="SimSun"/>
          <w:color w:val="EE0000"/>
          <w:lang w:eastAsia="zh-CN"/>
        </w:rPr>
      </w:pPr>
    </w:p>
    <w:p w14:paraId="5B05D4FB" w14:textId="77777777" w:rsidR="00C2312D" w:rsidRPr="00D56430" w:rsidRDefault="00C2312D" w:rsidP="00C2312D">
      <w:pPr>
        <w:jc w:val="both"/>
        <w:rPr>
          <w:rFonts w:eastAsia="SimSun"/>
          <w:color w:val="EE0000"/>
          <w:lang w:eastAsia="zh-CN"/>
        </w:rPr>
      </w:pPr>
      <w:r>
        <w:rPr>
          <w:rFonts w:eastAsia="SimSun"/>
          <w:color w:val="EE0000"/>
          <w:lang w:eastAsia="zh-CN"/>
        </w:rPr>
        <w:t>4.1.1</w:t>
      </w:r>
      <w:r>
        <w:rPr>
          <w:rFonts w:eastAsia="SimSun"/>
          <w:color w:val="EE0000"/>
          <w:lang w:eastAsia="zh-CN"/>
        </w:rPr>
        <w:tab/>
        <w:t>All authors must secure permission from the copyright holder for reproducing previously published text, figures and tables. The source of the reproduced material must be given in full and the words 'Reproduced by permission of .....' included with the illustration.</w:t>
      </w:r>
    </w:p>
    <w:p w14:paraId="09C88C69" w14:textId="77777777" w:rsidR="00C2312D" w:rsidRPr="00D56430" w:rsidRDefault="00C2312D" w:rsidP="00AC24C6">
      <w:pPr>
        <w:keepNext/>
        <w:spacing w:before="240" w:after="60"/>
        <w:outlineLvl w:val="0"/>
        <w:rPr>
          <w:rFonts w:eastAsia="SimSun"/>
          <w:b/>
          <w:bCs/>
          <w:color w:val="EE0000"/>
          <w:kern w:val="32"/>
          <w:lang w:val="en-AU" w:eastAsia="zh-CN"/>
        </w:rPr>
      </w:pPr>
    </w:p>
    <w:p w14:paraId="6DBF48D8" w14:textId="77777777" w:rsidR="00AC24C6" w:rsidRPr="00D56430" w:rsidRDefault="00C2312D" w:rsidP="00AC24C6">
      <w:pPr>
        <w:keepNext/>
        <w:spacing w:before="240" w:after="60"/>
        <w:outlineLvl w:val="0"/>
        <w:rPr>
          <w:rFonts w:eastAsia="SimSun"/>
          <w:b/>
          <w:bCs/>
          <w:color w:val="EE0000"/>
          <w:kern w:val="32"/>
          <w:lang w:val="en-AU" w:eastAsia="zh-CN"/>
        </w:rPr>
      </w:pPr>
      <w:r>
        <w:rPr>
          <w:rFonts w:eastAsia="SimSun"/>
          <w:b/>
          <w:bCs/>
          <w:color w:val="EE0000"/>
          <w:kern w:val="32"/>
          <w:lang w:val="en-AU" w:eastAsia="zh-CN"/>
        </w:rPr>
        <w:t>II)</w:t>
      </w:r>
      <w:r>
        <w:rPr>
          <w:rFonts w:eastAsia="SimSun"/>
          <w:b/>
          <w:bCs/>
          <w:color w:val="EE0000"/>
          <w:kern w:val="32"/>
          <w:lang w:val="en-AU" w:eastAsia="zh-CN"/>
        </w:rPr>
        <w:tab/>
      </w:r>
      <w:r>
        <w:rPr>
          <w:rFonts w:eastAsia="SimSun"/>
          <w:b/>
          <w:bCs/>
          <w:color w:val="EE0000"/>
          <w:kern w:val="32"/>
          <w:u w:val="single"/>
          <w:lang w:val="en-AU" w:eastAsia="zh-CN"/>
        </w:rPr>
        <w:t>PDF format requirement</w:t>
      </w:r>
    </w:p>
    <w:p w14:paraId="5E5A8938" w14:textId="77777777" w:rsidR="00AC24C6" w:rsidRPr="00D56430" w:rsidRDefault="00AC24C6" w:rsidP="00AC24C6">
      <w:pPr>
        <w:rPr>
          <w:rFonts w:eastAsia="SimSun"/>
          <w:color w:val="EE0000"/>
          <w:lang w:eastAsia="en-GB"/>
        </w:rPr>
      </w:pPr>
    </w:p>
    <w:p w14:paraId="524F01D5" w14:textId="77777777" w:rsidR="00AC24C6" w:rsidRPr="00D56430" w:rsidRDefault="00AC24C6" w:rsidP="00AC24C6">
      <w:pPr>
        <w:jc w:val="both"/>
        <w:rPr>
          <w:rFonts w:eastAsia="SimSun"/>
          <w:color w:val="EE0000"/>
          <w:lang w:eastAsia="zh-CN"/>
        </w:rPr>
      </w:pPr>
      <w:r>
        <w:rPr>
          <w:rFonts w:eastAsia="SimSun"/>
          <w:color w:val="EE0000"/>
          <w:lang w:eastAsia="zh-CN"/>
        </w:rPr>
        <w:t>All PDFs shall be set as follows:</w:t>
      </w:r>
    </w:p>
    <w:p w14:paraId="3C063613" w14:textId="77777777" w:rsidR="00AC24C6" w:rsidRPr="00D56430" w:rsidRDefault="00AC24C6" w:rsidP="00AC24C6">
      <w:pPr>
        <w:jc w:val="both"/>
        <w:rPr>
          <w:rFonts w:eastAsia="SimSun"/>
          <w:color w:val="EE0000"/>
          <w:lang w:eastAsia="zh-CN"/>
        </w:rPr>
      </w:pPr>
    </w:p>
    <w:p w14:paraId="55554DBE" w14:textId="77777777" w:rsidR="00AC24C6" w:rsidRPr="00D56430" w:rsidRDefault="00AC24C6" w:rsidP="00AC24C6">
      <w:pPr>
        <w:jc w:val="both"/>
        <w:rPr>
          <w:rFonts w:eastAsia="SimSun"/>
          <w:color w:val="EE0000"/>
          <w:lang w:val="en-AU" w:eastAsia="zh-CN"/>
        </w:rPr>
      </w:pPr>
      <w:r>
        <w:rPr>
          <w:rFonts w:eastAsia="SimSun"/>
          <w:b/>
          <w:color w:val="EE0000"/>
          <w:lang w:val="en-AU" w:eastAsia="zh-CN"/>
        </w:rPr>
        <w:t>Version:</w:t>
      </w:r>
      <w:r>
        <w:rPr>
          <w:rFonts w:eastAsia="SimSun"/>
          <w:color w:val="EE0000"/>
          <w:lang w:val="en-AU" w:eastAsia="zh-CN"/>
        </w:rPr>
        <w:t xml:space="preserve"> Adobe PDF Version 1.5-1.8 (Acrobat 5-8)</w:t>
      </w:r>
    </w:p>
    <w:p w14:paraId="44945FDE" w14:textId="77777777" w:rsidR="00AC24C6" w:rsidRPr="00D56430" w:rsidRDefault="00AC24C6" w:rsidP="00AC24C6">
      <w:pPr>
        <w:jc w:val="both"/>
        <w:rPr>
          <w:rFonts w:eastAsia="SimSun"/>
          <w:color w:val="EE0000"/>
          <w:lang w:val="en-AU" w:eastAsia="zh-CN"/>
        </w:rPr>
      </w:pPr>
    </w:p>
    <w:p w14:paraId="0B2EAC6E" w14:textId="77777777" w:rsidR="00AC24C6" w:rsidRPr="00D56430" w:rsidRDefault="00AC24C6" w:rsidP="00AC24C6">
      <w:pPr>
        <w:jc w:val="both"/>
        <w:rPr>
          <w:rFonts w:eastAsia="SimSun"/>
          <w:color w:val="EE0000"/>
          <w:lang w:val="en-AU" w:eastAsia="zh-CN"/>
        </w:rPr>
      </w:pPr>
      <w:r>
        <w:rPr>
          <w:rFonts w:eastAsia="SimSun"/>
          <w:b/>
          <w:color w:val="EE0000"/>
          <w:lang w:val="en-AU" w:eastAsia="zh-CN"/>
        </w:rPr>
        <w:t>Fonts:</w:t>
      </w:r>
      <w:r>
        <w:rPr>
          <w:rFonts w:eastAsia="SimSun"/>
          <w:color w:val="EE0000"/>
          <w:lang w:val="en-AU" w:eastAsia="zh-CN"/>
        </w:rPr>
        <w:t xml:space="preserve"> All fonts must be 'embedded subset'. </w:t>
      </w:r>
    </w:p>
    <w:p w14:paraId="1899B734" w14:textId="77777777" w:rsidR="00AC24C6" w:rsidRPr="00D56430" w:rsidRDefault="00AC24C6" w:rsidP="00AC24C6">
      <w:pPr>
        <w:jc w:val="both"/>
        <w:rPr>
          <w:rFonts w:eastAsia="SimSun"/>
          <w:color w:val="EE0000"/>
          <w:lang w:val="en-AU" w:eastAsia="zh-CN"/>
        </w:rPr>
      </w:pPr>
    </w:p>
    <w:p w14:paraId="5C16050E" w14:textId="77777777" w:rsidR="00AC24C6" w:rsidRPr="00D56430" w:rsidRDefault="00AC24C6" w:rsidP="00AC24C6">
      <w:pPr>
        <w:jc w:val="both"/>
        <w:rPr>
          <w:rFonts w:eastAsia="SimSun"/>
          <w:b/>
          <w:color w:val="EE0000"/>
          <w:lang w:val="en-AU" w:eastAsia="zh-CN"/>
        </w:rPr>
      </w:pPr>
      <w:r>
        <w:rPr>
          <w:rFonts w:eastAsia="SimSun"/>
          <w:b/>
          <w:color w:val="EE0000"/>
          <w:lang w:val="en-AU" w:eastAsia="zh-CN"/>
        </w:rPr>
        <w:t xml:space="preserve">Document Properties: </w:t>
      </w:r>
    </w:p>
    <w:p w14:paraId="53CCC8A5" w14:textId="77777777" w:rsidR="00AC24C6" w:rsidRPr="00D56430" w:rsidRDefault="00AC24C6" w:rsidP="00AC24C6">
      <w:pPr>
        <w:jc w:val="both"/>
        <w:rPr>
          <w:rFonts w:eastAsia="SimSun"/>
          <w:color w:val="EE0000"/>
          <w:lang w:val="en-AU" w:eastAsia="zh-CN"/>
        </w:rPr>
      </w:pPr>
    </w:p>
    <w:p w14:paraId="723A449F" w14:textId="77777777" w:rsidR="00AC24C6" w:rsidRPr="00D56430" w:rsidRDefault="00AC24C6" w:rsidP="00AC24C6">
      <w:pPr>
        <w:ind w:firstLine="720"/>
        <w:jc w:val="both"/>
        <w:rPr>
          <w:rFonts w:eastAsia="SimSun"/>
          <w:color w:val="EE0000"/>
          <w:lang w:val="en-AU" w:eastAsia="zh-CN"/>
        </w:rPr>
      </w:pPr>
      <w:r>
        <w:rPr>
          <w:rFonts w:eastAsia="SimSun"/>
          <w:color w:val="EE0000"/>
          <w:lang w:val="en-AU" w:eastAsia="zh-CN"/>
        </w:rPr>
        <w:tab/>
      </w:r>
      <w:r>
        <w:rPr>
          <w:rFonts w:eastAsia="SimSun"/>
          <w:b/>
          <w:color w:val="EE0000"/>
          <w:lang w:val="en-AU" w:eastAsia="zh-CN"/>
        </w:rPr>
        <w:t>Title:</w:t>
      </w:r>
      <w:r>
        <w:rPr>
          <w:rFonts w:eastAsia="SimSun"/>
          <w:color w:val="EE0000"/>
          <w:lang w:val="en-AU" w:eastAsia="zh-CN"/>
        </w:rPr>
        <w:t xml:space="preserve"> Full title of the paper.</w:t>
      </w:r>
    </w:p>
    <w:p w14:paraId="40676A11" w14:textId="77777777" w:rsidR="00AC24C6" w:rsidRPr="00D56430" w:rsidRDefault="00AC24C6" w:rsidP="00AC24C6">
      <w:pPr>
        <w:ind w:firstLine="720"/>
        <w:jc w:val="both"/>
        <w:rPr>
          <w:rFonts w:eastAsia="SimSun"/>
          <w:color w:val="EE0000"/>
          <w:lang w:val="en-AU" w:eastAsia="zh-CN"/>
        </w:rPr>
      </w:pPr>
      <w:r>
        <w:rPr>
          <w:rFonts w:eastAsia="SimSun"/>
          <w:color w:val="EE0000"/>
          <w:lang w:val="en-AU" w:eastAsia="zh-CN"/>
        </w:rPr>
        <w:tab/>
      </w:r>
      <w:r>
        <w:rPr>
          <w:rFonts w:eastAsia="SimSun"/>
          <w:b/>
          <w:color w:val="EE0000"/>
          <w:lang w:val="en-AU" w:eastAsia="zh-CN"/>
        </w:rPr>
        <w:t>Authors:</w:t>
      </w:r>
      <w:r>
        <w:rPr>
          <w:rFonts w:eastAsia="SimSun"/>
          <w:color w:val="EE0000"/>
          <w:lang w:val="en-AU" w:eastAsia="zh-CN"/>
        </w:rPr>
        <w:t xml:space="preserve"> All contributing author names to be included.</w:t>
      </w:r>
    </w:p>
    <w:p w14:paraId="5A5CF401" w14:textId="77777777" w:rsidR="00AC24C6" w:rsidRPr="00D56430" w:rsidRDefault="00AC24C6" w:rsidP="00AC24C6">
      <w:pPr>
        <w:ind w:firstLine="720"/>
        <w:jc w:val="both"/>
        <w:rPr>
          <w:rFonts w:eastAsia="SimSun"/>
          <w:color w:val="EE0000"/>
          <w:lang w:val="en-AU" w:eastAsia="zh-CN"/>
        </w:rPr>
      </w:pPr>
      <w:r>
        <w:rPr>
          <w:rFonts w:eastAsia="SimSun"/>
          <w:color w:val="EE0000"/>
          <w:lang w:val="en-AU" w:eastAsia="zh-CN"/>
        </w:rPr>
        <w:tab/>
      </w:r>
      <w:r>
        <w:rPr>
          <w:rFonts w:eastAsia="SimSun"/>
          <w:b/>
          <w:color w:val="EE0000"/>
          <w:lang w:val="en-AU" w:eastAsia="zh-CN"/>
        </w:rPr>
        <w:t>Subject:</w:t>
      </w:r>
      <w:r>
        <w:rPr>
          <w:rFonts w:eastAsia="SimSun"/>
          <w:color w:val="EE0000"/>
          <w:lang w:val="en-AU" w:eastAsia="zh-CN"/>
        </w:rPr>
        <w:t xml:space="preserve"> Full conference name and abbreviation.</w:t>
      </w:r>
    </w:p>
    <w:p w14:paraId="3B099E6F" w14:textId="77777777" w:rsidR="00AC24C6" w:rsidRPr="00D56430" w:rsidRDefault="00AC24C6" w:rsidP="00AC24C6">
      <w:pPr>
        <w:ind w:firstLine="720"/>
        <w:jc w:val="both"/>
        <w:rPr>
          <w:rFonts w:eastAsia="SimSun"/>
          <w:color w:val="EE0000"/>
          <w:lang w:val="en-AU" w:eastAsia="zh-CN"/>
        </w:rPr>
      </w:pPr>
      <w:r>
        <w:rPr>
          <w:rFonts w:eastAsia="SimSun"/>
          <w:color w:val="EE0000"/>
          <w:lang w:val="en-AU" w:eastAsia="zh-CN"/>
        </w:rPr>
        <w:tab/>
      </w:r>
      <w:r>
        <w:rPr>
          <w:rFonts w:eastAsia="SimSun"/>
          <w:b/>
          <w:color w:val="EE0000"/>
          <w:lang w:val="en-AU" w:eastAsia="zh-CN"/>
        </w:rPr>
        <w:t>Keywords:</w:t>
      </w:r>
      <w:r>
        <w:rPr>
          <w:rFonts w:eastAsia="SimSun"/>
          <w:color w:val="EE0000"/>
          <w:lang w:val="en-AU" w:eastAsia="zh-CN"/>
        </w:rPr>
        <w:t xml:space="preserve"> Keywords as set in the paper at Item 2, Keywords.</w:t>
      </w:r>
    </w:p>
    <w:p w14:paraId="7B0FDA84" w14:textId="77777777" w:rsidR="00AC24C6" w:rsidRPr="00D56430" w:rsidRDefault="00AC24C6" w:rsidP="00AC24C6">
      <w:pPr>
        <w:ind w:firstLine="720"/>
        <w:jc w:val="both"/>
        <w:rPr>
          <w:rFonts w:eastAsia="SimSun"/>
          <w:color w:val="EE0000"/>
          <w:lang w:val="en-AU" w:eastAsia="zh-CN"/>
        </w:rPr>
      </w:pPr>
    </w:p>
    <w:p w14:paraId="2A3F041F" w14:textId="77777777" w:rsidR="00AC24C6" w:rsidRPr="00D56430" w:rsidRDefault="00AA7257" w:rsidP="00AC24C6">
      <w:pPr>
        <w:keepNext/>
        <w:spacing w:before="240" w:after="60"/>
        <w:outlineLvl w:val="0"/>
        <w:rPr>
          <w:rFonts w:eastAsia="SimSun"/>
          <w:b/>
          <w:bCs/>
          <w:color w:val="EE0000"/>
          <w:kern w:val="32"/>
          <w:lang w:val="en-AU" w:eastAsia="zh-CN"/>
        </w:rPr>
      </w:pPr>
      <w:r>
        <w:rPr>
          <w:rFonts w:eastAsia="SimSun"/>
          <w:b/>
          <w:bCs/>
          <w:color w:val="EE0000"/>
          <w:kern w:val="32"/>
          <w:lang w:val="en-AU" w:eastAsia="zh-CN"/>
        </w:rPr>
        <w:t>III)</w:t>
      </w:r>
      <w:r>
        <w:rPr>
          <w:rFonts w:eastAsia="SimSun"/>
          <w:b/>
          <w:bCs/>
          <w:color w:val="EE0000"/>
          <w:kern w:val="32"/>
          <w:lang w:val="en-AU" w:eastAsia="zh-CN"/>
        </w:rPr>
        <w:tab/>
      </w:r>
      <w:r>
        <w:rPr>
          <w:rFonts w:eastAsia="SimSun"/>
          <w:b/>
          <w:bCs/>
          <w:color w:val="EE0000"/>
          <w:kern w:val="32"/>
          <w:u w:val="single"/>
          <w:lang w:val="en-AU" w:eastAsia="zh-CN"/>
        </w:rPr>
        <w:t>IET Digital Library and Inspec Indexing requirements</w:t>
      </w:r>
    </w:p>
    <w:p w14:paraId="4E8DF101" w14:textId="77777777" w:rsidR="00AC24C6" w:rsidRPr="00D56430" w:rsidRDefault="00AC24C6" w:rsidP="00AC24C6">
      <w:pPr>
        <w:keepNext/>
        <w:spacing w:before="240" w:after="60"/>
        <w:outlineLvl w:val="0"/>
        <w:rPr>
          <w:rFonts w:eastAsia="SimSun"/>
          <w:b/>
          <w:bCs/>
          <w:color w:val="EE0000"/>
          <w:kern w:val="32"/>
          <w:lang w:val="en-AU" w:eastAsia="zh-CN"/>
        </w:rPr>
      </w:pPr>
    </w:p>
    <w:p w14:paraId="366381BD" w14:textId="77777777" w:rsidR="00AC24C6" w:rsidRPr="00D56430" w:rsidRDefault="00AC24C6" w:rsidP="00AC24C6">
      <w:pPr>
        <w:jc w:val="both"/>
        <w:rPr>
          <w:rFonts w:eastAsia="SimSun"/>
          <w:color w:val="EE0000"/>
          <w:lang w:eastAsia="zh-CN"/>
        </w:rPr>
      </w:pPr>
      <w:r>
        <w:rPr>
          <w:rFonts w:eastAsia="SimSun"/>
          <w:color w:val="EE0000"/>
          <w:lang w:eastAsia="zh-CN"/>
        </w:rPr>
        <w:t>Papers that will be submitted for publication on the IET Digital Library, and subsequent indexing in Inspec, IEEE Xplore and EI Compendex, must be submitted in the following format:</w:t>
      </w:r>
    </w:p>
    <w:p w14:paraId="2275095A" w14:textId="77777777" w:rsidR="00AC24C6" w:rsidRPr="00D56430" w:rsidRDefault="00AC24C6" w:rsidP="00AC24C6">
      <w:pPr>
        <w:jc w:val="both"/>
        <w:rPr>
          <w:rFonts w:eastAsia="SimSun"/>
          <w:color w:val="EE0000"/>
          <w:lang w:eastAsia="zh-CN"/>
        </w:rPr>
      </w:pPr>
    </w:p>
    <w:p w14:paraId="7EF4856D" w14:textId="77777777" w:rsidR="00AC24C6" w:rsidRPr="00D56430" w:rsidRDefault="00AC24C6" w:rsidP="00A81717">
      <w:pPr>
        <w:jc w:val="both"/>
        <w:rPr>
          <w:color w:val="EE0000"/>
        </w:rPr>
        <w:sectPr w:rsidR="00AC24C6" w:rsidRPr="00D56430" w:rsidSect="00EC323B">
          <w:type w:val="continuous"/>
          <w:pgSz w:w="11906" w:h="16838"/>
          <w:pgMar w:top="1440" w:right="851" w:bottom="1440" w:left="851" w:header="709" w:footer="709" w:gutter="57"/>
          <w:cols w:space="227"/>
          <w:docGrid w:linePitch="360"/>
        </w:sectPr>
      </w:pPr>
      <w:r>
        <w:rPr>
          <w:rFonts w:eastAsia="SimSun"/>
          <w:b/>
          <w:color w:val="EE0000"/>
          <w:lang w:eastAsia="zh-CN"/>
        </w:rPr>
        <w:t>All PDFs must</w:t>
      </w:r>
      <w:r>
        <w:rPr>
          <w:rFonts w:eastAsia="SimSun"/>
          <w:color w:val="EE0000"/>
          <w:lang w:eastAsia="zh-CN"/>
        </w:rPr>
        <w:t xml:space="preserve"> be in the format as specified as stated in Paragraph 2 above (PDF format requirement).</w:t>
      </w:r>
    </w:p>
    <w:p w14:paraId="05AFAE99" w14:textId="77777777" w:rsidR="00AC24C6" w:rsidRDefault="00AC24C6" w:rsidP="00FA4891">
      <w:pPr>
        <w:rPr>
          <w:color w:val="EE0000"/>
        </w:rPr>
      </w:pPr>
    </w:p>
    <w:p w14:paraId="3FC9CAC5" w14:textId="77777777" w:rsidR="00FF68D2" w:rsidRPr="00D56430" w:rsidRDefault="00FF68D2" w:rsidP="00FA4891">
      <w:pPr>
        <w:rPr>
          <w:color w:val="EE0000"/>
        </w:rPr>
      </w:pPr>
      <w:r>
        <w:rPr>
          <w:noProof/>
        </w:rPr>
        <w:lastRenderedPageBreak/>
        <w:drawing>
          <wp:inline distT="0" distB="0" distL="0" distR="0" wp14:anchorId="786EA71E" wp14:editId="58FE8870">
            <wp:extent cx="3149600" cy="1706033"/>
            <wp:effectExtent l="0" t="0" r="0" b="0"/>
            <wp:docPr id="1235775202" name="Picture 123577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49600" cy="1706033"/>
                    </a:xfrm>
                    <a:prstGeom prst="rect">
                      <a:avLst/>
                    </a:prstGeom>
                  </pic:spPr>
                </pic:pic>
              </a:graphicData>
            </a:graphic>
          </wp:inline>
        </w:drawing>
      </w:r>
      <w:r>
        <w:rPr>
          <w:noProof/>
        </w:rPr>
        <w:drawing>
          <wp:inline distT="0" distB="0" distL="0" distR="0" wp14:anchorId="7D00818B" wp14:editId="02944DF1">
            <wp:extent cx="3149600" cy="2793198"/>
            <wp:effectExtent l="0" t="0" r="0" b="1270"/>
            <wp:docPr id="1892704317" name="Picture 18927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9600" cy="2793198"/>
                    </a:xfrm>
                    <a:prstGeom prst="rect">
                      <a:avLst/>
                    </a:prstGeom>
                  </pic:spPr>
                </pic:pic>
              </a:graphicData>
            </a:graphic>
          </wp:inline>
        </w:drawing>
      </w:r>
    </w:p>
    <w:sectPr w:rsidR="00FF68D2" w:rsidRPr="00D56430" w:rsidSect="00EC323B">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5E7295" w14:textId="77777777" w:rsidR="008514BD" w:rsidRDefault="008514BD" w:rsidP="006A1E95">
      <w:r>
        <w:separator/>
      </w:r>
    </w:p>
  </w:endnote>
  <w:endnote w:type="continuationSeparator" w:id="0">
    <w:p w14:paraId="7E6283F0" w14:textId="77777777" w:rsidR="008514BD" w:rsidRDefault="008514BD" w:rsidP="006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
    <w:altName w:val="Cambria"/>
    <w:panose1 w:val="020B0604020202020204"/>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5E6975" w14:textId="77777777" w:rsidR="006A1E95" w:rsidRDefault="006A1E95">
    <w:pPr>
      <w:pStyle w:val="Footer"/>
      <w:jc w:val="center"/>
    </w:pPr>
    <w:r>
      <w:fldChar w:fldCharType="begin"/>
    </w:r>
    <w:r>
      <w:instrText xml:space="preserve"> PAGE   \* MERGEFORMAT </w:instrText>
    </w:r>
    <w:r>
      <w:fldChar w:fldCharType="separate"/>
    </w:r>
    <w:r w:rsidR="002D5694">
      <w:rPr>
        <w:noProof/>
      </w:rPr>
      <w:t>1</w:t>
    </w:r>
    <w:r>
      <w:rPr>
        <w:noProof/>
      </w:rPr>
      <w:fldChar w:fldCharType="end"/>
    </w:r>
  </w:p>
  <w:p w14:paraId="7E00876A" w14:textId="77777777" w:rsidR="006A1E95" w:rsidRDefault="006A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161EEA" w14:textId="77777777" w:rsidR="008514BD" w:rsidRDefault="008514BD" w:rsidP="006A1E95">
      <w:r>
        <w:separator/>
      </w:r>
    </w:p>
  </w:footnote>
  <w:footnote w:type="continuationSeparator" w:id="0">
    <w:p w14:paraId="2F6D3FA7" w14:textId="77777777" w:rsidR="008514BD" w:rsidRDefault="008514BD" w:rsidP="006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84ADB" w14:textId="77777777" w:rsidR="00691F4B" w:rsidRPr="00691F4B" w:rsidRDefault="006F3D97" w:rsidP="00691F4B">
    <w:pPr>
      <w:pStyle w:val="Header"/>
      <w:jc w:val="center"/>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25</w:t>
    </w:r>
    <w:r w:rsidR="00EC323B" w:rsidRPr="00EC323B">
      <w:rPr>
        <w:rFonts w:asciiTheme="minorHAnsi" w:hAnsiTheme="minorHAnsi" w:cstheme="minorHAnsi"/>
        <w:color w:val="808080" w:themeColor="background1" w:themeShade="80"/>
        <w:sz w:val="18"/>
        <w:szCs w:val="18"/>
        <w:vertAlign w:val="superscript"/>
      </w:rPr>
      <w:t>th</w:t>
    </w:r>
    <w:r w:rsidR="00EC323B">
      <w:rPr>
        <w:rFonts w:asciiTheme="minorHAnsi" w:hAnsiTheme="minorHAnsi" w:cstheme="minorHAnsi"/>
        <w:color w:val="808080" w:themeColor="background1" w:themeShade="80"/>
        <w:sz w:val="18"/>
        <w:szCs w:val="18"/>
      </w:rPr>
      <w:t xml:space="preserve"> </w:t>
    </w:r>
    <w:r w:rsidRPr="006F3D97">
      <w:rPr>
        <w:rFonts w:asciiTheme="minorHAnsi" w:hAnsiTheme="minorHAnsi" w:cstheme="minorHAnsi"/>
        <w:color w:val="808080" w:themeColor="background1" w:themeShade="80"/>
        <w:sz w:val="18"/>
        <w:szCs w:val="18"/>
      </w:rPr>
      <w:t>Wind &amp; Solar</w:t>
    </w:r>
    <w:r w:rsidR="00605658">
      <w:rPr>
        <w:rFonts w:asciiTheme="minorHAnsi" w:hAnsiTheme="minorHAnsi" w:cstheme="minorHAnsi"/>
        <w:color w:val="808080" w:themeColor="background1" w:themeShade="80"/>
        <w:sz w:val="18"/>
        <w:szCs w:val="18"/>
      </w:rPr>
      <w:t xml:space="preserve"> Integration </w:t>
    </w:r>
    <w:r>
      <w:rPr>
        <w:rFonts w:asciiTheme="minorHAnsi" w:hAnsiTheme="minorHAnsi" w:cstheme="minorHAnsi"/>
        <w:color w:val="808080" w:themeColor="background1" w:themeShade="80"/>
        <w:sz w:val="18"/>
        <w:szCs w:val="18"/>
      </w:rPr>
      <w:t>Workshop</w:t>
    </w:r>
    <w:r w:rsidR="00605658">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Porto, Portugal</w:t>
    </w:r>
    <w:r w:rsidR="00EE5B01">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2</w:t>
    </w:r>
    <w:r>
      <w:rPr>
        <w:rFonts w:asciiTheme="minorHAnsi" w:hAnsiTheme="minorHAnsi" w:cstheme="minorHAnsi"/>
        <w:color w:val="808080" w:themeColor="background1" w:themeShade="80"/>
        <w:sz w:val="18"/>
        <w:szCs w:val="18"/>
      </w:rPr>
      <w:t>9 September</w:t>
    </w:r>
    <w:r w:rsidR="00691F4B" w:rsidRPr="00691F4B">
      <w:rPr>
        <w:rFonts w:asciiTheme="minorHAnsi" w:hAnsiTheme="minorHAnsi" w:cstheme="minorHAnsi"/>
        <w:color w:val="808080" w:themeColor="background1" w:themeShade="80"/>
        <w:sz w:val="18"/>
        <w:szCs w:val="18"/>
      </w:rPr>
      <w:t xml:space="preserve"> – </w:t>
    </w:r>
    <w:r>
      <w:rPr>
        <w:rFonts w:asciiTheme="minorHAnsi" w:hAnsiTheme="minorHAnsi" w:cstheme="minorHAnsi"/>
        <w:color w:val="808080" w:themeColor="background1" w:themeShade="80"/>
        <w:sz w:val="18"/>
        <w:szCs w:val="18"/>
      </w:rPr>
      <w:t>02 October</w:t>
    </w:r>
    <w:r w:rsidR="00C05D71">
      <w:rPr>
        <w:rFonts w:asciiTheme="minorHAnsi" w:hAnsiTheme="minorHAnsi" w:cstheme="minorHAnsi"/>
        <w:color w:val="808080" w:themeColor="background1" w:themeShade="80"/>
        <w:sz w:val="18"/>
        <w:szCs w:val="18"/>
      </w:rPr>
      <w:t xml:space="preserve"> 2026</w:t>
    </w:r>
  </w:p>
  <w:p w14:paraId="0F1C94BF" w14:textId="77777777" w:rsidR="00691F4B" w:rsidRPr="00691F4B" w:rsidRDefault="00691F4B" w:rsidP="00691F4B">
    <w:pPr>
      <w:pStyle w:val="Header"/>
      <w:jc w:val="center"/>
      <w:rPr>
        <w:rFonts w:asciiTheme="minorHAnsi" w:hAnsiTheme="minorHAnsi" w:cstheme="minorHAnsi"/>
        <w:color w:val="808080" w:themeColor="background1" w:themeShade="80"/>
        <w:sz w:val="18"/>
        <w:szCs w:val="18"/>
      </w:rPr>
    </w:pPr>
  </w:p>
  <w:p w14:paraId="56831E0E" w14:textId="77777777" w:rsidR="00F777AA" w:rsidRDefault="00F777AA" w:rsidP="00F777AA">
    <w:pPr>
      <w:pStyle w:val="Header"/>
      <w:jc w:val="center"/>
      <w:rPr>
        <w:rFonts w:asciiTheme="minorHAnsi" w:hAnsiTheme="minorHAnsi" w:cstheme="minorHAnsi"/>
        <w:color w:val="808080" w:themeColor="background1" w:themeShade="80"/>
        <w:sz w:val="18"/>
        <w:szCs w:val="18"/>
      </w:rPr>
    </w:pPr>
  </w:p>
  <w:p w14:paraId="7F24E18A" w14:textId="77777777" w:rsidR="00F777AA" w:rsidRPr="0057094B" w:rsidRDefault="00F777AA" w:rsidP="00F777AA">
    <w:pPr>
      <w:pStyle w:val="Header"/>
      <w:rPr>
        <w:rFonts w:asciiTheme="minorHAnsi" w:hAnsiTheme="minorHAnsi" w:cstheme="minorHAnsi"/>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2446D8"/>
    <w:multiLevelType w:val="hybridMultilevel"/>
    <w:tmpl w:val="2640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108075">
    <w:abstractNumId w:val="6"/>
  </w:num>
  <w:num w:numId="2" w16cid:durableId="114637811">
    <w:abstractNumId w:val="1"/>
  </w:num>
  <w:num w:numId="3" w16cid:durableId="281378471">
    <w:abstractNumId w:val="2"/>
  </w:num>
  <w:num w:numId="4" w16cid:durableId="1046030691">
    <w:abstractNumId w:val="5"/>
  </w:num>
  <w:num w:numId="5" w16cid:durableId="519200472">
    <w:abstractNumId w:val="3"/>
  </w:num>
  <w:num w:numId="6" w16cid:durableId="265042880">
    <w:abstractNumId w:val="7"/>
  </w:num>
  <w:num w:numId="7" w16cid:durableId="2050959423">
    <w:abstractNumId w:val="0"/>
  </w:num>
  <w:num w:numId="8" w16cid:durableId="146153175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3B"/>
    <w:rsid w:val="0000243F"/>
    <w:rsid w:val="00006D30"/>
    <w:rsid w:val="00013E80"/>
    <w:rsid w:val="00030EAB"/>
    <w:rsid w:val="00031E53"/>
    <w:rsid w:val="00032384"/>
    <w:rsid w:val="0003302D"/>
    <w:rsid w:val="00035D26"/>
    <w:rsid w:val="00036983"/>
    <w:rsid w:val="00037E41"/>
    <w:rsid w:val="000420F7"/>
    <w:rsid w:val="00043514"/>
    <w:rsid w:val="0005678B"/>
    <w:rsid w:val="00056CA6"/>
    <w:rsid w:val="000577D1"/>
    <w:rsid w:val="00062E5C"/>
    <w:rsid w:val="000655EF"/>
    <w:rsid w:val="0007122E"/>
    <w:rsid w:val="00085EA3"/>
    <w:rsid w:val="0008791D"/>
    <w:rsid w:val="000923A7"/>
    <w:rsid w:val="000A311B"/>
    <w:rsid w:val="000A4BCB"/>
    <w:rsid w:val="000A5F0E"/>
    <w:rsid w:val="000A621A"/>
    <w:rsid w:val="000A769F"/>
    <w:rsid w:val="000B1451"/>
    <w:rsid w:val="000B2A9C"/>
    <w:rsid w:val="000B73D6"/>
    <w:rsid w:val="000C135F"/>
    <w:rsid w:val="000C4143"/>
    <w:rsid w:val="000C4958"/>
    <w:rsid w:val="000E3837"/>
    <w:rsid w:val="000E3FF8"/>
    <w:rsid w:val="000F4669"/>
    <w:rsid w:val="000F47A3"/>
    <w:rsid w:val="000F7EFC"/>
    <w:rsid w:val="0010040D"/>
    <w:rsid w:val="001021FE"/>
    <w:rsid w:val="00103A0B"/>
    <w:rsid w:val="00111578"/>
    <w:rsid w:val="001151A6"/>
    <w:rsid w:val="00115FE6"/>
    <w:rsid w:val="001164EA"/>
    <w:rsid w:val="00121098"/>
    <w:rsid w:val="00122539"/>
    <w:rsid w:val="00124887"/>
    <w:rsid w:val="00127076"/>
    <w:rsid w:val="00133C92"/>
    <w:rsid w:val="00134AEE"/>
    <w:rsid w:val="0013726C"/>
    <w:rsid w:val="00143051"/>
    <w:rsid w:val="00143534"/>
    <w:rsid w:val="00143894"/>
    <w:rsid w:val="00144414"/>
    <w:rsid w:val="00147C8D"/>
    <w:rsid w:val="0015161F"/>
    <w:rsid w:val="00152494"/>
    <w:rsid w:val="00157B0C"/>
    <w:rsid w:val="00161E65"/>
    <w:rsid w:val="00162787"/>
    <w:rsid w:val="0016593C"/>
    <w:rsid w:val="00167AF9"/>
    <w:rsid w:val="00170FE0"/>
    <w:rsid w:val="001743E0"/>
    <w:rsid w:val="00180608"/>
    <w:rsid w:val="00180ABE"/>
    <w:rsid w:val="001816AD"/>
    <w:rsid w:val="00182912"/>
    <w:rsid w:val="00184E8E"/>
    <w:rsid w:val="001927A1"/>
    <w:rsid w:val="001A4944"/>
    <w:rsid w:val="001A6381"/>
    <w:rsid w:val="001A7C3F"/>
    <w:rsid w:val="001A7CD3"/>
    <w:rsid w:val="001B4673"/>
    <w:rsid w:val="001B7BB8"/>
    <w:rsid w:val="001C22B6"/>
    <w:rsid w:val="001D0072"/>
    <w:rsid w:val="001D1373"/>
    <w:rsid w:val="001D3FA7"/>
    <w:rsid w:val="001D5676"/>
    <w:rsid w:val="001D6672"/>
    <w:rsid w:val="001E50A5"/>
    <w:rsid w:val="001F059A"/>
    <w:rsid w:val="001F0BA7"/>
    <w:rsid w:val="001F1692"/>
    <w:rsid w:val="001F18B2"/>
    <w:rsid w:val="001F4C15"/>
    <w:rsid w:val="00201F55"/>
    <w:rsid w:val="00204F18"/>
    <w:rsid w:val="00210A74"/>
    <w:rsid w:val="00210DD0"/>
    <w:rsid w:val="002165C3"/>
    <w:rsid w:val="00216635"/>
    <w:rsid w:val="00220009"/>
    <w:rsid w:val="00227C21"/>
    <w:rsid w:val="00231A56"/>
    <w:rsid w:val="002344C3"/>
    <w:rsid w:val="002432BE"/>
    <w:rsid w:val="00245E4E"/>
    <w:rsid w:val="0024613C"/>
    <w:rsid w:val="0025258E"/>
    <w:rsid w:val="002556B6"/>
    <w:rsid w:val="00265166"/>
    <w:rsid w:val="00271FF3"/>
    <w:rsid w:val="00275377"/>
    <w:rsid w:val="002759E9"/>
    <w:rsid w:val="00276F98"/>
    <w:rsid w:val="002839C0"/>
    <w:rsid w:val="00287C4E"/>
    <w:rsid w:val="00297134"/>
    <w:rsid w:val="002A3097"/>
    <w:rsid w:val="002A5021"/>
    <w:rsid w:val="002B75E0"/>
    <w:rsid w:val="002C5206"/>
    <w:rsid w:val="002C6A45"/>
    <w:rsid w:val="002C7119"/>
    <w:rsid w:val="002D01AA"/>
    <w:rsid w:val="002D254B"/>
    <w:rsid w:val="002D48BC"/>
    <w:rsid w:val="002D5548"/>
    <w:rsid w:val="002D5694"/>
    <w:rsid w:val="002E6C8B"/>
    <w:rsid w:val="002E7D44"/>
    <w:rsid w:val="00305BF2"/>
    <w:rsid w:val="00310035"/>
    <w:rsid w:val="00315A61"/>
    <w:rsid w:val="003301EA"/>
    <w:rsid w:val="00332BED"/>
    <w:rsid w:val="00334DB1"/>
    <w:rsid w:val="003364E5"/>
    <w:rsid w:val="00347C84"/>
    <w:rsid w:val="00362087"/>
    <w:rsid w:val="00362C61"/>
    <w:rsid w:val="00370AA8"/>
    <w:rsid w:val="00370CC9"/>
    <w:rsid w:val="00371E0A"/>
    <w:rsid w:val="00375D3E"/>
    <w:rsid w:val="003763D0"/>
    <w:rsid w:val="003801EE"/>
    <w:rsid w:val="00384A00"/>
    <w:rsid w:val="00390CC7"/>
    <w:rsid w:val="00392C61"/>
    <w:rsid w:val="003A01EC"/>
    <w:rsid w:val="003A52FD"/>
    <w:rsid w:val="003A5798"/>
    <w:rsid w:val="003A5A01"/>
    <w:rsid w:val="003A72FB"/>
    <w:rsid w:val="003A7FAB"/>
    <w:rsid w:val="003B0284"/>
    <w:rsid w:val="003B57C4"/>
    <w:rsid w:val="003C06F7"/>
    <w:rsid w:val="003C379C"/>
    <w:rsid w:val="003C566F"/>
    <w:rsid w:val="003C594E"/>
    <w:rsid w:val="003D21D6"/>
    <w:rsid w:val="003D2E72"/>
    <w:rsid w:val="003F191D"/>
    <w:rsid w:val="003F1CBF"/>
    <w:rsid w:val="003F60A4"/>
    <w:rsid w:val="00400C45"/>
    <w:rsid w:val="004071AF"/>
    <w:rsid w:val="00421F87"/>
    <w:rsid w:val="00425FDA"/>
    <w:rsid w:val="00427FF5"/>
    <w:rsid w:val="00433D12"/>
    <w:rsid w:val="00434D86"/>
    <w:rsid w:val="00434F41"/>
    <w:rsid w:val="00435393"/>
    <w:rsid w:val="004358B2"/>
    <w:rsid w:val="004434B2"/>
    <w:rsid w:val="00447ABF"/>
    <w:rsid w:val="00450CEC"/>
    <w:rsid w:val="00451269"/>
    <w:rsid w:val="004604BA"/>
    <w:rsid w:val="0046100C"/>
    <w:rsid w:val="0046405B"/>
    <w:rsid w:val="00465D64"/>
    <w:rsid w:val="0046625A"/>
    <w:rsid w:val="0046786D"/>
    <w:rsid w:val="004679DD"/>
    <w:rsid w:val="004736F8"/>
    <w:rsid w:val="00475688"/>
    <w:rsid w:val="0048299D"/>
    <w:rsid w:val="004850B4"/>
    <w:rsid w:val="0048734B"/>
    <w:rsid w:val="00487971"/>
    <w:rsid w:val="004A2B0B"/>
    <w:rsid w:val="004A4DCE"/>
    <w:rsid w:val="004A6E26"/>
    <w:rsid w:val="004C2C76"/>
    <w:rsid w:val="004C7ED3"/>
    <w:rsid w:val="004D22FF"/>
    <w:rsid w:val="004D41AA"/>
    <w:rsid w:val="004E3C58"/>
    <w:rsid w:val="004F01A5"/>
    <w:rsid w:val="004F16CE"/>
    <w:rsid w:val="004F7ADA"/>
    <w:rsid w:val="00501A6A"/>
    <w:rsid w:val="0050252B"/>
    <w:rsid w:val="0050260B"/>
    <w:rsid w:val="00506477"/>
    <w:rsid w:val="00507364"/>
    <w:rsid w:val="005100C2"/>
    <w:rsid w:val="005100F8"/>
    <w:rsid w:val="00515033"/>
    <w:rsid w:val="00516824"/>
    <w:rsid w:val="005169E8"/>
    <w:rsid w:val="005175D9"/>
    <w:rsid w:val="0052304B"/>
    <w:rsid w:val="005251B2"/>
    <w:rsid w:val="00526588"/>
    <w:rsid w:val="00526DB7"/>
    <w:rsid w:val="00530BBD"/>
    <w:rsid w:val="00556AB4"/>
    <w:rsid w:val="0056521F"/>
    <w:rsid w:val="0057243D"/>
    <w:rsid w:val="0057568A"/>
    <w:rsid w:val="0057672A"/>
    <w:rsid w:val="00580A29"/>
    <w:rsid w:val="0059157A"/>
    <w:rsid w:val="005927A5"/>
    <w:rsid w:val="00592EFC"/>
    <w:rsid w:val="00593131"/>
    <w:rsid w:val="00594616"/>
    <w:rsid w:val="005949A6"/>
    <w:rsid w:val="005950AA"/>
    <w:rsid w:val="00595586"/>
    <w:rsid w:val="005A03F3"/>
    <w:rsid w:val="005A12B7"/>
    <w:rsid w:val="005A4685"/>
    <w:rsid w:val="005B47A5"/>
    <w:rsid w:val="005C0600"/>
    <w:rsid w:val="005C2B1A"/>
    <w:rsid w:val="005C5692"/>
    <w:rsid w:val="005C6244"/>
    <w:rsid w:val="005D6AA9"/>
    <w:rsid w:val="005F46E6"/>
    <w:rsid w:val="005F502E"/>
    <w:rsid w:val="005F6AAD"/>
    <w:rsid w:val="00605658"/>
    <w:rsid w:val="006138C2"/>
    <w:rsid w:val="00623044"/>
    <w:rsid w:val="00623DCC"/>
    <w:rsid w:val="00625317"/>
    <w:rsid w:val="00637551"/>
    <w:rsid w:val="006376F4"/>
    <w:rsid w:val="00651A19"/>
    <w:rsid w:val="00663A90"/>
    <w:rsid w:val="006702C5"/>
    <w:rsid w:val="00673234"/>
    <w:rsid w:val="006752AC"/>
    <w:rsid w:val="006901A7"/>
    <w:rsid w:val="00690A4D"/>
    <w:rsid w:val="00691EB6"/>
    <w:rsid w:val="00691F4B"/>
    <w:rsid w:val="006A0CB7"/>
    <w:rsid w:val="006A1E95"/>
    <w:rsid w:val="006A568B"/>
    <w:rsid w:val="006B4355"/>
    <w:rsid w:val="006B50B6"/>
    <w:rsid w:val="006B67D5"/>
    <w:rsid w:val="006B6CD2"/>
    <w:rsid w:val="006C286C"/>
    <w:rsid w:val="006C7795"/>
    <w:rsid w:val="006D11E8"/>
    <w:rsid w:val="006D3FDC"/>
    <w:rsid w:val="006D6598"/>
    <w:rsid w:val="006E42CE"/>
    <w:rsid w:val="006F3C94"/>
    <w:rsid w:val="006F3D97"/>
    <w:rsid w:val="006F3F27"/>
    <w:rsid w:val="007068B4"/>
    <w:rsid w:val="0071365E"/>
    <w:rsid w:val="00727734"/>
    <w:rsid w:val="0072778E"/>
    <w:rsid w:val="00730495"/>
    <w:rsid w:val="0073179E"/>
    <w:rsid w:val="007355E9"/>
    <w:rsid w:val="007449A1"/>
    <w:rsid w:val="007450AF"/>
    <w:rsid w:val="00751FB3"/>
    <w:rsid w:val="00752937"/>
    <w:rsid w:val="00754770"/>
    <w:rsid w:val="00757BED"/>
    <w:rsid w:val="00757CF4"/>
    <w:rsid w:val="0076260B"/>
    <w:rsid w:val="00766744"/>
    <w:rsid w:val="007670A7"/>
    <w:rsid w:val="0076740D"/>
    <w:rsid w:val="00767BC8"/>
    <w:rsid w:val="007704F5"/>
    <w:rsid w:val="00774434"/>
    <w:rsid w:val="00775901"/>
    <w:rsid w:val="00777CE2"/>
    <w:rsid w:val="00783731"/>
    <w:rsid w:val="007868D3"/>
    <w:rsid w:val="007957F1"/>
    <w:rsid w:val="007A5B34"/>
    <w:rsid w:val="007A5B93"/>
    <w:rsid w:val="007A76CE"/>
    <w:rsid w:val="007B2EBE"/>
    <w:rsid w:val="007C11BB"/>
    <w:rsid w:val="007E0EEA"/>
    <w:rsid w:val="007F193C"/>
    <w:rsid w:val="00806FD8"/>
    <w:rsid w:val="00814067"/>
    <w:rsid w:val="00817BAD"/>
    <w:rsid w:val="00820049"/>
    <w:rsid w:val="008269E2"/>
    <w:rsid w:val="00826D0D"/>
    <w:rsid w:val="008320A7"/>
    <w:rsid w:val="00841B72"/>
    <w:rsid w:val="00846584"/>
    <w:rsid w:val="00846BDA"/>
    <w:rsid w:val="008514BD"/>
    <w:rsid w:val="008541C8"/>
    <w:rsid w:val="00854697"/>
    <w:rsid w:val="00861D0A"/>
    <w:rsid w:val="00862A0A"/>
    <w:rsid w:val="008653D3"/>
    <w:rsid w:val="008670AC"/>
    <w:rsid w:val="00871D11"/>
    <w:rsid w:val="00872333"/>
    <w:rsid w:val="008756EA"/>
    <w:rsid w:val="00884FB5"/>
    <w:rsid w:val="00885034"/>
    <w:rsid w:val="0088637C"/>
    <w:rsid w:val="0089126A"/>
    <w:rsid w:val="00896905"/>
    <w:rsid w:val="008A7F46"/>
    <w:rsid w:val="008B009A"/>
    <w:rsid w:val="008C01AB"/>
    <w:rsid w:val="008C0D69"/>
    <w:rsid w:val="008C5C42"/>
    <w:rsid w:val="008E17F9"/>
    <w:rsid w:val="008E492E"/>
    <w:rsid w:val="008F0938"/>
    <w:rsid w:val="008F1CBA"/>
    <w:rsid w:val="008F2171"/>
    <w:rsid w:val="008F280C"/>
    <w:rsid w:val="00920579"/>
    <w:rsid w:val="00927CF2"/>
    <w:rsid w:val="00931E67"/>
    <w:rsid w:val="009327A5"/>
    <w:rsid w:val="00943FC3"/>
    <w:rsid w:val="009443A8"/>
    <w:rsid w:val="00950C96"/>
    <w:rsid w:val="009523B6"/>
    <w:rsid w:val="009559E1"/>
    <w:rsid w:val="00962734"/>
    <w:rsid w:val="00965148"/>
    <w:rsid w:val="009670D2"/>
    <w:rsid w:val="00972F34"/>
    <w:rsid w:val="00975B8D"/>
    <w:rsid w:val="00984FB7"/>
    <w:rsid w:val="00987A29"/>
    <w:rsid w:val="009944E1"/>
    <w:rsid w:val="00996DE3"/>
    <w:rsid w:val="009A00E6"/>
    <w:rsid w:val="009C03B8"/>
    <w:rsid w:val="009C0E61"/>
    <w:rsid w:val="009C1489"/>
    <w:rsid w:val="009C3CCD"/>
    <w:rsid w:val="009D046F"/>
    <w:rsid w:val="009D0BE5"/>
    <w:rsid w:val="009F0334"/>
    <w:rsid w:val="009F0693"/>
    <w:rsid w:val="009F1541"/>
    <w:rsid w:val="009F2F93"/>
    <w:rsid w:val="009F32DC"/>
    <w:rsid w:val="009F4BD4"/>
    <w:rsid w:val="00A05CE0"/>
    <w:rsid w:val="00A20C56"/>
    <w:rsid w:val="00A24566"/>
    <w:rsid w:val="00A25844"/>
    <w:rsid w:val="00A2767B"/>
    <w:rsid w:val="00A3650A"/>
    <w:rsid w:val="00A3676F"/>
    <w:rsid w:val="00A44040"/>
    <w:rsid w:val="00A44066"/>
    <w:rsid w:val="00A4489A"/>
    <w:rsid w:val="00A46112"/>
    <w:rsid w:val="00A5281D"/>
    <w:rsid w:val="00A54075"/>
    <w:rsid w:val="00A56C42"/>
    <w:rsid w:val="00A57A5B"/>
    <w:rsid w:val="00A57A8C"/>
    <w:rsid w:val="00A57D6C"/>
    <w:rsid w:val="00A61599"/>
    <w:rsid w:val="00A63E8E"/>
    <w:rsid w:val="00A75464"/>
    <w:rsid w:val="00A80A09"/>
    <w:rsid w:val="00A81717"/>
    <w:rsid w:val="00A84AEA"/>
    <w:rsid w:val="00A87945"/>
    <w:rsid w:val="00A95717"/>
    <w:rsid w:val="00A97374"/>
    <w:rsid w:val="00AA10AD"/>
    <w:rsid w:val="00AA1865"/>
    <w:rsid w:val="00AA1DB9"/>
    <w:rsid w:val="00AA7257"/>
    <w:rsid w:val="00AB0995"/>
    <w:rsid w:val="00AB5CCC"/>
    <w:rsid w:val="00AC24C6"/>
    <w:rsid w:val="00AC3205"/>
    <w:rsid w:val="00AC7BF9"/>
    <w:rsid w:val="00AD4466"/>
    <w:rsid w:val="00AE4382"/>
    <w:rsid w:val="00AE72DC"/>
    <w:rsid w:val="00AF2B2C"/>
    <w:rsid w:val="00AF53A9"/>
    <w:rsid w:val="00AF5540"/>
    <w:rsid w:val="00B058BF"/>
    <w:rsid w:val="00B14F61"/>
    <w:rsid w:val="00B24E2D"/>
    <w:rsid w:val="00B265CE"/>
    <w:rsid w:val="00B27ADE"/>
    <w:rsid w:val="00B27C9E"/>
    <w:rsid w:val="00B33023"/>
    <w:rsid w:val="00B37993"/>
    <w:rsid w:val="00B41F91"/>
    <w:rsid w:val="00B42899"/>
    <w:rsid w:val="00B50597"/>
    <w:rsid w:val="00B62AA9"/>
    <w:rsid w:val="00B7417D"/>
    <w:rsid w:val="00B74227"/>
    <w:rsid w:val="00B75E5B"/>
    <w:rsid w:val="00B80025"/>
    <w:rsid w:val="00B81FE8"/>
    <w:rsid w:val="00B85391"/>
    <w:rsid w:val="00B87509"/>
    <w:rsid w:val="00B90604"/>
    <w:rsid w:val="00B91C50"/>
    <w:rsid w:val="00BA5688"/>
    <w:rsid w:val="00BB15E3"/>
    <w:rsid w:val="00BC0A7E"/>
    <w:rsid w:val="00BC6CD4"/>
    <w:rsid w:val="00BD3541"/>
    <w:rsid w:val="00BD7BC3"/>
    <w:rsid w:val="00BE12B0"/>
    <w:rsid w:val="00BE4120"/>
    <w:rsid w:val="00BE681B"/>
    <w:rsid w:val="00BE697D"/>
    <w:rsid w:val="00BF08B7"/>
    <w:rsid w:val="00BF1499"/>
    <w:rsid w:val="00BF50E3"/>
    <w:rsid w:val="00BF6F2C"/>
    <w:rsid w:val="00C02A50"/>
    <w:rsid w:val="00C05D71"/>
    <w:rsid w:val="00C06F77"/>
    <w:rsid w:val="00C114A2"/>
    <w:rsid w:val="00C16805"/>
    <w:rsid w:val="00C20CD1"/>
    <w:rsid w:val="00C2312D"/>
    <w:rsid w:val="00C34EC9"/>
    <w:rsid w:val="00C56496"/>
    <w:rsid w:val="00C56882"/>
    <w:rsid w:val="00C701B1"/>
    <w:rsid w:val="00C71337"/>
    <w:rsid w:val="00C77AF4"/>
    <w:rsid w:val="00C87454"/>
    <w:rsid w:val="00C9084A"/>
    <w:rsid w:val="00CA031A"/>
    <w:rsid w:val="00CA06F0"/>
    <w:rsid w:val="00CA55D5"/>
    <w:rsid w:val="00CB256D"/>
    <w:rsid w:val="00CB584D"/>
    <w:rsid w:val="00CB5F03"/>
    <w:rsid w:val="00CC43E8"/>
    <w:rsid w:val="00CD076C"/>
    <w:rsid w:val="00CD4966"/>
    <w:rsid w:val="00CD60CA"/>
    <w:rsid w:val="00CE101B"/>
    <w:rsid w:val="00CE1358"/>
    <w:rsid w:val="00CE39E9"/>
    <w:rsid w:val="00CE7915"/>
    <w:rsid w:val="00CF1DED"/>
    <w:rsid w:val="00CF2801"/>
    <w:rsid w:val="00CF39EE"/>
    <w:rsid w:val="00CF794B"/>
    <w:rsid w:val="00D01838"/>
    <w:rsid w:val="00D019CA"/>
    <w:rsid w:val="00D02F3D"/>
    <w:rsid w:val="00D06C97"/>
    <w:rsid w:val="00D128B1"/>
    <w:rsid w:val="00D14F37"/>
    <w:rsid w:val="00D162D3"/>
    <w:rsid w:val="00D16939"/>
    <w:rsid w:val="00D20B8F"/>
    <w:rsid w:val="00D2100F"/>
    <w:rsid w:val="00D224A5"/>
    <w:rsid w:val="00D24C16"/>
    <w:rsid w:val="00D267D8"/>
    <w:rsid w:val="00D30A31"/>
    <w:rsid w:val="00D366EC"/>
    <w:rsid w:val="00D36D08"/>
    <w:rsid w:val="00D37F49"/>
    <w:rsid w:val="00D4214C"/>
    <w:rsid w:val="00D45082"/>
    <w:rsid w:val="00D512CC"/>
    <w:rsid w:val="00D51B87"/>
    <w:rsid w:val="00D5222B"/>
    <w:rsid w:val="00D56430"/>
    <w:rsid w:val="00D56A11"/>
    <w:rsid w:val="00D604C7"/>
    <w:rsid w:val="00D61BD7"/>
    <w:rsid w:val="00D72452"/>
    <w:rsid w:val="00D73B7E"/>
    <w:rsid w:val="00D80578"/>
    <w:rsid w:val="00D81FB6"/>
    <w:rsid w:val="00D85325"/>
    <w:rsid w:val="00DA2804"/>
    <w:rsid w:val="00DA372F"/>
    <w:rsid w:val="00DA4C86"/>
    <w:rsid w:val="00DA771B"/>
    <w:rsid w:val="00DB08F6"/>
    <w:rsid w:val="00DB446E"/>
    <w:rsid w:val="00DB6E4D"/>
    <w:rsid w:val="00DB7279"/>
    <w:rsid w:val="00DC1E86"/>
    <w:rsid w:val="00DD1793"/>
    <w:rsid w:val="00DD25F4"/>
    <w:rsid w:val="00DD4BF7"/>
    <w:rsid w:val="00DE0836"/>
    <w:rsid w:val="00DE2526"/>
    <w:rsid w:val="00DE25D8"/>
    <w:rsid w:val="00DF1004"/>
    <w:rsid w:val="00DF27BF"/>
    <w:rsid w:val="00DF605E"/>
    <w:rsid w:val="00DF65D1"/>
    <w:rsid w:val="00E042B1"/>
    <w:rsid w:val="00E05F2D"/>
    <w:rsid w:val="00E20A01"/>
    <w:rsid w:val="00E36323"/>
    <w:rsid w:val="00E433C8"/>
    <w:rsid w:val="00E47F21"/>
    <w:rsid w:val="00E50A98"/>
    <w:rsid w:val="00E513B4"/>
    <w:rsid w:val="00E5413F"/>
    <w:rsid w:val="00E64802"/>
    <w:rsid w:val="00E723D9"/>
    <w:rsid w:val="00E72981"/>
    <w:rsid w:val="00E74586"/>
    <w:rsid w:val="00E764E3"/>
    <w:rsid w:val="00E83159"/>
    <w:rsid w:val="00E86067"/>
    <w:rsid w:val="00E86D10"/>
    <w:rsid w:val="00E90C7B"/>
    <w:rsid w:val="00E924B8"/>
    <w:rsid w:val="00E927D8"/>
    <w:rsid w:val="00EA2923"/>
    <w:rsid w:val="00EA76F7"/>
    <w:rsid w:val="00EC323B"/>
    <w:rsid w:val="00ED1709"/>
    <w:rsid w:val="00ED75F1"/>
    <w:rsid w:val="00EE34E4"/>
    <w:rsid w:val="00EE3B41"/>
    <w:rsid w:val="00EE5B01"/>
    <w:rsid w:val="00EF1409"/>
    <w:rsid w:val="00F0025E"/>
    <w:rsid w:val="00F02A16"/>
    <w:rsid w:val="00F042CD"/>
    <w:rsid w:val="00F15403"/>
    <w:rsid w:val="00F1567D"/>
    <w:rsid w:val="00F15C30"/>
    <w:rsid w:val="00F22D29"/>
    <w:rsid w:val="00F22FA8"/>
    <w:rsid w:val="00F256C4"/>
    <w:rsid w:val="00F26E1B"/>
    <w:rsid w:val="00F3621A"/>
    <w:rsid w:val="00F4143C"/>
    <w:rsid w:val="00F453E2"/>
    <w:rsid w:val="00F468C5"/>
    <w:rsid w:val="00F47E9B"/>
    <w:rsid w:val="00F50040"/>
    <w:rsid w:val="00F51CF8"/>
    <w:rsid w:val="00F529C0"/>
    <w:rsid w:val="00F5311C"/>
    <w:rsid w:val="00F610F6"/>
    <w:rsid w:val="00F61B51"/>
    <w:rsid w:val="00F61BEB"/>
    <w:rsid w:val="00F63AB9"/>
    <w:rsid w:val="00F66D09"/>
    <w:rsid w:val="00F71A2D"/>
    <w:rsid w:val="00F7426E"/>
    <w:rsid w:val="00F777AA"/>
    <w:rsid w:val="00F81927"/>
    <w:rsid w:val="00F92CB0"/>
    <w:rsid w:val="00F96C5B"/>
    <w:rsid w:val="00F97D56"/>
    <w:rsid w:val="00FA4891"/>
    <w:rsid w:val="00FB0662"/>
    <w:rsid w:val="00FB197E"/>
    <w:rsid w:val="00FB602B"/>
    <w:rsid w:val="00FC4415"/>
    <w:rsid w:val="00FC7B2E"/>
    <w:rsid w:val="00FC7E69"/>
    <w:rsid w:val="00FD2C96"/>
    <w:rsid w:val="00FD41F5"/>
    <w:rsid w:val="00FD5BDE"/>
    <w:rsid w:val="00FD663D"/>
    <w:rsid w:val="00FE4C72"/>
    <w:rsid w:val="00FE7EE6"/>
    <w:rsid w:val="00FF04E4"/>
    <w:rsid w:val="00FF15E9"/>
    <w:rsid w:val="00FF23E8"/>
    <w:rsid w:val="00FF3837"/>
    <w:rsid w:val="00FF3985"/>
    <w:rsid w:val="00FF39E7"/>
    <w:rsid w:val="00FF4B8A"/>
    <w:rsid w:val="00FF68D2"/>
    <w:rsid w:val="00FF697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2156AD"/>
  <w15:docId w15:val="{A59F3526-B9EE-47E7-8FC5-68EC8092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AF"/>
    <w:rPr>
      <w:rFonts w:ascii="Times New Roman" w:eastAsia="Times New Roman" w:hAnsi="Times New Roman"/>
      <w:sz w:val="24"/>
      <w:szCs w:val="24"/>
      <w:lang w:val="en-US" w:eastAsia="zh-TW"/>
    </w:rPr>
  </w:style>
  <w:style w:type="paragraph" w:styleId="Heading2">
    <w:name w:val="heading 2"/>
    <w:basedOn w:val="Normal"/>
    <w:next w:val="Normal"/>
    <w:link w:val="Heading2Char"/>
    <w:uiPriority w:val="9"/>
    <w:semiHidden/>
    <w:unhideWhenUsed/>
    <w:qFormat/>
    <w:rsid w:val="00B91C50"/>
    <w:pPr>
      <w:keepNext/>
      <w:keepLines/>
      <w:spacing w:before="200" w:line="276" w:lineRule="auto"/>
      <w:outlineLvl w:val="1"/>
    </w:pPr>
    <w:rPr>
      <w:rFonts w:ascii="Cambria" w:hAnsi="Cambria"/>
      <w:b/>
      <w:bCs/>
      <w:color w:val="4F81BD"/>
      <w:sz w:val="26"/>
      <w:szCs w:val="26"/>
      <w:lang w:val="en-GB" w:eastAsia="en-US"/>
    </w:rPr>
  </w:style>
  <w:style w:type="paragraph" w:styleId="Heading3">
    <w:name w:val="heading 3"/>
    <w:basedOn w:val="Normal"/>
    <w:next w:val="Normal"/>
    <w:link w:val="Heading3Char"/>
    <w:uiPriority w:val="9"/>
    <w:semiHidden/>
    <w:unhideWhenUsed/>
    <w:qFormat/>
    <w:rsid w:val="00C2312D"/>
    <w:pPr>
      <w:keepNext/>
      <w:spacing w:before="240" w:after="60" w:line="276" w:lineRule="auto"/>
      <w:outlineLvl w:val="2"/>
    </w:pPr>
    <w:rPr>
      <w:rFonts w:ascii="Cambria" w:hAnsi="Cambria"/>
      <w:b/>
      <w:bCs/>
      <w:sz w:val="26"/>
      <w:szCs w:val="26"/>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39E7"/>
    <w:rPr>
      <w:color w:val="0000FF"/>
      <w:u w:val="single"/>
    </w:rPr>
  </w:style>
  <w:style w:type="paragraph" w:customStyle="1" w:styleId="PaperTitle">
    <w:name w:val="PaperTitle"/>
    <w:basedOn w:val="Normal"/>
    <w:link w:val="PaperTitleChar"/>
    <w:qFormat/>
    <w:rsid w:val="00FF39E7"/>
    <w:pPr>
      <w:spacing w:after="360"/>
      <w:jc w:val="center"/>
    </w:pPr>
    <w:rPr>
      <w:rFonts w:eastAsia="Calibri"/>
      <w:b/>
      <w:caps/>
      <w:sz w:val="36"/>
      <w:szCs w:val="36"/>
      <w:lang w:val="en-GB" w:eastAsia="en-US"/>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Normal"/>
    <w:link w:val="PaperParagraphsChar"/>
    <w:qFormat/>
    <w:rsid w:val="00FF39E7"/>
    <w:pPr>
      <w:spacing w:after="200"/>
      <w:jc w:val="both"/>
    </w:pPr>
    <w:rPr>
      <w:rFonts w:eastAsia="Calibri"/>
      <w:sz w:val="20"/>
      <w:szCs w:val="20"/>
      <w:lang w:val="en-GB" w:eastAsia="en-US"/>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NoSpacing">
    <w:name w:val="No Spacing"/>
    <w:uiPriority w:val="1"/>
    <w:qFormat/>
    <w:rsid w:val="00FF39E7"/>
    <w:rPr>
      <w:sz w:val="22"/>
      <w:szCs w:val="22"/>
      <w:lang w:eastAsia="en-US"/>
    </w:rPr>
  </w:style>
  <w:style w:type="paragraph" w:styleId="Header">
    <w:name w:val="header"/>
    <w:basedOn w:val="Normal"/>
    <w:link w:val="HeaderChar"/>
    <w:unhideWhenUsed/>
    <w:rsid w:val="006A1E95"/>
    <w:pPr>
      <w:tabs>
        <w:tab w:val="center" w:pos="4513"/>
        <w:tab w:val="right" w:pos="9026"/>
      </w:tabs>
    </w:pPr>
    <w:rPr>
      <w:rFonts w:ascii="Calibri" w:eastAsia="Calibri" w:hAnsi="Calibri"/>
      <w:sz w:val="22"/>
      <w:szCs w:val="22"/>
      <w:lang w:val="en-GB" w:eastAsia="en-US"/>
    </w:rPr>
  </w:style>
  <w:style w:type="character" w:customStyle="1" w:styleId="HeaderChar">
    <w:name w:val="Header Char"/>
    <w:basedOn w:val="DefaultParagraphFont"/>
    <w:link w:val="Header"/>
    <w:rsid w:val="006A1E95"/>
  </w:style>
  <w:style w:type="paragraph" w:styleId="Footer">
    <w:name w:val="footer"/>
    <w:basedOn w:val="Normal"/>
    <w:link w:val="FooterChar"/>
    <w:uiPriority w:val="99"/>
    <w:unhideWhenUsed/>
    <w:rsid w:val="006A1E95"/>
    <w:pPr>
      <w:tabs>
        <w:tab w:val="center" w:pos="4513"/>
        <w:tab w:val="right" w:pos="9026"/>
      </w:tabs>
    </w:pPr>
    <w:rPr>
      <w:rFonts w:ascii="Calibri" w:eastAsia="Calibri" w:hAnsi="Calibri"/>
      <w:sz w:val="22"/>
      <w:szCs w:val="22"/>
      <w:lang w:val="en-GB" w:eastAsia="en-US"/>
    </w:rPr>
  </w:style>
  <w:style w:type="character" w:customStyle="1" w:styleId="FooterChar">
    <w:name w:val="Footer Char"/>
    <w:basedOn w:val="DefaultParagraphFont"/>
    <w:link w:val="Footer"/>
    <w:uiPriority w:val="99"/>
    <w:rsid w:val="006A1E95"/>
  </w:style>
  <w:style w:type="paragraph" w:styleId="BalloonText">
    <w:name w:val="Balloon Text"/>
    <w:basedOn w:val="Normal"/>
    <w:link w:val="BalloonTextChar"/>
    <w:uiPriority w:val="99"/>
    <w:semiHidden/>
    <w:unhideWhenUsed/>
    <w:rsid w:val="006A1E95"/>
    <w:rPr>
      <w:rFonts w:ascii="Tahoma" w:eastAsia="Calibri" w:hAnsi="Tahoma" w:cs="Tahoma"/>
      <w:sz w:val="16"/>
      <w:szCs w:val="16"/>
      <w:lang w:val="en-GB" w:eastAsia="en-US"/>
    </w:rPr>
  </w:style>
  <w:style w:type="character" w:customStyle="1" w:styleId="BalloonTextChar">
    <w:name w:val="Balloon Text Char"/>
    <w:link w:val="BalloonText"/>
    <w:uiPriority w:val="99"/>
    <w:semiHidden/>
    <w:rsid w:val="006A1E95"/>
    <w:rPr>
      <w:rFonts w:ascii="Tahoma" w:hAnsi="Tahoma" w:cs="Tahoma"/>
      <w:sz w:val="16"/>
      <w:szCs w:val="16"/>
    </w:rPr>
  </w:style>
  <w:style w:type="paragraph" w:customStyle="1" w:styleId="IETHeading1">
    <w:name w:val="IET Heading 1"/>
    <w:basedOn w:val="Heading2"/>
    <w:qFormat/>
    <w:rsid w:val="00B91C50"/>
    <w:pPr>
      <w:keepLines w:val="0"/>
      <w:numPr>
        <w:numId w:val="2"/>
      </w:numPr>
      <w:tabs>
        <w:tab w:val="num" w:pos="360"/>
      </w:tabs>
      <w:spacing w:before="240" w:after="60" w:line="240" w:lineRule="auto"/>
      <w:ind w:left="0" w:firstLine="0"/>
    </w:pPr>
    <w:rPr>
      <w:rFonts w:ascii="Times New Roman" w:eastAsia="SimSun" w:hAnsi="Times New Roman"/>
      <w:iCs/>
      <w:color w:val="auto"/>
      <w:sz w:val="24"/>
      <w:szCs w:val="28"/>
      <w:lang w:val="en-AU" w:eastAsia="zh-CN"/>
    </w:rPr>
  </w:style>
  <w:style w:type="paragraph" w:customStyle="1" w:styleId="IETParagraph">
    <w:name w:val="IET Paragraph"/>
    <w:basedOn w:val="Normal"/>
    <w:qFormat/>
    <w:rsid w:val="00B91C50"/>
    <w:pPr>
      <w:jc w:val="both"/>
    </w:pPr>
    <w:rPr>
      <w:rFonts w:eastAsia="SimSun"/>
      <w:lang w:val="en-AU" w:eastAsia="zh-CN"/>
    </w:rPr>
  </w:style>
  <w:style w:type="paragraph" w:customStyle="1" w:styleId="IETHeading2">
    <w:name w:val="IET Heading 2"/>
    <w:basedOn w:val="Normal"/>
    <w:qFormat/>
    <w:rsid w:val="00B91C50"/>
    <w:pPr>
      <w:numPr>
        <w:ilvl w:val="1"/>
        <w:numId w:val="2"/>
      </w:numPr>
      <w:spacing w:before="240" w:after="60"/>
      <w:ind w:left="0" w:firstLine="0"/>
    </w:pPr>
    <w:rPr>
      <w:rFonts w:eastAsia="SimSun"/>
      <w:i/>
      <w:sz w:val="22"/>
      <w:lang w:val="en-AU" w:eastAsia="zh-CN"/>
    </w:rPr>
  </w:style>
  <w:style w:type="character" w:styleId="Strong">
    <w:name w:val="Strong"/>
    <w:uiPriority w:val="22"/>
    <w:qFormat/>
    <w:rsid w:val="00B91C50"/>
    <w:rPr>
      <w:b/>
      <w:bCs/>
    </w:rPr>
  </w:style>
  <w:style w:type="character" w:customStyle="1" w:styleId="apple-converted-space">
    <w:name w:val="apple-converted-space"/>
    <w:rsid w:val="00B91C50"/>
  </w:style>
  <w:style w:type="character" w:customStyle="1" w:styleId="Heading2Char">
    <w:name w:val="Heading 2 Char"/>
    <w:link w:val="Heading2"/>
    <w:uiPriority w:val="9"/>
    <w:semiHidden/>
    <w:rsid w:val="00B91C50"/>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C2312D"/>
    <w:rPr>
      <w:rFonts w:ascii="Cambria" w:eastAsia="Times New Roman" w:hAnsi="Cambria" w:cs="Times New Roman"/>
      <w:b/>
      <w:bCs/>
      <w:sz w:val="26"/>
      <w:szCs w:val="26"/>
      <w:lang w:eastAsia="en-US"/>
    </w:rPr>
  </w:style>
  <w:style w:type="character" w:styleId="CommentReference">
    <w:name w:val="annotation reference"/>
    <w:uiPriority w:val="99"/>
    <w:semiHidden/>
    <w:unhideWhenUsed/>
    <w:rsid w:val="009F32DC"/>
    <w:rPr>
      <w:sz w:val="16"/>
      <w:szCs w:val="16"/>
    </w:rPr>
  </w:style>
  <w:style w:type="paragraph" w:styleId="CommentText">
    <w:name w:val="annotation text"/>
    <w:basedOn w:val="Normal"/>
    <w:link w:val="CommentTextChar"/>
    <w:uiPriority w:val="99"/>
    <w:semiHidden/>
    <w:unhideWhenUsed/>
    <w:rsid w:val="009F32DC"/>
    <w:pPr>
      <w:spacing w:after="200" w:line="276" w:lineRule="auto"/>
    </w:pPr>
    <w:rPr>
      <w:rFonts w:ascii="Calibri" w:eastAsia="Calibri" w:hAnsi="Calibri"/>
      <w:sz w:val="20"/>
      <w:szCs w:val="20"/>
      <w:lang w:val="en-GB" w:eastAsia="en-US"/>
    </w:rPr>
  </w:style>
  <w:style w:type="character" w:customStyle="1" w:styleId="CommentTextChar">
    <w:name w:val="Comment Text Char"/>
    <w:link w:val="CommentText"/>
    <w:uiPriority w:val="99"/>
    <w:semiHidden/>
    <w:rsid w:val="009F32DC"/>
    <w:rPr>
      <w:lang w:eastAsia="en-US"/>
    </w:rPr>
  </w:style>
  <w:style w:type="paragraph" w:styleId="CommentSubject">
    <w:name w:val="annotation subject"/>
    <w:basedOn w:val="CommentText"/>
    <w:next w:val="CommentText"/>
    <w:link w:val="CommentSubjectChar"/>
    <w:uiPriority w:val="99"/>
    <w:semiHidden/>
    <w:unhideWhenUsed/>
    <w:rsid w:val="009F32DC"/>
    <w:rPr>
      <w:b/>
      <w:bCs/>
    </w:rPr>
  </w:style>
  <w:style w:type="character" w:customStyle="1" w:styleId="CommentSubjectChar">
    <w:name w:val="Comment Subject Char"/>
    <w:link w:val="CommentSubject"/>
    <w:uiPriority w:val="99"/>
    <w:semiHidden/>
    <w:rsid w:val="009F32DC"/>
    <w:rPr>
      <w:b/>
      <w:bCs/>
      <w:lang w:eastAsia="en-US"/>
    </w:rPr>
  </w:style>
  <w:style w:type="paragraph" w:styleId="Revision">
    <w:name w:val="Revision"/>
    <w:hidden/>
    <w:uiPriority w:val="99"/>
    <w:semiHidden/>
    <w:rsid w:val="007C11BB"/>
    <w:rPr>
      <w:sz w:val="22"/>
      <w:szCs w:val="22"/>
      <w:lang w:eastAsia="en-US"/>
    </w:rPr>
  </w:style>
  <w:style w:type="character" w:customStyle="1" w:styleId="font-semibold">
    <w:name w:val="font-semibold"/>
    <w:basedOn w:val="DefaultParagraphFont"/>
    <w:rsid w:val="00E20A01"/>
  </w:style>
  <w:style w:type="character" w:styleId="PlaceholderText">
    <w:name w:val="Placeholder Text"/>
    <w:basedOn w:val="DefaultParagraphFont"/>
    <w:uiPriority w:val="99"/>
    <w:semiHidden/>
    <w:rsid w:val="006E42CE"/>
    <w:rPr>
      <w:color w:val="666666"/>
    </w:rPr>
  </w:style>
  <w:style w:type="table" w:styleId="TableGrid">
    <w:name w:val="Table Grid"/>
    <w:basedOn w:val="TableNormal"/>
    <w:uiPriority w:val="59"/>
    <w:rsid w:val="00875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756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896905"/>
    <w:pPr>
      <w:spacing w:before="100" w:beforeAutospacing="1" w:after="100" w:afterAutospacing="1"/>
    </w:pPr>
  </w:style>
  <w:style w:type="paragraph" w:styleId="Bibliography">
    <w:name w:val="Bibliography"/>
    <w:basedOn w:val="Normal"/>
    <w:next w:val="Normal"/>
    <w:uiPriority w:val="37"/>
    <w:unhideWhenUsed/>
    <w:rsid w:val="007450AF"/>
    <w:pPr>
      <w:tabs>
        <w:tab w:val="left" w:pos="500"/>
      </w:tabs>
      <w:ind w:left="504" w:hanging="504"/>
    </w:pPr>
  </w:style>
  <w:style w:type="paragraph" w:styleId="ListParagraph">
    <w:name w:val="List Paragraph"/>
    <w:basedOn w:val="Normal"/>
    <w:uiPriority w:val="34"/>
    <w:qFormat/>
    <w:rsid w:val="00575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digital-library.theiet.org/files/plagiarism_copyright_infrigement_policy.pdf"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E47E0-63E9-1141-83B9-89D2CC94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12</Pages>
  <Words>11042</Words>
  <Characters>62943</Characters>
  <Application>Microsoft Office Word</Application>
  <DocSecurity>0</DocSecurity>
  <Lines>524</Lines>
  <Paragraphs>147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vt:lpstr>
      <vt:lpstr>Paper Title</vt:lpstr>
    </vt:vector>
  </TitlesOfParts>
  <Company>Institution of Engineering and Technology</Company>
  <LinksUpToDate>false</LinksUpToDate>
  <CharactersWithSpaces>73838</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Uta Betancourt</dc:creator>
  <cp:lastModifiedBy>Anna Yuen</cp:lastModifiedBy>
  <cp:revision>184</cp:revision>
  <cp:lastPrinted>2017-11-16T16:05:00Z</cp:lastPrinted>
  <dcterms:created xsi:type="dcterms:W3CDTF">2026-08-07T19:19:00Z</dcterms:created>
  <dcterms:modified xsi:type="dcterms:W3CDTF">2026-08-10T22:47:00Z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id="7Hoe85iW"/&gt;&lt;style id="http://www.zotero.org/styles/ieee" locale="en-US" hasBibliography="1" bibliographyStyleHasBeenSet="1"/&gt;&lt;prefs&gt;&lt;pref name="fieldType" value="Field"/&gt;&lt;/prefs&gt;&lt;/data&gt;</vt:lpwstr>
  </property>
</Properties>
</file>