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6DBEE4" w14:textId="43CB53CD" w:rsidR="00847F5A" w:rsidRDefault="00000000">
      <w:pPr>
        <w:pStyle w:val="Title"/>
        <w:spacing w:after="300" w:line="360" w:lineRule="auto"/>
        <w:jc w:val="center"/>
      </w:pPr>
      <w:r>
        <w:rPr>
          <w:sz w:val="24"/>
          <w:szCs w:val="24"/>
        </w:rPr>
        <w:t xml:space="preserve">Facility-level techno-economic potential of </w:t>
      </w:r>
      <w:r w:rsidR="006F1D39">
        <w:rPr>
          <w:sz w:val="24"/>
          <w:szCs w:val="24"/>
        </w:rPr>
        <w:t xml:space="preserve">off-grid </w:t>
      </w:r>
      <w:r>
        <w:rPr>
          <w:sz w:val="24"/>
          <w:szCs w:val="24"/>
        </w:rPr>
        <w:t xml:space="preserve">solar-powered industrial heat batteries in European manufacturing </w:t>
      </w:r>
      <w:r>
        <w:rPr>
          <w:i/>
          <w:iCs/>
          <w:color w:val="C00000"/>
          <w:sz w:val="24"/>
          <w:szCs w:val="24"/>
        </w:rPr>
        <w:t>[finalize title – keep under 150 characters, avoid punctuation/abbreviations per Nature Energy guide]</w:t>
      </w:r>
    </w:p>
    <w:p w14:paraId="624121E5" w14:textId="77777777" w:rsidR="00847F5A" w:rsidRDefault="00000000">
      <w:pPr>
        <w:spacing w:after="100"/>
        <w:jc w:val="center"/>
      </w:pPr>
      <w:r>
        <w:rPr>
          <w:i/>
          <w:iCs/>
          <w:color w:val="C00000"/>
        </w:rPr>
        <w:t>Author One</w:t>
      </w:r>
      <w:proofErr w:type="gramStart"/>
      <w:r>
        <w:rPr>
          <w:i/>
          <w:iCs/>
          <w:color w:val="C00000"/>
        </w:rPr>
        <w:t>¹,*</w:t>
      </w:r>
      <w:proofErr w:type="gramEnd"/>
      <w:r>
        <w:rPr>
          <w:i/>
          <w:iCs/>
          <w:color w:val="C00000"/>
        </w:rPr>
        <w:t xml:space="preserve">, Author Two¹, Author Three² — [TODO: full author list, affiliations, ORCID </w:t>
      </w:r>
      <w:proofErr w:type="spellStart"/>
      <w:r>
        <w:rPr>
          <w:i/>
          <w:iCs/>
          <w:color w:val="C00000"/>
        </w:rPr>
        <w:t>iDs</w:t>
      </w:r>
      <w:proofErr w:type="spellEnd"/>
      <w:r>
        <w:rPr>
          <w:i/>
          <w:iCs/>
          <w:color w:val="C00000"/>
        </w:rPr>
        <w:t>]</w:t>
      </w:r>
    </w:p>
    <w:p w14:paraId="77BE2BB3" w14:textId="77777777" w:rsidR="00847F5A" w:rsidRDefault="00000000">
      <w:pPr>
        <w:spacing w:after="400"/>
        <w:jc w:val="center"/>
      </w:pPr>
      <w:r>
        <w:rPr>
          <w:i/>
          <w:iCs/>
        </w:rPr>
        <w:t>¹Affiliation one.  ²Affiliation two.  *Corresponding author: corresponding@author.edu</w:t>
      </w:r>
    </w:p>
    <w:p w14:paraId="559F663D" w14:textId="77777777" w:rsidR="00847F5A" w:rsidRDefault="00000000">
      <w:pPr>
        <w:spacing w:after="120"/>
      </w:pPr>
      <w:r>
        <w:rPr>
          <w:b/>
          <w:bCs/>
        </w:rPr>
        <w:t>Abstract</w:t>
      </w:r>
    </w:p>
    <w:p w14:paraId="5F2227DF" w14:textId="7D5C1644" w:rsidR="00847F5A" w:rsidRDefault="00000000">
      <w:pPr>
        <w:spacing w:after="200" w:line="480" w:lineRule="auto"/>
        <w:jc w:val="both"/>
      </w:pPr>
      <w:r>
        <w:t xml:space="preserve">We assess co-located solar photovoltaics with temperature-specific electrification—heat pumps buffered by lithium-ion storage below 200 °C and industrial heat batteries above—for fossil process heat across European manufacturing, applying 2030 technology costs to a 2024 heat inventory. From Climate TRACE data for 2,415 sites, we estimate replaceable heat, validate against </w:t>
      </w:r>
      <w:proofErr w:type="spellStart"/>
      <w:r>
        <w:t>IndustryHeat</w:t>
      </w:r>
      <w:proofErr w:type="spellEnd"/>
      <w:r>
        <w:t xml:space="preserve">-EU, and size systems </w:t>
      </w:r>
      <w:r w:rsidR="001547BE">
        <w:t xml:space="preserve">with </w:t>
      </w:r>
      <w:r w:rsidR="006A1243">
        <w:t xml:space="preserve">linear </w:t>
      </w:r>
      <w:r w:rsidR="00E533BA">
        <w:t>programming</w:t>
      </w:r>
      <w:r>
        <w:t xml:space="preserve"> </w:t>
      </w:r>
      <w:r w:rsidR="006A1243">
        <w:t xml:space="preserve">optimization </w:t>
      </w:r>
      <w:r>
        <w:t xml:space="preserve">under site solar resource and land limits. Of 2,192 runnable sites, 1,925 (40% of fleet heat) meet 90% availability within 5 km at a heat-weighted LCOH of $72/MWh (median $58/MWh); a 15 km land buffer raises feasible heat to 75%. About 71% of 5 km ≥90% heat is below a country gas-boiler benchmark (28% of </w:t>
      </w:r>
      <w:r w:rsidR="0084008F">
        <w:t xml:space="preserve">industrial </w:t>
      </w:r>
      <w:r>
        <w:t>heat). Land, not cost, remains the binding constraint for hard-to-abate heat.</w:t>
      </w:r>
    </w:p>
    <w:p w14:paraId="3C607D90" w14:textId="77777777" w:rsidR="00847F5A" w:rsidRDefault="00000000">
      <w:pPr>
        <w:spacing w:after="300"/>
      </w:pPr>
      <w:r>
        <w:rPr>
          <w:i/>
          <w:iCs/>
          <w:color w:val="C00000"/>
        </w:rPr>
        <w:t>First-pass draft abstract – refine wording and confirm word count is ≤150 (Nature Energy Article limit).</w:t>
      </w:r>
    </w:p>
    <w:p w14:paraId="5CBDD833" w14:textId="77777777" w:rsidR="00847F5A" w:rsidRDefault="00000000">
      <w:r>
        <w:br w:type="page"/>
      </w:r>
    </w:p>
    <w:p w14:paraId="7A1C0307" w14:textId="77777777" w:rsidR="00847F5A" w:rsidRDefault="00000000">
      <w:pPr>
        <w:pStyle w:val="Heading1"/>
      </w:pPr>
      <w:r>
        <w:lastRenderedPageBreak/>
        <w:t>Motivation</w:t>
      </w:r>
    </w:p>
    <w:p w14:paraId="3DA6A905" w14:textId="49908BF9" w:rsidR="007C2127" w:rsidRDefault="00000000">
      <w:pPr>
        <w:spacing w:after="200" w:line="480" w:lineRule="auto"/>
        <w:jc w:val="both"/>
      </w:pPr>
      <w:r>
        <w:t xml:space="preserve">Industrial process heat </w:t>
      </w:r>
      <w:r w:rsidR="007B2CF3">
        <w:t xml:space="preserve">accounts for three quarters of industrial </w:t>
      </w:r>
      <w:r>
        <w:t>greenhouse-gas emissions in the European Union</w:t>
      </w:r>
      <w:r w:rsidR="007B2CF3">
        <w:t xml:space="preserve"> (EU)</w:t>
      </w:r>
      <w:r w:rsidR="00E4487A">
        <w:t xml:space="preserve"> and has been recognized as a requirement to achieve net zero emissions</w:t>
      </w:r>
      <w:r w:rsidR="00620BAC">
        <w:t xml:space="preserve"> </w:t>
      </w:r>
      <w:r w:rsidR="00C25CA7">
        <w:fldChar w:fldCharType="begin"/>
      </w:r>
      <w:r w:rsidR="00ED146A">
        <w:instrText xml:space="preserve"> ADDIN ZOTERO_ITEM CSL_CITATION {"citationID":"knLhQNpi","properties":{"formattedCitation":"(Matthias Rehfeldt et al. 2024)","plainCitation":"(Matthias Rehfeldt et al. 2024)","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C25CA7">
        <w:fldChar w:fldCharType="separate"/>
      </w:r>
      <w:r w:rsidR="00ED146A">
        <w:t>(Matthias Rehfeldt et al. 2024)</w:t>
      </w:r>
      <w:r w:rsidR="00C25CA7">
        <w:fldChar w:fldCharType="end"/>
      </w:r>
      <w:r w:rsidR="009E331A">
        <w:t>.</w:t>
      </w:r>
      <w:r w:rsidR="007C2127">
        <w:t xml:space="preserve"> </w:t>
      </w:r>
      <w:r w:rsidR="00255FB4">
        <w:t xml:space="preserve">Different technologies are already available </w:t>
      </w:r>
      <w:r w:rsidR="002F6DA9">
        <w:t>to electrify process heat</w:t>
      </w:r>
      <w:r w:rsidR="00827E56">
        <w:t xml:space="preserve"> in different temperature heat bands</w:t>
      </w:r>
      <w:r w:rsidR="007E796C">
        <w:t xml:space="preserve"> such as heat pumps, industrial heat batteries, electric boilers, electric arc furnaces</w:t>
      </w:r>
      <w:r w:rsidR="002F6DA9">
        <w:t xml:space="preserve">. </w:t>
      </w:r>
      <w:r w:rsidR="00274909">
        <w:t xml:space="preserve">Electrification paired with renewable generation is widely recognized as a pathway to </w:t>
      </w:r>
      <w:r w:rsidR="0049633A">
        <w:t>reduce carbon emissions and increase efficiency</w:t>
      </w:r>
      <w:r w:rsidR="00274909">
        <w:t xml:space="preserve">. </w:t>
      </w:r>
      <w:r w:rsidR="00244705">
        <w:t>Utilizing r</w:t>
      </w:r>
      <w:r w:rsidR="007F0B73">
        <w:t xml:space="preserve">enewable generation </w:t>
      </w:r>
      <w:r w:rsidR="00244705">
        <w:t xml:space="preserve">for electrification </w:t>
      </w:r>
      <w:r w:rsidR="007F0B73">
        <w:t>allows for EU to use its own resources and tackle its high exposed vulnerability in fuel import dependence</w:t>
      </w:r>
      <w:r w:rsidR="0083227B">
        <w:t xml:space="preserve"> </w:t>
      </w:r>
      <w:r w:rsidR="00C25CA7">
        <w:fldChar w:fldCharType="begin"/>
      </w:r>
      <w:r w:rsidR="00C25CA7">
        <w:instrText xml:space="preserve"> ADDIN ZOTERO_ITEM CSL_CITATION {"citationID":"W4q3YW8f","properties":{"formattedCitation":"(Rosenow and Oxenaar, n.d.)","plainCitation":"(Rosenow and Oxenaar, n.d.)","noteIndex":0},"citationItems":[{"id":326,"uris":["http://zotero.org/users/20280584/items/G3VNLW6N"],"itemData":{"id":326,"type":"article-journal","citation-key":"rosenowOpportunitiesHeatElectrification","language":"en","source":"Zotero","title":"Opportunities for heat electrification and energy efficiency in European industry","author":[{"family":"Rosenow","given":"Jan"},{"family":"Oxenaar","given":"Sem"}]}}],"schema":"https://github.com/citation-style-language/schema/raw/master/csl-citation.json"} </w:instrText>
      </w:r>
      <w:r w:rsidR="00C25CA7">
        <w:fldChar w:fldCharType="separate"/>
      </w:r>
      <w:r w:rsidR="00C25CA7">
        <w:rPr>
          <w:noProof/>
        </w:rPr>
        <w:t>(Rosenow and Oxenaar, n.d.)</w:t>
      </w:r>
      <w:r w:rsidR="00C25CA7">
        <w:fldChar w:fldCharType="end"/>
      </w:r>
      <w:r w:rsidR="007F0B73">
        <w:t xml:space="preserve">. </w:t>
      </w:r>
      <w:r w:rsidR="007C2127">
        <w:t>However, the progress to electrify process heat has been falling behind other sectors</w:t>
      </w:r>
      <w:r w:rsidR="00FC2108">
        <w:t xml:space="preserve"> </w:t>
      </w:r>
      <w:r w:rsidR="00C25CA7">
        <w:fldChar w:fldCharType="begin"/>
      </w:r>
      <w:r w:rsidR="00C25CA7">
        <w:instrText xml:space="preserve"> ADDIN ZOTERO_ITEM CSL_CITATION {"citationID":"5S1o2zV4","properties":{"formattedCitation":"(Rosenow et al. 2025)","plainCitation":"(Rosenow et al. 2025)","noteIndex":0},"citationItems":[{"id":342,"uris":["http://zotero.org/users/20280584/items/H4BSST7L"],"itemData":{"id":342,"type":"article-journal","abstract":"Industrial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C25CA7">
        <w:fldChar w:fldCharType="separate"/>
      </w:r>
      <w:r w:rsidR="00C25CA7">
        <w:rPr>
          <w:noProof/>
        </w:rPr>
        <w:t>(Rosenow et al. 2025)</w:t>
      </w:r>
      <w:r w:rsidR="00C25CA7">
        <w:fldChar w:fldCharType="end"/>
      </w:r>
      <w:r w:rsidR="00801094">
        <w:t>.</w:t>
      </w:r>
      <w:r w:rsidR="00FF7D88">
        <w:t xml:space="preserve"> </w:t>
      </w:r>
      <w:r w:rsidR="00673F82">
        <w:t>Critical</w:t>
      </w:r>
      <w:r w:rsidR="0081239C">
        <w:t xml:space="preserve"> barriers to electrifying industrial heat</w:t>
      </w:r>
      <w:r w:rsidR="00673F82">
        <w:t xml:space="preserve"> inclu</w:t>
      </w:r>
      <w:r w:rsidR="006802CB">
        <w:t>d</w:t>
      </w:r>
      <w:r w:rsidR="00673F82">
        <w:t xml:space="preserve">e </w:t>
      </w:r>
      <w:r w:rsidR="0081239C">
        <w:t xml:space="preserve">high electricity grid prices </w:t>
      </w:r>
      <w:r w:rsidR="006802CB">
        <w:t>relative to gas</w:t>
      </w:r>
      <w:r w:rsidR="005C2603">
        <w:fldChar w:fldCharType="begin"/>
      </w:r>
      <w:r w:rsidR="005C2603">
        <w:instrText xml:space="preserve"> ADDIN ZOTERO_ITEM CSL_CITATION {"citationID":"DCcffVzi","properties":{"formattedCitation":"(Rosenow et al. 2025)","plainCitation":"(Rosenow et al. 2025)","noteIndex":0},"citationItems":[{"id":342,"uris":["http://zotero.org/users/20280584/items/H4BSST7L"],"itemData":{"id":342,"type":"article-journal","abstract":"Industrial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5C2603">
        <w:fldChar w:fldCharType="separate"/>
      </w:r>
      <w:r w:rsidR="005C2603">
        <w:rPr>
          <w:noProof/>
        </w:rPr>
        <w:t>(Rosenow et al. 2025)</w:t>
      </w:r>
      <w:r w:rsidR="005C2603">
        <w:fldChar w:fldCharType="end"/>
      </w:r>
      <w:r w:rsidR="006802CB">
        <w:t xml:space="preserve"> </w:t>
      </w:r>
      <w:r w:rsidR="0081239C">
        <w:t xml:space="preserve">and long interconnection times to connect large loads to the grid. </w:t>
      </w:r>
    </w:p>
    <w:p w14:paraId="5873CAF0" w14:textId="70970AD1" w:rsidR="00496A8A" w:rsidRDefault="00496A8A">
      <w:pPr>
        <w:spacing w:after="200" w:line="480" w:lineRule="auto"/>
        <w:jc w:val="both"/>
      </w:pPr>
      <w:r>
        <w:t>High electricity to fossil fuel price ratio is one of the central economic barriers to industrial electrification</w:t>
      </w:r>
      <w:r w:rsidR="00B54CE8">
        <w:fldChar w:fldCharType="begin"/>
      </w:r>
      <w:r w:rsidR="00B54CE8">
        <w:instrText xml:space="preserve"> ADDIN ZOTERO_ITEM CSL_CITATION {"citationID":"Mb18swsi","properties":{"formattedCitation":"(Rosenow et al. 2025)","plainCitation":"(Rosenow et al. 2025)","noteIndex":0},"citationItems":[{"id":342,"uris":["http://zotero.org/users/20280584/items/H4BSST7L"],"itemData":{"id":342,"type":"article-journal","abstract":"Industrial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B54CE8">
        <w:fldChar w:fldCharType="separate"/>
      </w:r>
      <w:r w:rsidR="00B54CE8">
        <w:rPr>
          <w:noProof/>
        </w:rPr>
        <w:t>(Rosenow et al. 2025)</w:t>
      </w:r>
      <w:r w:rsidR="00B54CE8">
        <w:fldChar w:fldCharType="end"/>
      </w:r>
      <w:r>
        <w:t>.</w:t>
      </w:r>
      <w:r w:rsidR="00B54CE8">
        <w:t xml:space="preserve"> </w:t>
      </w:r>
      <w:r>
        <w:t xml:space="preserve"> </w:t>
      </w:r>
    </w:p>
    <w:p w14:paraId="7A68B02E" w14:textId="4B04E4CA" w:rsidR="005C3132" w:rsidRDefault="005C3132">
      <w:pPr>
        <w:spacing w:after="200" w:line="480" w:lineRule="auto"/>
        <w:jc w:val="both"/>
      </w:pPr>
      <w:r>
        <w:t>[</w:t>
      </w:r>
      <w:r w:rsidR="00DB4431">
        <w:t>E</w:t>
      </w:r>
      <w:r>
        <w:t>xplain briefly gas and electricity price differences]</w:t>
      </w:r>
    </w:p>
    <w:p w14:paraId="1FAD0FF7" w14:textId="10C1EB33" w:rsidR="00847F5A" w:rsidRDefault="00BE5A4F">
      <w:pPr>
        <w:spacing w:after="200" w:line="480" w:lineRule="auto"/>
        <w:jc w:val="both"/>
      </w:pPr>
      <w:r>
        <w:t>Large</w:t>
      </w:r>
      <w:r w:rsidR="007F1255">
        <w:t xml:space="preserve"> incremental electrical loads can trigger distribution upgrades, transformer replacements and interconnection studies whose costs and lead times are material for plant operators. Dedicated on-site (or near-site) solar generation with short-duration storage offers a way to deliver renewable electricity to heat conversion without relying on grid electricity tariffs or waiting for network reinforcement.</w:t>
      </w:r>
    </w:p>
    <w:p w14:paraId="67037BC7" w14:textId="4181ADA1" w:rsidR="00E83D34" w:rsidRDefault="00785D56">
      <w:pPr>
        <w:spacing w:after="200" w:line="480" w:lineRule="auto"/>
        <w:jc w:val="both"/>
      </w:pPr>
      <w:r>
        <w:t xml:space="preserve">What remains less quantified is the facility-level question: how many individual plants could cost-competitively replace fossil fueled heat with electrified alternatives under local renewable supply </w:t>
      </w:r>
      <w:r>
        <w:lastRenderedPageBreak/>
        <w:t xml:space="preserve">and land constraints. </w:t>
      </w:r>
      <w:r w:rsidR="00E83D34">
        <w:t>This study therefore evaluates, at Climate TRACE manufacturing facilities across the EU, whether co-located solar photovoltaics</w:t>
      </w:r>
      <w:r w:rsidR="00D53F50">
        <w:t xml:space="preserve"> (PV)</w:t>
      </w:r>
      <w:r w:rsidR="00E83D34">
        <w:t xml:space="preserve"> plus storage can supply a high fraction of replaceable fossil process heat at costs competitive with a country gas-boiler benchmark. We map temperature-resolved heat to heat pumps (below 200 °C) and industrial heat batteries (at and above 200 °C), size systems under explicit land screens, and report reliability and levelized cost of heat under 2030 technology costs.</w:t>
      </w:r>
    </w:p>
    <w:p w14:paraId="4D4A4A46" w14:textId="77777777" w:rsidR="00847F5A" w:rsidRDefault="00000000">
      <w:pPr>
        <w:spacing w:after="200"/>
      </w:pPr>
      <w:r>
        <w:rPr>
          <w:i/>
          <w:iCs/>
          <w:color w:val="C00000"/>
        </w:rPr>
        <w:t>[TODO: add short quantitative citations for the cost and emissions-reduction impact of sector- and region-scale heat electrification to anchor the facility-level gap.]</w:t>
      </w:r>
    </w:p>
    <w:p w14:paraId="408BB4F9" w14:textId="6B413021" w:rsidR="00920F59" w:rsidRDefault="00920F59" w:rsidP="00920F59">
      <w:pPr>
        <w:pStyle w:val="Heading2"/>
      </w:pPr>
      <w:r>
        <w:t>Heat Pumps and Industrial Heat Batteries</w:t>
      </w:r>
    </w:p>
    <w:p w14:paraId="38B55E7B" w14:textId="4F9ACB95" w:rsidR="002A6D40" w:rsidRPr="002A6D40" w:rsidRDefault="002A6D40" w:rsidP="002372F3">
      <w:pPr>
        <w:pStyle w:val="Heading3"/>
        <w:rPr>
          <w:b w:val="0"/>
          <w:bCs w:val="0"/>
          <w:i w:val="0"/>
          <w:iCs w:val="0"/>
        </w:rPr>
      </w:pPr>
      <w:r w:rsidRPr="002A6D40">
        <w:rPr>
          <w:b w:val="0"/>
          <w:bCs w:val="0"/>
          <w:i w:val="0"/>
          <w:iCs w:val="0"/>
        </w:rPr>
        <w:t>Heat pumps can generate process heat below 200°C</w:t>
      </w:r>
      <w:r w:rsidR="00C25CA7">
        <w:rPr>
          <w:b w:val="0"/>
          <w:bCs w:val="0"/>
          <w:i w:val="0"/>
          <w:iCs w:val="0"/>
        </w:rPr>
        <w:fldChar w:fldCharType="begin"/>
      </w:r>
      <w:r w:rsidR="00ED146A">
        <w:rPr>
          <w:b w:val="0"/>
          <w:bCs w:val="0"/>
          <w:i w:val="0"/>
          <w:iCs w:val="0"/>
        </w:rPr>
        <w:instrText xml:space="preserve"> ADDIN ZOTERO_ITEM CSL_CITATION {"citationID":"8Fa090W8","properties":{"formattedCitation":"(Matthias Rehfeldt et al. 2024)","plainCitation":"(Matthias Rehfeldt et al. 2024)","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C25CA7">
        <w:rPr>
          <w:b w:val="0"/>
          <w:bCs w:val="0"/>
          <w:i w:val="0"/>
          <w:iCs w:val="0"/>
        </w:rPr>
        <w:fldChar w:fldCharType="separate"/>
      </w:r>
      <w:r w:rsidR="00ED146A">
        <w:t>(Matthias Rehfeldt et al. 2024)</w:t>
      </w:r>
      <w:r w:rsidR="00C25CA7">
        <w:rPr>
          <w:b w:val="0"/>
          <w:bCs w:val="0"/>
          <w:i w:val="0"/>
          <w:iCs w:val="0"/>
        </w:rPr>
        <w:fldChar w:fldCharType="end"/>
      </w:r>
      <w:r w:rsidRPr="002A6D40">
        <w:rPr>
          <w:b w:val="0"/>
          <w:bCs w:val="0"/>
          <w:i w:val="0"/>
          <w:iCs w:val="0"/>
        </w:rPr>
        <w:t xml:space="preserve"> and industrial heat batteries (such as Rondo) have been shown to reliably provide heat up above 1000°C</w:t>
      </w:r>
      <w:r w:rsidR="00C25CA7">
        <w:rPr>
          <w:b w:val="0"/>
          <w:bCs w:val="0"/>
          <w:i w:val="0"/>
          <w:iCs w:val="0"/>
        </w:rPr>
        <w:fldChar w:fldCharType="begin"/>
      </w:r>
      <w:r w:rsidR="00C25CA7">
        <w:rPr>
          <w:b w:val="0"/>
          <w:bCs w:val="0"/>
          <w:i w:val="0"/>
          <w:iCs w:val="0"/>
        </w:rPr>
        <w:instrText xml:space="preserve"> ADDIN ZOTERO_ITEM CSL_CITATION {"citationID":"ExXTT5uq","properties":{"formattedCitation":"(Giacobone 2025)","plainCitation":"(Giacobone 2025)","noteIndex":0},"citationItems":[{"id":347,"uris":["http://zotero.org/users/20280584/items/P73LAGSH"],"itemData":{"id":347,"type":"post-weblog","abstract":"The thermal storage company says its 100 MWh industrial system — placed at a California oil facility — is the largest in the world.","citation-key":"giacoboneWhatRondosFirst2025","container-title":"Latitude Media","language":"en-US","title":"What Rondo’s first full-size unit means for heat batteries","URL":"https://www.latitudemedia.com/news/what-rondos-first-full-size-unit-means-for-heat-batteries/","author":[{"family":"Giacobone","given":"Bianca"}],"accessed":{"date-parts":[["2026",7,27]]},"issued":{"date-parts":[["2025",10,21]]}}}],"schema":"https://github.com/citation-style-language/schema/raw/master/csl-citation.json"} </w:instrText>
      </w:r>
      <w:r w:rsidR="00C25CA7">
        <w:rPr>
          <w:b w:val="0"/>
          <w:bCs w:val="0"/>
          <w:i w:val="0"/>
          <w:iCs w:val="0"/>
        </w:rPr>
        <w:fldChar w:fldCharType="separate"/>
      </w:r>
      <w:r w:rsidR="00C25CA7">
        <w:rPr>
          <w:b w:val="0"/>
          <w:bCs w:val="0"/>
          <w:i w:val="0"/>
          <w:iCs w:val="0"/>
          <w:noProof/>
        </w:rPr>
        <w:t>(Giacobone 2025)</w:t>
      </w:r>
      <w:r w:rsidR="00C25CA7">
        <w:rPr>
          <w:b w:val="0"/>
          <w:bCs w:val="0"/>
          <w:i w:val="0"/>
          <w:iCs w:val="0"/>
        </w:rPr>
        <w:fldChar w:fldCharType="end"/>
      </w:r>
      <w:r w:rsidR="00C25CA7">
        <w:rPr>
          <w:b w:val="0"/>
          <w:bCs w:val="0"/>
          <w:i w:val="0"/>
          <w:iCs w:val="0"/>
        </w:rPr>
        <w:fldChar w:fldCharType="begin"/>
      </w:r>
      <w:r w:rsidR="00C25CA7">
        <w:rPr>
          <w:b w:val="0"/>
          <w:bCs w:val="0"/>
          <w:i w:val="0"/>
          <w:iCs w:val="0"/>
        </w:rPr>
        <w:instrText xml:space="preserve"> PRINTDATE  \* MERGEFORMAT </w:instrText>
      </w:r>
      <w:r w:rsidR="00C25CA7">
        <w:rPr>
          <w:b w:val="0"/>
          <w:bCs w:val="0"/>
          <w:i w:val="0"/>
          <w:iCs w:val="0"/>
        </w:rPr>
        <w:fldChar w:fldCharType="separate"/>
      </w:r>
      <w:r w:rsidR="00C25CA7">
        <w:rPr>
          <w:b w:val="0"/>
          <w:bCs w:val="0"/>
          <w:i w:val="0"/>
          <w:iCs w:val="0"/>
          <w:noProof/>
        </w:rPr>
        <w:t>0/0/00 0:00:00 AM</w:t>
      </w:r>
      <w:r w:rsidR="00C25CA7">
        <w:rPr>
          <w:b w:val="0"/>
          <w:bCs w:val="0"/>
          <w:i w:val="0"/>
          <w:iCs w:val="0"/>
        </w:rPr>
        <w:fldChar w:fldCharType="end"/>
      </w:r>
      <w:r w:rsidRPr="002A6D40">
        <w:rPr>
          <w:b w:val="0"/>
          <w:bCs w:val="0"/>
          <w:i w:val="0"/>
          <w:iCs w:val="0"/>
        </w:rPr>
        <w:t>.</w:t>
      </w:r>
    </w:p>
    <w:p w14:paraId="2EBA332D" w14:textId="49C22940" w:rsidR="002372F3" w:rsidRDefault="002372F3" w:rsidP="002372F3">
      <w:pPr>
        <w:pStyle w:val="Heading3"/>
      </w:pPr>
      <w:r>
        <w:t>Industrial Heat Process Solutions</w:t>
      </w:r>
    </w:p>
    <w:p w14:paraId="398447D3" w14:textId="520FD34A" w:rsidR="00767D06" w:rsidRDefault="00767D06" w:rsidP="00920F59">
      <w:pPr>
        <w:spacing w:after="200" w:line="480" w:lineRule="auto"/>
        <w:jc w:val="both"/>
      </w:pPr>
      <w:r>
        <w:t>Process-specific electric technologies are already commercial in parts of heavy industry—for example electric arc furnaces in steelmaking and electric kilns in some mineral processes—but cross-sector electricity-to-heat pathways that can serve steam and process heat across many manufacturing branches have been less examined at the individual facility. Here we assess the potential for, and barriers to, deploying industrial heat pumps and industrial heat batteries alongside co-located solar</w:t>
      </w:r>
      <w:r w:rsidR="00CF7715">
        <w:t xml:space="preserve"> and li-ion batteries</w:t>
      </w:r>
      <w:r>
        <w:t xml:space="preserve"> across EU manufacturing sectors.</w:t>
      </w:r>
    </w:p>
    <w:p w14:paraId="35C3810D" w14:textId="757DE431" w:rsidR="000725D5" w:rsidRDefault="000725D5" w:rsidP="00920F59">
      <w:pPr>
        <w:spacing w:after="200" w:line="480" w:lineRule="auto"/>
        <w:jc w:val="both"/>
      </w:pPr>
      <w:r>
        <w:t xml:space="preserve">In </w:t>
      </w:r>
      <w:r w:rsidR="003461E0">
        <w:t>this study</w:t>
      </w:r>
      <w:r>
        <w:t>, heat below 200 °C is served by industrial heat pumps powered by on-site solar and a shared lithium-ion battery</w:t>
      </w:r>
      <w:r w:rsidR="00BF27CF">
        <w:t>. H</w:t>
      </w:r>
      <w:r>
        <w:t xml:space="preserve">eat at or above 200 °C is served by an industrial heat battery (resistive charge into a thermal store) charged directly from solar. Heat-pump coefficients of performance are 2.7 below 100 °C and 1.8 between 100 and 200 °C, so each unit of renewable electricity yields more than one unit of useful low-temperature heat. Temperature-band assignment is process-aware </w:t>
      </w:r>
      <w:r>
        <w:lastRenderedPageBreak/>
        <w:t>where possible so that high-temperature storage is not spread artificially across heat-pump-only sites</w:t>
      </w:r>
      <w:r w:rsidR="003515BB">
        <w:rPr>
          <w:rStyle w:val="FootnoteReference"/>
        </w:rPr>
        <w:footnoteReference w:id="1"/>
      </w:r>
      <w:r>
        <w:t>.</w:t>
      </w:r>
    </w:p>
    <w:p w14:paraId="1DF9E668" w14:textId="1AF16389" w:rsidR="00920F59" w:rsidRDefault="00920F59" w:rsidP="00920F59">
      <w:pPr>
        <w:spacing w:after="200" w:line="480" w:lineRule="auto"/>
        <w:jc w:val="both"/>
      </w:pPr>
      <w:r>
        <w:t xml:space="preserve">An industrial heat battery stores energy as high-temperature heat in dense, durable materials (for example ceramics or refractory media). It charges from renewable electricity when solar output is available and discharges a near-constant thermal load suitable for continuous industrial duty. Relative to the heat-pump pathway, the industrial heat battery trades a COP of one for the ability to reach furnace- and kiln-relevant temperatures that </w:t>
      </w:r>
      <w:proofErr w:type="spellStart"/>
      <w:r>
        <w:t>vapour</w:t>
      </w:r>
      <w:proofErr w:type="spellEnd"/>
      <w:r>
        <w:t>-compression heat pumps cannot serve.</w:t>
      </w:r>
    </w:p>
    <w:p w14:paraId="30C8AF4D" w14:textId="5E281E15" w:rsidR="00920F59" w:rsidRDefault="00920F59">
      <w:pPr>
        <w:spacing w:after="200" w:line="480" w:lineRule="auto"/>
        <w:jc w:val="both"/>
      </w:pPr>
      <w:r>
        <w:t>The two architectures therefore match temperature to technology: lithium-ion storage buffers electrical input to heat pumps for sub-200 °C loads, whereas industrial heat batteries provide both storage and heat delivery for higher-temperature loads from a shared solar array. Levelized costs include solar, storage and heat-pump equipment capital and fixed O&amp;M (Methods); they do not include grid interconnection or distribution upgrade costs that on-site supply is intended to avoid.</w:t>
      </w:r>
    </w:p>
    <w:p w14:paraId="47AAAE54" w14:textId="799016F6" w:rsidR="00B73FC2" w:rsidRDefault="00B73FC2">
      <w:pPr>
        <w:spacing w:after="200" w:line="480" w:lineRule="auto"/>
        <w:jc w:val="both"/>
      </w:pPr>
      <w:r>
        <w:t xml:space="preserve">While there </w:t>
      </w:r>
      <w:r w:rsidR="002D6E25">
        <w:t>has</w:t>
      </w:r>
      <w:r>
        <w:t xml:space="preserve"> been substantial work on top-down analysis of industrial electrification through sector wide or country wide lens, there remains a gap in industrial facility level analysis</w:t>
      </w:r>
      <w:r w:rsidR="00397D48">
        <w:t xml:space="preserve"> </w:t>
      </w:r>
      <w:r w:rsidR="00A560A0">
        <w:fldChar w:fldCharType="begin"/>
      </w:r>
      <w:r w:rsidR="00A560A0">
        <w:instrText xml:space="preserve"> ADDIN ZOTERO_ITEM CSL_CITATION {"citationID":"1r04IsjC","properties":{"formattedCitation":"(Rosenow et al. 2025)","plainCitation":"(Rosenow et al. 2025)","noteIndex":0},"citationItems":[{"id":342,"uris":["http://zotero.org/users/20280584/items/H4BSST7L"],"itemData":{"id":342,"type":"article-journal","abstract":"Industrial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A560A0">
        <w:fldChar w:fldCharType="separate"/>
      </w:r>
      <w:r w:rsidR="00A560A0">
        <w:rPr>
          <w:noProof/>
        </w:rPr>
        <w:t>(Rosenow et al. 2025)</w:t>
      </w:r>
      <w:r w:rsidR="00A560A0">
        <w:fldChar w:fldCharType="end"/>
      </w:r>
      <w:r>
        <w:t xml:space="preserve">. </w:t>
      </w:r>
      <w:r w:rsidR="002D6E25">
        <w:t>Within the facility-level analysis, i</w:t>
      </w:r>
      <w:r>
        <w:t xml:space="preserve">ndustrial process heat </w:t>
      </w:r>
      <w:r w:rsidR="002D6E25">
        <w:t xml:space="preserve">calculation </w:t>
      </w:r>
      <w:r>
        <w:t xml:space="preserve">methods are divided in top-down vs bottom-up estimation. Top-down </w:t>
      </w:r>
    </w:p>
    <w:p w14:paraId="3AFE6465" w14:textId="1C7F7467" w:rsidR="00AD3A7C" w:rsidRDefault="00AD3A7C">
      <w:pPr>
        <w:spacing w:after="200" w:line="480" w:lineRule="auto"/>
        <w:jc w:val="both"/>
      </w:pPr>
      <w:r>
        <w:t xml:space="preserve">The methods used in this study uses bottom-up facility level calculations, benchmarked against sector wide and country wide published figures, providing a reliable estimate of </w:t>
      </w:r>
    </w:p>
    <w:p w14:paraId="2A7CDAB1" w14:textId="77777777" w:rsidR="00847F5A" w:rsidRDefault="00000000">
      <w:pPr>
        <w:pStyle w:val="Heading1"/>
      </w:pPr>
      <w:r>
        <w:t>Results</w:t>
      </w:r>
    </w:p>
    <w:p w14:paraId="2446DC74" w14:textId="77777777" w:rsidR="00847F5A" w:rsidRDefault="00000000">
      <w:pPr>
        <w:pStyle w:val="Heading2"/>
      </w:pPr>
      <w:r>
        <w:lastRenderedPageBreak/>
        <w:t>Key findings</w:t>
      </w:r>
    </w:p>
    <w:p w14:paraId="4D841E50" w14:textId="1A8D57F7" w:rsidR="00847F5A" w:rsidRDefault="00000000" w:rsidP="007F2B5A">
      <w:pPr>
        <w:spacing w:line="480" w:lineRule="auto"/>
        <w:ind w:firstLine="720"/>
        <w:jc w:val="both"/>
      </w:pPr>
      <w:r>
        <w:t>Across 2,192 EU sites with solar profiles, base-case replaceable fossil process heat is 522 TWh/y (2024 heat inventory). With co-located land within 5 km and 2030 technology costs, 39% of that heat meets a 90% availability target (88% of sites), at a heat-weighted LCOH of ≈ $72/MWh among ≥90% sites (median ≈ $58/MWh). Expanding the land buffer to 15 km raises the share of high-temperature heat (≥200 °C) meeting 90% from 25% to 67%, unlocking ≈ 160 TWh/y.</w:t>
      </w:r>
    </w:p>
    <w:p w14:paraId="276AB159" w14:textId="45E0CB9C" w:rsidR="00847F5A" w:rsidRDefault="00000000" w:rsidP="007F2B5A">
      <w:pPr>
        <w:spacing w:line="480" w:lineRule="auto"/>
        <w:ind w:firstLine="720"/>
        <w:jc w:val="both"/>
      </w:pPr>
      <w:r>
        <w:t xml:space="preserve">We compare </w:t>
      </w:r>
      <w:proofErr w:type="spellStart"/>
      <w:r>
        <w:t>LCOH_served</w:t>
      </w:r>
      <w:proofErr w:type="spellEnd"/>
      <w:r>
        <w:t xml:space="preserve"> to a country gas-boiler heat cost equal to the industrial gas price divided by boiler efficiency 0.85, plus EUA carbon at €79/</w:t>
      </w:r>
      <w:proofErr w:type="spellStart"/>
      <w:r>
        <w:t>tCO</w:t>
      </w:r>
      <w:proofErr w:type="spellEnd"/>
      <w:r>
        <w:t>₂ (Methods). Country values span ≈ €61–122/</w:t>
      </w:r>
      <w:proofErr w:type="spellStart"/>
      <w:r>
        <w:t>MWh_th</w:t>
      </w:r>
      <w:proofErr w:type="spellEnd"/>
      <w:r>
        <w:t xml:space="preserve"> (≈ $66–132/MWh at EURUSD = 1.08; fleet heat-weighted mean ≈ $84/MWh), in line with a published fossil gas-boiler LCOH of ≈ €86/</w:t>
      </w:r>
      <w:proofErr w:type="spellStart"/>
      <w:r>
        <w:t>MWh_th</w:t>
      </w:r>
      <w:proofErr w:type="spellEnd"/>
      <w:r>
        <w:t xml:space="preserve"> in 2030. Under these 2030 costs, ≈ 71% of heat that meets 90% under the 5 km screen (≈ 147 TWh/y; ≈ 73% of those sites) has </w:t>
      </w:r>
      <w:proofErr w:type="spellStart"/>
      <w:r>
        <w:t>LCOH_served</w:t>
      </w:r>
      <w:proofErr w:type="spellEnd"/>
      <w:r>
        <w:t xml:space="preserve"> below </w:t>
      </w:r>
      <w:r w:rsidR="008862B0">
        <w:t>the gas boiler</w:t>
      </w:r>
      <w:r>
        <w:t xml:space="preserve"> benchmark—about 28% of all fleet replaceable heat. Including heat-pump equipment cost lowers the below-gas share by a few percentage points relative to a solar-plus-storage-only cost boundary, without changing which sites meet the 90% availability floor.</w:t>
      </w:r>
    </w:p>
    <w:p w14:paraId="12DE8D6C" w14:textId="77777777" w:rsidR="00847F5A" w:rsidRDefault="00000000" w:rsidP="00F67A1D">
      <w:pPr>
        <w:pStyle w:val="Heading2"/>
        <w:spacing w:before="0"/>
      </w:pPr>
      <w:r>
        <w:t>Fleet outcomes under the base land screen</w:t>
      </w:r>
    </w:p>
    <w:p w14:paraId="7EE428E5" w14:textId="61BC72F4" w:rsidR="00847F5A" w:rsidRDefault="00000000">
      <w:pPr>
        <w:spacing w:after="200" w:line="480" w:lineRule="auto"/>
        <w:jc w:val="both"/>
      </w:pPr>
      <w:r>
        <w:t>The runnable fleet comprises 2,192 facilities with positive replaceable heat and a 2023 PVGIS solar profile. Under 2030 costs (BNEF 2030 country solar and lithium-ion battery CAPEX; Energy Innovation industrial heat-battery CAPEX inflated to 2030 dollars; industrial heat-pump CAPEX/FOM similarly expressed in 2030 dollars and annualized at country BNEF capital-recovery factors) and a 5 km land screen, 1,925 sites (88% of facilities but only 40% of fleet heat) meet a 90% availability target. Heat-weighted reliability across all sites is 59%: of all replaceable heat, about three-fifths is served under the optimized systems. The gap between the high site-</w:t>
      </w:r>
      <w:r>
        <w:lastRenderedPageBreak/>
        <w:t xml:space="preserve">success rate and the lower heat-weighted share reflects concentration of unmet demand at large, land-scarce plants. Among ≥90% sites, heat-weighted </w:t>
      </w:r>
      <w:proofErr w:type="spellStart"/>
      <w:r>
        <w:t>LCOH_served</w:t>
      </w:r>
      <w:proofErr w:type="spellEnd"/>
      <w:r>
        <w:t xml:space="preserve"> is ≈ $72/MWh (median ≈ $58/MWh); component shares are dominated by solar, with heat pumps, lithium-ion and industrial heat batteries each contributing a smaller slice of annualized cost.</w:t>
      </w:r>
    </w:p>
    <w:p w14:paraId="72858B30" w14:textId="4B96FB8A" w:rsidR="00B702BD" w:rsidRDefault="00B702BD" w:rsidP="00A66336">
      <w:pPr>
        <w:spacing w:after="200" w:line="480" w:lineRule="auto"/>
        <w:jc w:val="center"/>
      </w:pPr>
      <w:r>
        <w:rPr>
          <w:noProof/>
        </w:rPr>
        <w:drawing>
          <wp:inline distT="0" distB="0" distL="0" distR="0" wp14:anchorId="3B745953" wp14:editId="7993A0A3">
            <wp:extent cx="5669280" cy="3905504"/>
            <wp:effectExtent l="0" t="0" r="0" b="0"/>
            <wp:docPr id="1892704318" name="Picture 189270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met90_heat_share_5km_15km.png"/>
                    <pic:cNvPicPr/>
                  </pic:nvPicPr>
                  <pic:blipFill>
                    <a:blip r:embed="rId8"/>
                    <a:stretch>
                      <a:fillRect/>
                    </a:stretch>
                  </pic:blipFill>
                  <pic:spPr>
                    <a:xfrm>
                      <a:off x="0" y="0"/>
                      <a:ext cx="5669280" cy="3905504"/>
                    </a:xfrm>
                    <a:prstGeom prst="rect">
                      <a:avLst/>
                    </a:prstGeom>
                  </pic:spPr>
                </pic:pic>
              </a:graphicData>
            </a:graphic>
          </wp:inline>
        </w:drawing>
      </w:r>
    </w:p>
    <w:p w14:paraId="418E6E57" w14:textId="1400279A" w:rsidR="00B702BD" w:rsidRDefault="00B702BD" w:rsidP="00A66336">
      <w:pPr>
        <w:spacing w:after="200" w:line="480" w:lineRule="auto"/>
        <w:jc w:val="center"/>
      </w:pPr>
      <w:r>
        <w:rPr>
          <w:b/>
        </w:rPr>
        <w:t xml:space="preserve">Fig. 5 | </w:t>
      </w:r>
      <w:r>
        <w:t>Share of sector replaceable heat meeting 90% availability under 5 km and 15 km co-located solar land screens (solar-plus-storage; 2030 costs). Bar length is heat-weighted feasibility, not site count; labels at right show sector replaceable heat (TWh/y, base case).</w:t>
      </w:r>
    </w:p>
    <w:p w14:paraId="1201D008" w14:textId="5F6BEC6E" w:rsidR="00847F5A" w:rsidRDefault="00000000">
      <w:pPr>
        <w:spacing w:after="200" w:line="480" w:lineRule="auto"/>
        <w:jc w:val="both"/>
      </w:pPr>
      <w:r>
        <w:t xml:space="preserve">Cost-effective reliability concentrates in low-temperature, heat-pump-served heat. Among sites meeting 90% availability, food–beverage–tobacco and textiles–leather–apparel account for much of the lowest-cost quartile, with heat-weighted heat-pump load shares near 80–90% and temperature profiles dominated by bands below 200 °C. Southern European sites (Italy, Spain, </w:t>
      </w:r>
      <w:r>
        <w:lastRenderedPageBreak/>
        <w:t>Portugal, Greece and neighboring Mediterranean countries) that clear the 90% floor have annual solar capacity factors of about 18–21% (heat-weighted ≈ 20%), versus ≈ 16% across all ≥90% sites. By contrast, sites that fail the 90% floor are overwhelmingly high-temperature, land-binding and lower solar capacity factor. About 91% of failed heat is ≥200 °C, heat-weighted reliability on those sites is only ≈ 38%, and nearly all failed heat is at the solar land cap. Steam crackers, primary steel, and large chemicals dominate failed heat. Glass and much of cement more often clear 90% where land allows, but at higher LCOH because they rely on resistive IHB without a heat-pump COP benefit.</w:t>
      </w:r>
    </w:p>
    <w:p w14:paraId="6A967987" w14:textId="77777777" w:rsidR="00847F5A" w:rsidRDefault="00000000">
      <w:pPr>
        <w:pStyle w:val="Heading2"/>
      </w:pPr>
      <w:r>
        <w:t>Land availability unlocks high-temperature heat</w:t>
      </w:r>
    </w:p>
    <w:p w14:paraId="29C119D8" w14:textId="067E7409" w:rsidR="00847F5A" w:rsidRDefault="00000000">
      <w:pPr>
        <w:spacing w:after="200" w:line="480" w:lineRule="auto"/>
        <w:jc w:val="both"/>
      </w:pPr>
      <w:r>
        <w:t xml:space="preserve">Of the fleet’s ≈ 383 TWh/y of high-temperature replaceable heat (≥200 °C), only 25% (≈ 96 TWh/y) sits at sites that meet 90% availability under the 5 km screen. Expanding developable land to a 15 km buffer, a proxy for shared or nearby solar rather than strictly on-site siting, raises that share to 67% (≈ 255 TWh/y). In other words, relaxing the land limit unlocks an additional ≈ 160 TWh/y of high-temperature heat (42% of fleet high-T heat) that was previously infeasible at 90% reliability. The unlocked tranche is itself high-T dominated (≈ 87% of its heat) and arrives at a heat-weighted </w:t>
      </w:r>
      <w:proofErr w:type="spellStart"/>
      <w:r>
        <w:t>LCOH_served</w:t>
      </w:r>
      <w:proofErr w:type="spellEnd"/>
      <w:r>
        <w:t xml:space="preserve"> of ≈ $95/MWh under 2030 costs. Low-temperature heat is already largely feasible at 5 km (79% of LT heat ≥90%) and nearly complete at 15 km (97%).</w:t>
      </w:r>
    </w:p>
    <w:p w14:paraId="70093939" w14:textId="20FDB08B" w:rsidR="00847F5A" w:rsidRDefault="00000000">
      <w:pPr>
        <w:spacing w:after="200" w:line="480" w:lineRule="auto"/>
        <w:jc w:val="both"/>
      </w:pPr>
      <w:r>
        <w:t xml:space="preserve">The same pattern appears when sites are grouped by hard-to-abate manufacturing sectors (steam cracking, iron and steel, cement, lime, glass, chemicals, </w:t>
      </w:r>
      <w:proofErr w:type="spellStart"/>
      <w:r>
        <w:t>aluminium</w:t>
      </w:r>
      <w:proofErr w:type="spellEnd"/>
      <w:r>
        <w:t xml:space="preserve">). Hard-industry heat meeting 90% rises from 23% under the 5 km screen to 67% at 15 km. Sector shifts are large where plants are big and land-scarce: steam-cracker heat from 1.5% to 43%, iron and steel from 13% to 64%, while cement moves from already-high coverage to near-complete. About 170 TWh/y of hard-industry heat is unlocked only when the land radius expands, at a heat-weighted LCOH of roughly </w:t>
      </w:r>
      <w:r>
        <w:lastRenderedPageBreak/>
        <w:t>$87–95/MWh among newly feasible and already-feasible hard sites under 2030 costs — higher than food and textile economics, but competitive with fossil heat once gas and carbon costs are included (fleet heat-weighted gas-boiler benchmark ≈ $84/MWh, near the published ≈ €86/</w:t>
      </w:r>
      <w:proofErr w:type="spellStart"/>
      <w:r>
        <w:t>MWh_th</w:t>
      </w:r>
      <w:proofErr w:type="spellEnd"/>
      <w:r>
        <w:t xml:space="preserve"> fossil gas-boiler LCOH for 2030</w:t>
      </w:r>
      <w:r>
        <w:rPr>
          <w:vertAlign w:val="superscript"/>
        </w:rPr>
        <w:t>24</w:t>
      </w:r>
      <w:r>
        <w:t>; Methods). A residual ≈ 128 TWh/y of high-T heat (33% of fleet high-T) still fails 90% even at 15 km, almost entirely at sites that remain land-capped: these are the true residual core under the present technology and cost assumptions, not evidence that high-T solar-plus-IHB is intrinsically uneconomic.</w:t>
      </w:r>
    </w:p>
    <w:p w14:paraId="2CE54408" w14:textId="36ABF82A" w:rsidR="00847F5A" w:rsidRDefault="00000000">
      <w:pPr>
        <w:spacing w:after="200" w:line="480" w:lineRule="auto"/>
        <w:jc w:val="both"/>
      </w:pPr>
      <w:r>
        <w:t>Heat-demand bounds (sector low/base/high; fleet ≈ 388–697 TWh/y) mainly change how often the land constraint binds. We treat heat-demand sensitivity as a robustness check on inventory uncertainty, not as the primary lever for hard-industry feasibility. From low to high heat under the 5 km screen, the ≥90% heat share moves from 49% to 38%; under 15 km, from 83% to 72%. Within-site LCOH is essentially unchanged when demand is scaled — fleet-average LCOH shifts are composition effects. The primary Results use 2030 technology costs applied to the 2024 heat inventory; 2025 costs raise heat-weighted LCOH among ≥90% sites to ≈ $87/MWh (5 km) and ≈ $106/MWh (15 km) without changing feasible heat shares. Additional sensitivities retained for extension include storage-CAPEX learning pathways, round-trip efficiency, and stricter land masks (Methods).</w:t>
      </w:r>
    </w:p>
    <w:p w14:paraId="726FB833" w14:textId="77777777" w:rsidR="00847F5A" w:rsidRDefault="00000000">
      <w:pPr>
        <w:pStyle w:val="Heading1"/>
      </w:pPr>
      <w:r>
        <w:t>Discussion</w:t>
      </w:r>
    </w:p>
    <w:p w14:paraId="3A12C227" w14:textId="77777777" w:rsidR="004C413B" w:rsidRDefault="004C413B" w:rsidP="00117102">
      <w:pPr>
        <w:spacing w:after="200" w:line="480" w:lineRule="auto"/>
        <w:jc w:val="center"/>
      </w:pPr>
      <w:r>
        <w:rPr>
          <w:noProof/>
        </w:rPr>
        <w:lastRenderedPageBreak/>
        <w:drawing>
          <wp:inline distT="0" distB="0" distL="0" distR="0" wp14:anchorId="2F86851A" wp14:editId="56AD01E6">
            <wp:extent cx="5943600" cy="2535072"/>
            <wp:effectExtent l="0" t="0" r="0" b="0"/>
            <wp:docPr id="1892704319" name="Picture 189270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535072"/>
                    </a:xfrm>
                    <a:prstGeom prst="rect">
                      <a:avLst/>
                    </a:prstGeom>
                  </pic:spPr>
                </pic:pic>
              </a:graphicData>
            </a:graphic>
          </wp:inline>
        </w:drawing>
      </w:r>
    </w:p>
    <w:p w14:paraId="102BDF4B" w14:textId="77777777" w:rsidR="004C413B" w:rsidRDefault="004C413B" w:rsidP="006002E8">
      <w:pPr>
        <w:spacing w:after="200"/>
        <w:jc w:val="center"/>
      </w:pPr>
      <w:r>
        <w:rPr>
          <w:b/>
        </w:rPr>
        <w:t xml:space="preserve">Fig. 6 | </w:t>
      </w:r>
      <w:r>
        <w:t xml:space="preserve">High-temperature–majority sites under the 5 km land screen (2030 costs). Left: </w:t>
      </w:r>
      <w:proofErr w:type="spellStart"/>
      <w:r>
        <w:t>LCOH_served</w:t>
      </w:r>
      <w:proofErr w:type="spellEnd"/>
      <w:r>
        <w:t xml:space="preserve"> versus annual solar capacity factor, with the country gas-boiler cost band (P10–P90). Right: reliability versus available land per unit thermal load; the dashed line marks the 90% availability target. Marker </w:t>
      </w:r>
      <w:proofErr w:type="spellStart"/>
      <w:r>
        <w:t>colour</w:t>
      </w:r>
      <w:proofErr w:type="spellEnd"/>
      <w:r>
        <w:t xml:space="preserve"> indicates whether the site meets 90% and whether </w:t>
      </w:r>
      <w:proofErr w:type="spellStart"/>
      <w:r>
        <w:t>LCOH_served</w:t>
      </w:r>
      <w:proofErr w:type="spellEnd"/>
      <w:r>
        <w:t xml:space="preserve"> is below the country gas-boiler benchmark.</w:t>
      </w:r>
    </w:p>
    <w:p w14:paraId="7881EFF4" w14:textId="16E09807" w:rsidR="003610D1" w:rsidRDefault="00D47582" w:rsidP="0085260A">
      <w:pPr>
        <w:spacing w:after="200" w:line="480" w:lineRule="auto"/>
        <w:ind w:firstLine="720"/>
        <w:jc w:val="both"/>
      </w:pPr>
      <w:r>
        <w:t xml:space="preserve">The central implication is that hard-to-decarbonize industrial heat is often land-constrained rather than cost-prohibitive under solar-plus-battery systems. Where land within 5 km already supports full reliability, high-temperature and hard-industry sites that clear the 90% floor do so at heat-weighted </w:t>
      </w:r>
      <w:proofErr w:type="spellStart"/>
      <w:r>
        <w:t>LCOH_served</w:t>
      </w:r>
      <w:proofErr w:type="spellEnd"/>
      <w:r>
        <w:t xml:space="preserve"> near $70–100/MWh under 2030 costs (including heat-pump equipment). Where land is scarce, the same technologies cannot meet a high availability target, not because storage or solar are intrinsically too expensive, but because the optimized array hits the land cap first. Expanding the siting radius to 15 km more than doubles the high-temperature heat that achieves 90% reliability (25% → 67% of fleet high-T heat) and nearly triples hard-industry heat coverage (23% → 67%), at roughly $87–95/MWh for unlocked hard heat. Easy-to-serve low-temperature sites in sunny southern Europe remain the cheapest, but they should not define the headline for hard industries: the relevant claim is that a large share of high-T heat becomes fully reliable at mid-range industrial heat costs once nearby land is allowed.</w:t>
      </w:r>
    </w:p>
    <w:p w14:paraId="4ECBA2E7" w14:textId="79D40506" w:rsidR="00C5505A" w:rsidRDefault="00C5505A">
      <w:pPr>
        <w:spacing w:after="200" w:line="480" w:lineRule="auto"/>
        <w:jc w:val="both"/>
      </w:pPr>
      <w:r>
        <w:lastRenderedPageBreak/>
        <w:t>Geography reinforces the solar-resource side of this story without overturning the land mechanism. Southern Mediterranean facilities that meet 90% combine high-capacity factors (≈ 18–21%) with predominantly low-temperature loads. Northern and coastal heavy-industry clusters combine poorer solar with large continuous high-T demand and limited developable land in the immediate buffer. Port crackers and integrated mills are among the hardest cases, whereas inland southern food and textile plants are among the easiest. Policy levers that expand usable land for co-located or nearby solar (shared industrial parks, agrivoltaic or brownfield preferences, coordination across neighboring parcels) therefore move the feasible frontier for hard heat as much as further declines in module or storage CAPEX.</w:t>
      </w:r>
    </w:p>
    <w:p w14:paraId="6BA8B323" w14:textId="3401BA5F" w:rsidR="00751A35" w:rsidRDefault="00751A35">
      <w:pPr>
        <w:spacing w:after="200" w:line="480" w:lineRule="auto"/>
        <w:jc w:val="both"/>
      </w:pPr>
      <w:r>
        <w:rPr>
          <w:noProof/>
        </w:rPr>
        <w:drawing>
          <wp:inline distT="0" distB="0" distL="0" distR="0" wp14:anchorId="41578D9A" wp14:editId="0BB87AAD">
            <wp:extent cx="5943600" cy="3052445"/>
            <wp:effectExtent l="0" t="0" r="0" b="0"/>
            <wp:docPr id="19900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4266" name=""/>
                    <pic:cNvPicPr/>
                  </pic:nvPicPr>
                  <pic:blipFill>
                    <a:blip r:embed="rId10"/>
                    <a:stretch>
                      <a:fillRect/>
                    </a:stretch>
                  </pic:blipFill>
                  <pic:spPr>
                    <a:xfrm>
                      <a:off x="0" y="0"/>
                      <a:ext cx="5943600" cy="3052445"/>
                    </a:xfrm>
                    <a:prstGeom prst="rect">
                      <a:avLst/>
                    </a:prstGeom>
                  </pic:spPr>
                </pic:pic>
              </a:graphicData>
            </a:graphic>
          </wp:inline>
        </w:drawing>
      </w:r>
    </w:p>
    <w:p w14:paraId="03C08D46" w14:textId="0A213592" w:rsidR="00B66B8E" w:rsidRPr="00557F77" w:rsidRDefault="008C31B1" w:rsidP="00557F77">
      <w:pPr>
        <w:spacing w:after="200" w:line="480" w:lineRule="auto"/>
        <w:jc w:val="both"/>
      </w:pPr>
      <w:r>
        <w:t>The land sensitivity is the result that carries the narrative. Heat-demand bounds mainly confirm that inventory uncertainty does not erase the cost finding for sites that remain feasible. The heat-weighted average cost can rise when land is relaxed precisely because more heat at higher temperature sites is served, a feature of successful unlock, not a deterioration of easy-site economics.</w:t>
      </w:r>
    </w:p>
    <w:p w14:paraId="1BF0C1A3" w14:textId="5999B30B" w:rsidR="00196F9F" w:rsidRDefault="00196F9F" w:rsidP="00196F9F">
      <w:pPr>
        <w:pStyle w:val="Heading3"/>
      </w:pPr>
      <w:r>
        <w:lastRenderedPageBreak/>
        <w:t>Limitations</w:t>
      </w:r>
    </w:p>
    <w:p w14:paraId="42FA7FCD" w14:textId="76404DAC" w:rsidR="00847F5A" w:rsidRDefault="00000000">
      <w:pPr>
        <w:spacing w:after="200" w:line="480" w:lineRule="auto"/>
        <w:jc w:val="both"/>
      </w:pPr>
      <w:r>
        <w:t>Several simplifications bound how these results should be interpreted. Heat demand uses sector-average specific energy consumption, process efficiencies, and fossil shares rather than plant-measured fuel use, and temperature-band splits come from sector recipes rather than facility audits, so individual sites inherit sector-average band shares that may not describe them exactly. Production and emissions data come from Climate TRACE and related inventories and are best read as a screening-level estimate where facility coverage is incomplete, notably for pulp &amp; paper and ceramics &amp; glass (Methods). The flat annual load ignores shift patterns, weekends, and maintenance outages, and land availability is a geospatial screen (slope, protected areas, water) rather than a title, permitting, or grid-interconnection assessment. The 15 km case relaxes siting but is not unlimited land; a residual third of high-T heat remains land-capped even then. Technology costs are country-level and stylized rather than EPC quotes. The representative-day formulation is appropriate for the ≤16 h storage durations modelled here but would need reformulation for seasonal storage, and any claim of cost-effectiveness relative to fossil heat depends on the gas-and-carbon benchmark adopted for comparison.</w:t>
      </w:r>
    </w:p>
    <w:p w14:paraId="1F05BE4E" w14:textId="5640E370" w:rsidR="00847F5A" w:rsidRDefault="00000000">
      <w:pPr>
        <w:spacing w:after="200" w:line="480" w:lineRule="auto"/>
        <w:jc w:val="both"/>
      </w:pPr>
      <w:r>
        <w:t xml:space="preserve">Within these bounds, land availability is the binding constraint at most hard sites. Median LCOH among feasible sites is about $46–48/MWh under 2030 costs across the 5 km and 15 km screens, while the feasible share of high-temperature heat moves from one-quarter to two-thirds between those screens. Siting and land-use policy, alongside continued reduction in storage cost, </w:t>
      </w:r>
      <w:proofErr w:type="gramStart"/>
      <w:r>
        <w:t>therefore</w:t>
      </w:r>
      <w:proofErr w:type="gramEnd"/>
      <w:r>
        <w:t xml:space="preserve"> matter as much as technology cost trajectories for realizing the fleet-wide potential identified here.</w:t>
      </w:r>
    </w:p>
    <w:p w14:paraId="6FDD9B90" w14:textId="0554F8C8" w:rsidR="00847F5A" w:rsidRDefault="00000000" w:rsidP="00095DF0">
      <w:pPr>
        <w:pStyle w:val="Heading1"/>
      </w:pPr>
      <w:r>
        <w:br w:type="page"/>
      </w:r>
      <w:r>
        <w:lastRenderedPageBreak/>
        <w:t>Methods</w:t>
      </w:r>
    </w:p>
    <w:p w14:paraId="23A5DE7F" w14:textId="24D88EAF" w:rsidR="00847F5A" w:rsidRDefault="00000000" w:rsidP="00467964">
      <w:pPr>
        <w:pStyle w:val="Heading2"/>
      </w:pPr>
      <w:r>
        <w:t>Overview and analytical framework</w:t>
      </w:r>
    </w:p>
    <w:p w14:paraId="2D55794B" w14:textId="3C1A064E" w:rsidR="00847F5A" w:rsidRDefault="00000000">
      <w:pPr>
        <w:spacing w:after="200" w:line="480" w:lineRule="auto"/>
        <w:jc w:val="both"/>
      </w:pPr>
      <w:r>
        <w:t>This study assesses which EU industrial sites could cost-effectively replace fossil-fired process heat with solar-plus-industrial-heat-battery (IHB) systems (Fig. 1). Starting from Climate TRACE open-source facility data for the European Union, we build bottom-up estimates of the heat used in each facility’s manufacturing process. These estimates are validated against country- and sector-level totals from the Joint Research Centre’s Integrated Database of the European Energy System (JRC-IDEES)/IndustryHeat-EU</w:t>
      </w:r>
      <w:r>
        <w:rPr>
          <w:vertAlign w:val="superscript"/>
        </w:rPr>
        <w:t>1</w:t>
      </w:r>
      <w:r>
        <w:t xml:space="preserve">, </w:t>
      </w:r>
      <w:proofErr w:type="gramStart"/>
      <w:r>
        <w:t>with the exception of</w:t>
      </w:r>
      <w:proofErr w:type="gramEnd"/>
      <w:r>
        <w:t xml:space="preserve"> the food sector, which is instead fitted to that reference (see ‘Emissions heat estimates’ below). We then use site-specific land availability and solar resource as constraints in a linear-program (LP) optimization that sizes the </w:t>
      </w:r>
      <w:proofErr w:type="spellStart"/>
      <w:r>
        <w:t>solar+IHB</w:t>
      </w:r>
      <w:proofErr w:type="spellEnd"/>
      <w:r>
        <w:t xml:space="preserve"> system and its levelized cost of heat (LCOH) at each site and use the results to identify which facilities and site characteristics are associated with cost-competitive decarbonization.</w:t>
      </w:r>
    </w:p>
    <w:p w14:paraId="431AECD7" w14:textId="77777777" w:rsidR="00847F5A" w:rsidRDefault="00000000">
      <w:pPr>
        <w:spacing w:before="200" w:after="120"/>
        <w:jc w:val="center"/>
      </w:pPr>
      <w:r>
        <w:rPr>
          <w:noProof/>
        </w:rPr>
        <w:drawing>
          <wp:inline distT="0" distB="0" distL="0" distR="0" wp14:anchorId="43F49771" wp14:editId="1962B474">
            <wp:extent cx="40005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33600"/>
                    </a:xfrm>
                    <a:prstGeom prst="rect">
                      <a:avLst/>
                    </a:prstGeom>
                  </pic:spPr>
                </pic:pic>
              </a:graphicData>
            </a:graphic>
          </wp:inline>
        </w:drawing>
      </w:r>
    </w:p>
    <w:p w14:paraId="7AFCCF97" w14:textId="77777777" w:rsidR="00847F5A" w:rsidRDefault="00000000">
      <w:pPr>
        <w:spacing w:after="300" w:line="300" w:lineRule="auto"/>
      </w:pPr>
      <w:r>
        <w:rPr>
          <w:b/>
          <w:bCs/>
          <w:sz w:val="20"/>
          <w:szCs w:val="20"/>
        </w:rPr>
        <w:t xml:space="preserve">Fig. 1 | </w:t>
      </w:r>
      <w:r>
        <w:rPr>
          <w:sz w:val="20"/>
          <w:szCs w:val="20"/>
        </w:rPr>
        <w:t xml:space="preserve">Analytical framework. Three independently derived facility-level inputs — heat-demand estimates (‘Replaceable heat demand estimation’), </w:t>
      </w:r>
      <w:proofErr w:type="spellStart"/>
      <w:r>
        <w:rPr>
          <w:sz w:val="20"/>
          <w:szCs w:val="20"/>
        </w:rPr>
        <w:t>colocated</w:t>
      </w:r>
      <w:proofErr w:type="spellEnd"/>
      <w:r>
        <w:rPr>
          <w:sz w:val="20"/>
          <w:szCs w:val="20"/>
        </w:rPr>
        <w:t xml:space="preserve"> solar resource (‘Solar radiation per facility’), and available land for </w:t>
      </w:r>
      <w:proofErr w:type="spellStart"/>
      <w:r>
        <w:rPr>
          <w:sz w:val="20"/>
          <w:szCs w:val="20"/>
        </w:rPr>
        <w:t>colocated</w:t>
      </w:r>
      <w:proofErr w:type="spellEnd"/>
      <w:r>
        <w:rPr>
          <w:sz w:val="20"/>
          <w:szCs w:val="20"/>
        </w:rPr>
        <w:t xml:space="preserve"> solar (‘Land availability for </w:t>
      </w:r>
      <w:proofErr w:type="spellStart"/>
      <w:r>
        <w:rPr>
          <w:sz w:val="20"/>
          <w:szCs w:val="20"/>
        </w:rPr>
        <w:t>colocated</w:t>
      </w:r>
      <w:proofErr w:type="spellEnd"/>
      <w:r>
        <w:rPr>
          <w:sz w:val="20"/>
          <w:szCs w:val="20"/>
        </w:rPr>
        <w:t xml:space="preserve"> solar’) — are combined with facility metadata from Climate TRACE (‘Facility dataset and scope’) and merged into a per-facility optimization (‘LCOH and system sizing’) that returns the sized solar-plus-IHB system and its levelized cost of heat for each site.</w:t>
      </w:r>
    </w:p>
    <w:p w14:paraId="4FB4CBBD" w14:textId="77777777" w:rsidR="00847F5A" w:rsidRDefault="00000000">
      <w:pPr>
        <w:pStyle w:val="Heading2"/>
      </w:pPr>
      <w:r>
        <w:t>Facility dataset and scope</w:t>
      </w:r>
    </w:p>
    <w:p w14:paraId="65F90379" w14:textId="39DD2B45" w:rsidR="00847F5A" w:rsidRDefault="00000000">
      <w:pPr>
        <w:spacing w:after="200" w:line="480" w:lineRule="auto"/>
        <w:jc w:val="both"/>
      </w:pPr>
      <w:r>
        <w:lastRenderedPageBreak/>
        <w:t xml:space="preserve">Climate TRACE lists 2,493 facilities in the EU-27 (excluding Malta, which has none) plus the United Kingdom. After removing 78 duplicate records and correcting 4 facility, 2,415 facilities remain. Eleven manufacturing subsectors are covered: food, beverage &amp; tobacco; textiles &amp; apparel; glass; cement; iron &amp; steel; pulp &amp; paper; lime; chemicals; other metals; petrochemical steam cracking; and </w:t>
      </w:r>
      <w:proofErr w:type="spellStart"/>
      <w:r>
        <w:t>aluminium</w:t>
      </w:r>
      <w:proofErr w:type="spellEnd"/>
      <w:r>
        <w:t>. Each facility carries coordinates, annual production output, capacity factor, and annual CO2 emissions, spanning heat temperatures from 100 to 1,500 °C.</w:t>
      </w:r>
    </w:p>
    <w:p w14:paraId="1D0735CA" w14:textId="77777777" w:rsidR="00847F5A" w:rsidRDefault="00000000">
      <w:pPr>
        <w:pStyle w:val="Heading2"/>
      </w:pPr>
      <w:r>
        <w:t>Replaceable heat demand estimation</w:t>
      </w:r>
    </w:p>
    <w:p w14:paraId="38A75163" w14:textId="6E1C909C" w:rsidR="00847F5A" w:rsidRDefault="00000000">
      <w:pPr>
        <w:spacing w:after="200" w:line="480" w:lineRule="auto"/>
        <w:jc w:val="both"/>
      </w:pPr>
      <w:r>
        <w:t>We estimate the useful heat demand that an IHB can serve using a two-tiered approach based on data availability (Table 1). The higher-reliability tier applies sector specific energy consumption (SEC) to facility-level production data</w:t>
      </w:r>
      <w:r>
        <w:rPr>
          <w:vertAlign w:val="superscript"/>
        </w:rPr>
        <w:t>2</w:t>
      </w:r>
      <w:r>
        <w:t>; the lower tier, used only where production data are unavailable, infers fuel use from reported emissions. From useful heat we calculate replaceable heat by applying the fossil share of heat by country and sector</w:t>
      </w:r>
      <w:r>
        <w:rPr>
          <w:vertAlign w:val="superscript"/>
        </w:rPr>
        <w:t>3</w:t>
      </w:r>
      <w:r>
        <w:t xml:space="preserve"> (‘Fossil share to replaceable heat’, below).</w:t>
      </w:r>
      <w:r w:rsidR="00B73FC2">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47F5A" w14:paraId="22939C91" w14:textId="77777777">
        <w:trPr>
          <w:tblHeader/>
        </w:trPr>
        <w:tc>
          <w:tcPr>
            <w:tcW w:w="2600" w:type="dxa"/>
            <w:shd w:val="clear" w:color="auto" w:fill="D9E2F3"/>
            <w:tcMar>
              <w:top w:w="80" w:type="dxa"/>
              <w:left w:w="100" w:type="dxa"/>
              <w:bottom w:w="80" w:type="dxa"/>
              <w:right w:w="100" w:type="dxa"/>
            </w:tcMar>
            <w:vAlign w:val="center"/>
          </w:tcPr>
          <w:p w14:paraId="05EA15FD" w14:textId="77777777" w:rsidR="00847F5A" w:rsidRDefault="00000000">
            <w:r>
              <w:rPr>
                <w:b/>
                <w:bCs/>
                <w:sz w:val="20"/>
                <w:szCs w:val="20"/>
              </w:rPr>
              <w:t>Calculation route</w:t>
            </w:r>
          </w:p>
        </w:tc>
        <w:tc>
          <w:tcPr>
            <w:tcW w:w="6760" w:type="dxa"/>
            <w:shd w:val="clear" w:color="auto" w:fill="D9E2F3"/>
            <w:tcMar>
              <w:top w:w="80" w:type="dxa"/>
              <w:left w:w="100" w:type="dxa"/>
              <w:bottom w:w="80" w:type="dxa"/>
              <w:right w:w="100" w:type="dxa"/>
            </w:tcMar>
            <w:vAlign w:val="center"/>
          </w:tcPr>
          <w:p w14:paraId="005A4848" w14:textId="77777777" w:rsidR="00847F5A" w:rsidRDefault="00000000">
            <w:r>
              <w:rPr>
                <w:b/>
                <w:bCs/>
                <w:sz w:val="20"/>
                <w:szCs w:val="20"/>
              </w:rPr>
              <w:t>Formulas</w:t>
            </w:r>
          </w:p>
        </w:tc>
      </w:tr>
      <w:tr w:rsidR="00847F5A" w14:paraId="0A8C5551" w14:textId="77777777">
        <w:tc>
          <w:tcPr>
            <w:tcW w:w="2600" w:type="dxa"/>
            <w:tcMar>
              <w:top w:w="80" w:type="dxa"/>
              <w:left w:w="100" w:type="dxa"/>
              <w:bottom w:w="80" w:type="dxa"/>
              <w:right w:w="100" w:type="dxa"/>
            </w:tcMar>
          </w:tcPr>
          <w:p w14:paraId="13EA392D" w14:textId="77777777" w:rsidR="00847F5A" w:rsidRDefault="00000000">
            <w:pPr>
              <w:spacing w:after="60"/>
            </w:pPr>
            <w:r>
              <w:rPr>
                <w:sz w:val="20"/>
                <w:szCs w:val="20"/>
              </w:rPr>
              <w:t>SEC route</w:t>
            </w:r>
          </w:p>
        </w:tc>
        <w:tc>
          <w:tcPr>
            <w:tcW w:w="6760" w:type="dxa"/>
            <w:tcMar>
              <w:top w:w="80" w:type="dxa"/>
              <w:left w:w="100" w:type="dxa"/>
              <w:bottom w:w="80" w:type="dxa"/>
              <w:right w:w="100" w:type="dxa"/>
            </w:tcMar>
          </w:tcPr>
          <w:p w14:paraId="1BA034B0" w14:textId="526BCDF0" w:rsidR="00847F5A" w:rsidRDefault="00000000">
            <w:pPr>
              <w:spacing w:after="40"/>
            </w:pPr>
            <w:proofErr w:type="spellStart"/>
            <w:r>
              <w:rPr>
                <w:sz w:val="20"/>
                <w:szCs w:val="20"/>
              </w:rPr>
              <w:t>fuel_energy</w:t>
            </w:r>
            <w:proofErr w:type="spellEnd"/>
            <w:r>
              <w:rPr>
                <w:sz w:val="20"/>
                <w:szCs w:val="20"/>
              </w:rPr>
              <w:t xml:space="preserve"> = production × SEC</w:t>
            </w:r>
          </w:p>
          <w:p w14:paraId="6C120666" w14:textId="77777777" w:rsidR="00847F5A" w:rsidRDefault="00000000">
            <w:pPr>
              <w:spacing w:after="60"/>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η_process</w:t>
            </w:r>
            <w:proofErr w:type="spellEnd"/>
          </w:p>
        </w:tc>
      </w:tr>
      <w:tr w:rsidR="00847F5A" w14:paraId="3FA01F80" w14:textId="77777777">
        <w:tc>
          <w:tcPr>
            <w:tcW w:w="2600" w:type="dxa"/>
            <w:tcMar>
              <w:top w:w="80" w:type="dxa"/>
              <w:left w:w="100" w:type="dxa"/>
              <w:bottom w:w="80" w:type="dxa"/>
              <w:right w:w="100" w:type="dxa"/>
            </w:tcMar>
          </w:tcPr>
          <w:p w14:paraId="44B1CB3C" w14:textId="77777777" w:rsidR="00847F5A" w:rsidRDefault="00000000">
            <w:pPr>
              <w:spacing w:after="60"/>
            </w:pPr>
            <w:r>
              <w:rPr>
                <w:sz w:val="20"/>
                <w:szCs w:val="20"/>
              </w:rPr>
              <w:t>Emissions route</w:t>
            </w:r>
          </w:p>
        </w:tc>
        <w:tc>
          <w:tcPr>
            <w:tcW w:w="6760" w:type="dxa"/>
            <w:tcMar>
              <w:top w:w="80" w:type="dxa"/>
              <w:left w:w="100" w:type="dxa"/>
              <w:bottom w:w="80" w:type="dxa"/>
              <w:right w:w="100" w:type="dxa"/>
            </w:tcMar>
          </w:tcPr>
          <w:p w14:paraId="73CE8939" w14:textId="77777777" w:rsidR="00847F5A" w:rsidRDefault="00000000">
            <w:pPr>
              <w:spacing w:after="40"/>
            </w:pPr>
            <w:proofErr w:type="spellStart"/>
            <w:r>
              <w:rPr>
                <w:sz w:val="20"/>
                <w:szCs w:val="20"/>
              </w:rPr>
              <w:t>fuel_energy</w:t>
            </w:r>
            <w:proofErr w:type="spellEnd"/>
            <w:r>
              <w:rPr>
                <w:sz w:val="20"/>
                <w:szCs w:val="20"/>
              </w:rPr>
              <w:t xml:space="preserve"> = (</w:t>
            </w:r>
            <w:proofErr w:type="spellStart"/>
            <w:r>
              <w:rPr>
                <w:sz w:val="20"/>
                <w:szCs w:val="20"/>
              </w:rPr>
              <w:t>CO₂e</w:t>
            </w:r>
            <w:proofErr w:type="spellEnd"/>
            <w:r>
              <w:rPr>
                <w:sz w:val="20"/>
                <w:szCs w:val="20"/>
              </w:rPr>
              <w:t xml:space="preserve"> × </w:t>
            </w:r>
            <w:proofErr w:type="spellStart"/>
            <w:r>
              <w:rPr>
                <w:sz w:val="20"/>
                <w:szCs w:val="20"/>
              </w:rPr>
              <w:t>combustion_share</w:t>
            </w:r>
            <w:proofErr w:type="spellEnd"/>
            <w:r>
              <w:rPr>
                <w:sz w:val="20"/>
                <w:szCs w:val="20"/>
              </w:rPr>
              <w:t xml:space="preserve">) / </w:t>
            </w:r>
            <w:proofErr w:type="spellStart"/>
            <w:r>
              <w:rPr>
                <w:sz w:val="20"/>
                <w:szCs w:val="20"/>
              </w:rPr>
              <w:t>emissions_factor</w:t>
            </w:r>
            <w:proofErr w:type="spellEnd"/>
          </w:p>
          <w:p w14:paraId="55733409" w14:textId="77777777" w:rsidR="00847F5A" w:rsidRDefault="00000000">
            <w:pPr>
              <w:spacing w:after="60"/>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η_boiler</w:t>
            </w:r>
            <w:proofErr w:type="spellEnd"/>
          </w:p>
        </w:tc>
      </w:tr>
      <w:tr w:rsidR="00847F5A" w14:paraId="73D2A5EE" w14:textId="77777777">
        <w:tc>
          <w:tcPr>
            <w:tcW w:w="2600" w:type="dxa"/>
            <w:tcMar>
              <w:top w:w="80" w:type="dxa"/>
              <w:left w:w="100" w:type="dxa"/>
              <w:bottom w:w="80" w:type="dxa"/>
              <w:right w:w="100" w:type="dxa"/>
            </w:tcMar>
          </w:tcPr>
          <w:p w14:paraId="7CE5505B" w14:textId="77777777" w:rsidR="00847F5A" w:rsidRDefault="00000000">
            <w:pPr>
              <w:spacing w:after="60"/>
            </w:pPr>
            <w:r>
              <w:rPr>
                <w:sz w:val="20"/>
                <w:szCs w:val="20"/>
              </w:rPr>
              <w:t>Replaceable heat</w:t>
            </w:r>
          </w:p>
        </w:tc>
        <w:tc>
          <w:tcPr>
            <w:tcW w:w="6760" w:type="dxa"/>
            <w:tcMar>
              <w:top w:w="80" w:type="dxa"/>
              <w:left w:w="100" w:type="dxa"/>
              <w:bottom w:w="80" w:type="dxa"/>
              <w:right w:w="100" w:type="dxa"/>
            </w:tcMar>
          </w:tcPr>
          <w:p w14:paraId="0448B19E" w14:textId="77777777" w:rsidR="00847F5A" w:rsidRDefault="00000000">
            <w:pPr>
              <w:spacing w:after="60"/>
            </w:pPr>
            <w:proofErr w:type="spellStart"/>
            <w:r>
              <w:rPr>
                <w:sz w:val="20"/>
                <w:szCs w:val="20"/>
              </w:rPr>
              <w:t>replaceable_heat</w:t>
            </w:r>
            <w:proofErr w:type="spellEnd"/>
            <w:r>
              <w:rPr>
                <w:sz w:val="20"/>
                <w:szCs w:val="20"/>
              </w:rPr>
              <w:t xml:space="preserve"> = </w:t>
            </w:r>
            <w:proofErr w:type="spellStart"/>
            <w:r>
              <w:rPr>
                <w:sz w:val="20"/>
                <w:szCs w:val="20"/>
              </w:rPr>
              <w:t>useful_heat</w:t>
            </w:r>
            <w:proofErr w:type="spellEnd"/>
            <w:r>
              <w:rPr>
                <w:sz w:val="20"/>
                <w:szCs w:val="20"/>
              </w:rPr>
              <w:t xml:space="preserve"> × </w:t>
            </w:r>
            <w:proofErr w:type="spellStart"/>
            <w:r>
              <w:rPr>
                <w:sz w:val="20"/>
                <w:szCs w:val="20"/>
              </w:rPr>
              <w:t>fossil_share</w:t>
            </w:r>
            <w:proofErr w:type="spellEnd"/>
          </w:p>
        </w:tc>
      </w:tr>
    </w:tbl>
    <w:p w14:paraId="733489C1" w14:textId="77777777" w:rsidR="00847F5A" w:rsidRDefault="00000000">
      <w:pPr>
        <w:spacing w:after="300"/>
      </w:pPr>
      <w:r>
        <w:rPr>
          <w:b/>
          <w:bCs/>
          <w:sz w:val="20"/>
          <w:szCs w:val="20"/>
        </w:rPr>
        <w:t xml:space="preserve">Table 1 | </w:t>
      </w:r>
      <w:r>
        <w:rPr>
          <w:sz w:val="20"/>
          <w:szCs w:val="20"/>
        </w:rPr>
        <w:t>Heat-demand calculation routes.</w:t>
      </w:r>
    </w:p>
    <w:p w14:paraId="41959957" w14:textId="77777777" w:rsidR="00847F5A" w:rsidRDefault="00000000">
      <w:pPr>
        <w:pStyle w:val="Heading3"/>
      </w:pPr>
      <w:r>
        <w:t>SEC heat estimates</w:t>
      </w:r>
    </w:p>
    <w:p w14:paraId="23286B8F" w14:textId="7CB3FB28" w:rsidR="00847F5A" w:rsidRDefault="00000000">
      <w:pPr>
        <w:spacing w:after="200" w:line="480" w:lineRule="auto"/>
        <w:jc w:val="both"/>
      </w:pPr>
      <w:r>
        <w:t xml:space="preserve">For sectors with per-facility production totals, we apply sector SEC values to obtain useful heat, then apply the fossil share to the SEC-derived value to obtain replaceable heat. Heat-intensity values </w:t>
      </w:r>
      <w:r w:rsidR="00E11A06">
        <w:t xml:space="preserve">(SEC) </w:t>
      </w:r>
      <w:r>
        <w:t>are taken from Fraunhofer</w:t>
      </w:r>
      <w:r w:rsidR="00DA096E">
        <w:t xml:space="preserve"> </w:t>
      </w:r>
      <w:r w:rsidR="00C25CA7">
        <w:fldChar w:fldCharType="begin"/>
      </w:r>
      <w:r w:rsidR="00C17FC2">
        <w:instrText xml:space="preserve"> ADDIN ZOTERO_ITEM CSL_CITATION {"citationID":"rggrSaj5","properties":{"formattedCitation":"(S. Pezzutto et al. 2018)","plainCitation":"(S. Pezzutto et al. 2018)","noteIndex":0},"citationItems":[{"id":352,"uris":["http://zotero.org/users/20280584/items/CHB3AU7Z"],"itemData":{"id":352,"type":"report","citation-key":"pezzutto2018hotmaps","publisher":"EURAC, e-think, TUW, Fraunhofer ISI","title":"Hotmaps project, D2.3 WP2 report – open data set for the EU28","URL":"https://www.hotmaps-project.eu/wp-content/uploads/2018/03/D2.3-Hotmaps_for-upload_revised-final_.pdf","author":[{"family":"Pezzutto","given":"Simon"},{"family":"Zambotti","given":"Stefano"},{"family":"Croce","given":"Silvia"},{"family":"Zambelli","given":"Pietro"},{"family":"Garegnani","given":"Giulia"},{"family":"Scaramuzzino","given":"Chiara"},{"family":"Pascuas","given":"Ramón Pascual"},{"family":"Zubaryeva","given":"Alyona"},{"family":"Haas","given":"Franziska"},{"family":"Exner","given":"Dagmar"},{"family":"Müller","given":"Andreas"},{"family":"Hartner","given":"Michael"},{"family":"Fleiter","given":"Tobias"},{"family":"Klingler","given":"Anna-Lena"},{"family":"Kühnbach","given":"Matthias"},{"family":"Manz","given":"Pia"},{"family":"Marwitz","given":"Simon"},{"family":"Rehfeldt","given":"Matthias"},{"family":"Steinbach","given":"Jan"},{"family":"Popovski","given":"Eftim"}],"issued":{"date-parts":[["2018"]]}}}],"schema":"https://github.com/citation-style-language/schema/raw/master/csl-citation.json"} </w:instrText>
      </w:r>
      <w:r w:rsidR="00C25CA7">
        <w:fldChar w:fldCharType="separate"/>
      </w:r>
      <w:r w:rsidR="00C17FC2">
        <w:rPr>
          <w:noProof/>
        </w:rPr>
        <w:t>(S. Pezzutto et al. 2018)</w:t>
      </w:r>
      <w:r w:rsidR="00C25CA7">
        <w:fldChar w:fldCharType="end"/>
      </w:r>
      <w:r w:rsidR="00C25CA7">
        <w:t xml:space="preserve"> </w:t>
      </w:r>
      <w:r>
        <w:t>and process efficiencies from multiple literature sources (Supplementary Methods, Table S1).</w:t>
      </w:r>
      <w:r w:rsidR="00E11A06">
        <w:t xml:space="preserve"> SEC values are based on literature </w:t>
      </w:r>
      <w:r w:rsidR="00E11A06">
        <w:lastRenderedPageBreak/>
        <w:t xml:space="preserve">values and tested against energy balances. </w:t>
      </w:r>
      <w:r w:rsidR="001B04F7">
        <w:t>The values are distinguished by processes not by countries.</w:t>
      </w:r>
      <w:r w:rsidR="002A2422">
        <w:t xml:space="preserve"> There is no substantial evidence that there are country differences in </w:t>
      </w:r>
      <w:r w:rsidR="00C17FC2">
        <w:t>S</w:t>
      </w:r>
      <w:r w:rsidR="002A2422">
        <w:t>EC and many companies often use similar technologies across different countries</w:t>
      </w:r>
      <w:r w:rsidR="00C17FC2">
        <w:fldChar w:fldCharType="begin"/>
      </w:r>
      <w:r w:rsidR="00C17FC2">
        <w:instrText xml:space="preserve"> ADDIN ZOTERO_ITEM CSL_CITATION {"citationID":"9HxNJYUp","properties":{"formattedCitation":"(S. Pezzutto et al. 2018)","plainCitation":"(S. Pezzutto et al. 2018)","noteIndex":0},"citationItems":[{"id":352,"uris":["http://zotero.org/users/20280584/items/CHB3AU7Z"],"itemData":{"id":352,"type":"report","citation-key":"pezzutto2018hotmaps","publisher":"EURAC, e-think, TUW, Fraunhofer ISI","title":"Hotmaps project, D2.3 WP2 report – open data set for the EU28","URL":"https://www.hotmaps-project.eu/wp-content/uploads/2018/03/D2.3-Hotmaps_for-upload_revised-final_.pdf","author":[{"family":"Pezzutto","given":"Simon"},{"family":"Zambotti","given":"Stefano"},{"family":"Croce","given":"Silvia"},{"family":"Zambelli","given":"Pietro"},{"family":"Garegnani","given":"Giulia"},{"family":"Scaramuzzino","given":"Chiara"},{"family":"Pascuas","given":"Ramón Pascual"},{"family":"Zubaryeva","given":"Alyona"},{"family":"Haas","given":"Franziska"},{"family":"Exner","given":"Dagmar"},{"family":"Müller","given":"Andreas"},{"family":"Hartner","given":"Michael"},{"family":"Fleiter","given":"Tobias"},{"family":"Klingler","given":"Anna-Lena"},{"family":"Kühnbach","given":"Matthias"},{"family":"Manz","given":"Pia"},{"family":"Marwitz","given":"Simon"},{"family":"Rehfeldt","given":"Matthias"},{"family":"Steinbach","given":"Jan"},{"family":"Popovski","given":"Eftim"}],"issued":{"date-parts":[["2018"]]}}}],"schema":"https://github.com/citation-style-language/schema/raw/master/csl-citation.json"} </w:instrText>
      </w:r>
      <w:r w:rsidR="00C17FC2">
        <w:fldChar w:fldCharType="separate"/>
      </w:r>
      <w:r w:rsidR="00C17FC2">
        <w:rPr>
          <w:noProof/>
        </w:rPr>
        <w:t>(S. Pezzutto et al. 2018)</w:t>
      </w:r>
      <w:r w:rsidR="00C17FC2">
        <w:fldChar w:fldCharType="end"/>
      </w:r>
      <w:r w:rsidR="002A2422">
        <w:t xml:space="preserve">. </w:t>
      </w:r>
      <w:r w:rsidR="001B04F7">
        <w:t xml:space="preserve"> </w:t>
      </w:r>
    </w:p>
    <w:p w14:paraId="60B31554" w14:textId="77777777" w:rsidR="00847F5A" w:rsidRDefault="00000000">
      <w:pPr>
        <w:pStyle w:val="Heading3"/>
      </w:pPr>
      <w:r>
        <w:t>Emissions heat estimates</w:t>
      </w:r>
    </w:p>
    <w:p w14:paraId="51462330" w14:textId="2F3A1127" w:rsidR="00847F5A" w:rsidRDefault="00DA096E">
      <w:pPr>
        <w:spacing w:after="200" w:line="480" w:lineRule="auto"/>
        <w:jc w:val="both"/>
      </w:pPr>
      <w:r>
        <w:t xml:space="preserve">The food and textiles sector lack per-facility production data and require </w:t>
      </w:r>
      <w:r w:rsidR="00CF608C">
        <w:t>calculating process heat demand through emissions total</w:t>
      </w:r>
      <w:r>
        <w:t>. In both, combustion emissions account for essentially all reported CO2 (unlike, e.g., cement, where limestone calcination also contributes); we assume a 90%/10% gas/oil fuel blend (EU-reported average) to convert emissions to fuel energy in TJ, then apply a boiler efficiency to obtain useful heat.</w:t>
      </w:r>
    </w:p>
    <w:p w14:paraId="0AC0C2F4" w14:textId="0C54CB9A" w:rsidR="00847F5A" w:rsidRDefault="00000000">
      <w:pPr>
        <w:spacing w:after="200" w:line="480" w:lineRule="auto"/>
        <w:jc w:val="both"/>
      </w:pPr>
      <w:r>
        <w:t>Climate TRACE flags high uncertainty in its modelled emissions. Comparing estimated energy need by country against JRC data</w:t>
      </w:r>
      <w:r>
        <w:rPr>
          <w:vertAlign w:val="superscript"/>
        </w:rPr>
        <w:t>1</w:t>
      </w:r>
      <w:r>
        <w:t xml:space="preserve"> shows some countries overstated by up to 18× (Portugal) and others understated to 0.4× (Finland); we rescale emissions per country using the ratio of Climate TRACE to JRC totals. Because the food sector is fitted to this reference, it cannot be independently validated by the comparison in ‘Validation of the bottom-up estimate’ below — the rescaling only sets the within-country allocation, and the sector-wide estimate still relies on emissions data. The textile sector is not rescaled, since it already falls within a reasonable range of the reference, but it remains </w:t>
      </w:r>
      <w:proofErr w:type="gramStart"/>
      <w:r>
        <w:t>emissions-derived</w:t>
      </w:r>
      <w:proofErr w:type="gramEnd"/>
      <w:r>
        <w:t xml:space="preserve">. The heat demand sensitivity analysis builds in the uncertainty of the heat estimates and provide an informed potential range for LCOH.  </w:t>
      </w:r>
    </w:p>
    <w:p w14:paraId="2003CE4E" w14:textId="77777777" w:rsidR="00847F5A" w:rsidRDefault="00000000">
      <w:pPr>
        <w:pStyle w:val="Heading3"/>
      </w:pPr>
      <w:r>
        <w:t>Fossil share to replaceable heat</w:t>
      </w:r>
    </w:p>
    <w:p w14:paraId="4D0E3AA3" w14:textId="77777777" w:rsidR="00847F5A" w:rsidRDefault="00000000">
      <w:pPr>
        <w:spacing w:after="200" w:line="480" w:lineRule="auto"/>
        <w:jc w:val="both"/>
      </w:pPr>
      <w:r>
        <w:t>Fossil shares are taken from Eurostat, matching NACE activity codes to Climate TRACE sector categories</w:t>
      </w:r>
      <w:r>
        <w:rPr>
          <w:vertAlign w:val="superscript"/>
        </w:rPr>
        <w:t>3</w:t>
      </w:r>
      <w:r>
        <w:t>. Electricity and derived heat are excluded, since useful heat here is combustion-derived, and biomass is excluded because an IHB cannot displace fuel that is burned as an unavoidable part of a process’s chemical feedstock (e.g., black liquor in pulp and paper):</w:t>
      </w:r>
    </w:p>
    <w:p w14:paraId="35EC50D0" w14:textId="77777777" w:rsidR="00847F5A" w:rsidRDefault="00000000">
      <w:pPr>
        <w:spacing w:before="120" w:after="200"/>
        <w:jc w:val="center"/>
      </w:pPr>
      <w:proofErr w:type="spellStart"/>
      <w:r>
        <w:rPr>
          <w:rFonts w:ascii="Cambria Math" w:eastAsia="Cambria Math" w:hAnsi="Cambria Math" w:cs="Cambria Math"/>
          <w:i/>
          <w:iCs/>
        </w:rPr>
        <w:lastRenderedPageBreak/>
        <w:t>fossil_share</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fossil_fuel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fossil_fuel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biomass_fuel</w:t>
      </w:r>
      <w:proofErr w:type="spellEnd"/>
      <w:r>
        <w:rPr>
          <w:rFonts w:ascii="Cambria Math" w:eastAsia="Cambria Math" w:hAnsi="Cambria Math" w:cs="Cambria Math"/>
          <w:i/>
          <w:iCs/>
        </w:rPr>
        <w:t>)</w:t>
      </w:r>
    </w:p>
    <w:p w14:paraId="45E50DFC" w14:textId="14712529" w:rsidR="00847F5A" w:rsidRDefault="00000000">
      <w:pPr>
        <w:spacing w:after="200" w:line="480" w:lineRule="auto"/>
        <w:jc w:val="both"/>
      </w:pPr>
      <w:r>
        <w:t xml:space="preserve">Restricting the analysis to the fossil share gives a more realistic accounting of the share of heat generation an IHB can </w:t>
      </w:r>
      <w:proofErr w:type="gramStart"/>
      <w:r>
        <w:t>actually displace</w:t>
      </w:r>
      <w:proofErr w:type="gramEnd"/>
      <w:r>
        <w:t>.</w:t>
      </w:r>
    </w:p>
    <w:p w14:paraId="7F564EE4" w14:textId="77777777" w:rsidR="00847F5A" w:rsidRDefault="00000000">
      <w:pPr>
        <w:pStyle w:val="Heading3"/>
      </w:pPr>
      <w:r>
        <w:t>Heat estimate range</w:t>
      </w:r>
    </w:p>
    <w:p w14:paraId="16048B7B" w14:textId="4767B757" w:rsidR="00B90607" w:rsidRDefault="00FE4079">
      <w:pPr>
        <w:spacing w:after="200" w:line="480" w:lineRule="auto"/>
        <w:jc w:val="both"/>
      </w:pPr>
      <w:r>
        <w:t xml:space="preserve">Heat estimates for each sector uses sector wide production and emissions factors. Due to the range of heat estimation, there is uncertainty baked into the heat demand used in the LCOH calculations. To counter that uncertainty, we tested different heat estimate ranges, adjusting for upper and lower limits of SEC or emission factors or efficiencies. </w:t>
      </w:r>
    </w:p>
    <w:p w14:paraId="202F48A8" w14:textId="77777777" w:rsidR="005F60BE" w:rsidRDefault="002B606D">
      <w:pPr>
        <w:spacing w:after="200" w:line="480" w:lineRule="auto"/>
        <w:jc w:val="both"/>
      </w:pPr>
      <w:proofErr w:type="spellStart"/>
      <w:r>
        <w:t>heat_low</w:t>
      </w:r>
      <w:proofErr w:type="spellEnd"/>
      <w:r>
        <w:t xml:space="preserve"> = base × </w:t>
      </w:r>
      <w:proofErr w:type="spellStart"/>
      <w:r>
        <w:t>low_factor</w:t>
      </w:r>
      <w:proofErr w:type="spellEnd"/>
    </w:p>
    <w:p w14:paraId="1BA06D30" w14:textId="34B85F5D" w:rsidR="002B606D" w:rsidRDefault="002B606D">
      <w:pPr>
        <w:spacing w:after="200" w:line="480" w:lineRule="auto"/>
        <w:jc w:val="both"/>
      </w:pPr>
      <w:proofErr w:type="spellStart"/>
      <w:r>
        <w:t>heat_high</w:t>
      </w:r>
      <w:proofErr w:type="spellEnd"/>
      <w:r>
        <w:t xml:space="preserve"> = base × </w:t>
      </w:r>
      <w:proofErr w:type="spellStart"/>
      <w:r>
        <w:t>high_factor</w:t>
      </w:r>
      <w:proofErr w:type="spellEnd"/>
    </w:p>
    <w:p w14:paraId="2D1D7292" w14:textId="1EAADB01" w:rsidR="00847F5A" w:rsidRDefault="00000000">
      <w:pPr>
        <w:spacing w:after="200" w:line="480" w:lineRule="auto"/>
        <w:jc w:val="both"/>
      </w:pPr>
      <w:r>
        <w:t>Upper and lower heat-estimate bounds, used in the sensitivity analysis (Results), differ by sector for the reasons in Table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333"/>
        <w:gridCol w:w="544"/>
        <w:gridCol w:w="597"/>
        <w:gridCol w:w="3425"/>
      </w:tblGrid>
      <w:tr w:rsidR="00EE5DD7" w14:paraId="7DAB15F6" w14:textId="77777777">
        <w:trPr>
          <w:tblCellSpacing w:w="15" w:type="dxa"/>
        </w:trPr>
        <w:tc>
          <w:tcPr>
            <w:tcW w:w="0" w:type="auto"/>
            <w:vAlign w:val="center"/>
            <w:hideMark/>
          </w:tcPr>
          <w:p w14:paraId="59C0E5E2" w14:textId="77777777" w:rsidR="00EE5DD7" w:rsidRDefault="00EE5DD7">
            <w:pPr>
              <w:pStyle w:val="NormalWeb"/>
              <w:jc w:val="center"/>
              <w:rPr>
                <w:b/>
                <w:bCs/>
              </w:rPr>
            </w:pPr>
            <w:r>
              <w:rPr>
                <w:b/>
                <w:bCs/>
              </w:rPr>
              <w:t>Sector</w:t>
            </w:r>
          </w:p>
        </w:tc>
        <w:tc>
          <w:tcPr>
            <w:tcW w:w="0" w:type="auto"/>
            <w:vAlign w:val="center"/>
            <w:hideMark/>
          </w:tcPr>
          <w:p w14:paraId="583FFB86" w14:textId="77777777" w:rsidR="00EE5DD7" w:rsidRDefault="00EE5DD7">
            <w:pPr>
              <w:pStyle w:val="NormalWeb"/>
              <w:jc w:val="center"/>
              <w:rPr>
                <w:b/>
                <w:bCs/>
              </w:rPr>
            </w:pPr>
            <w:r>
              <w:rPr>
                <w:b/>
                <w:bCs/>
              </w:rPr>
              <w:t>Base calculation</w:t>
            </w:r>
          </w:p>
        </w:tc>
        <w:tc>
          <w:tcPr>
            <w:tcW w:w="0" w:type="auto"/>
            <w:vAlign w:val="center"/>
            <w:hideMark/>
          </w:tcPr>
          <w:p w14:paraId="29A11727" w14:textId="77777777" w:rsidR="00EE5DD7" w:rsidRDefault="00EE5DD7">
            <w:pPr>
              <w:pStyle w:val="NormalWeb"/>
              <w:jc w:val="center"/>
              <w:rPr>
                <w:b/>
                <w:bCs/>
              </w:rPr>
            </w:pPr>
            <w:r>
              <w:rPr>
                <w:b/>
                <w:bCs/>
              </w:rPr>
              <w:t>Low ×</w:t>
            </w:r>
          </w:p>
        </w:tc>
        <w:tc>
          <w:tcPr>
            <w:tcW w:w="0" w:type="auto"/>
            <w:vAlign w:val="center"/>
            <w:hideMark/>
          </w:tcPr>
          <w:p w14:paraId="2401F3FC" w14:textId="77777777" w:rsidR="00EE5DD7" w:rsidRDefault="00EE5DD7">
            <w:pPr>
              <w:pStyle w:val="NormalWeb"/>
              <w:jc w:val="center"/>
              <w:rPr>
                <w:b/>
                <w:bCs/>
              </w:rPr>
            </w:pPr>
            <w:r>
              <w:rPr>
                <w:b/>
                <w:bCs/>
              </w:rPr>
              <w:t>High ×</w:t>
            </w:r>
          </w:p>
        </w:tc>
        <w:tc>
          <w:tcPr>
            <w:tcW w:w="0" w:type="auto"/>
            <w:vAlign w:val="center"/>
            <w:hideMark/>
          </w:tcPr>
          <w:p w14:paraId="79F9C297" w14:textId="77777777" w:rsidR="00EE5DD7" w:rsidRDefault="00EE5DD7">
            <w:pPr>
              <w:pStyle w:val="NormalWeb"/>
              <w:jc w:val="center"/>
              <w:rPr>
                <w:b/>
                <w:bCs/>
              </w:rPr>
            </w:pPr>
            <w:r>
              <w:rPr>
                <w:b/>
                <w:bCs/>
              </w:rPr>
              <w:t>Logic</w:t>
            </w:r>
          </w:p>
        </w:tc>
      </w:tr>
      <w:tr w:rsidR="00EE5DD7" w14:paraId="17D3EC7C" w14:textId="77777777">
        <w:trPr>
          <w:tblCellSpacing w:w="15" w:type="dxa"/>
        </w:trPr>
        <w:tc>
          <w:tcPr>
            <w:tcW w:w="0" w:type="auto"/>
            <w:vAlign w:val="center"/>
            <w:hideMark/>
          </w:tcPr>
          <w:p w14:paraId="277668FE" w14:textId="77777777" w:rsidR="00EE5DD7" w:rsidRDefault="00EE5DD7">
            <w:pPr>
              <w:pStyle w:val="NormalWeb"/>
            </w:pPr>
            <w:r>
              <w:rPr>
                <w:rStyle w:val="Strong"/>
              </w:rPr>
              <w:t>Cement</w:t>
            </w:r>
          </w:p>
        </w:tc>
        <w:tc>
          <w:tcPr>
            <w:tcW w:w="0" w:type="auto"/>
            <w:vAlign w:val="center"/>
            <w:hideMark/>
          </w:tcPr>
          <w:p w14:paraId="04A69E09" w14:textId="77777777" w:rsidR="00EE5DD7" w:rsidRDefault="00EE5DD7">
            <w:pPr>
              <w:pStyle w:val="NormalWeb"/>
            </w:pPr>
            <w:r>
              <w:t xml:space="preserve">production × </w:t>
            </w:r>
            <w:r>
              <w:rPr>
                <w:rStyle w:val="Strong"/>
              </w:rPr>
              <w:t>2.8 GJ/t</w:t>
            </w:r>
            <w:r>
              <w:t xml:space="preserve"> × </w:t>
            </w:r>
            <w:r>
              <w:rPr>
                <w:rStyle w:val="Strong"/>
              </w:rPr>
              <w:t>η 0.60</w:t>
            </w:r>
            <w:r>
              <w:t xml:space="preserve"> × fossil share (SEC ≈ 3.5 GJ/t clinker × 0.77 clinker/cement; η = </w:t>
            </w:r>
            <w:proofErr w:type="spellStart"/>
            <w:r>
              <w:t>Madlool</w:t>
            </w:r>
            <w:proofErr w:type="spellEnd"/>
            <w:r>
              <w:t xml:space="preserve"> kiln first-law, top of 50–60%)</w:t>
            </w:r>
          </w:p>
        </w:tc>
        <w:tc>
          <w:tcPr>
            <w:tcW w:w="0" w:type="auto"/>
            <w:vAlign w:val="center"/>
            <w:hideMark/>
          </w:tcPr>
          <w:p w14:paraId="070976DF" w14:textId="77777777" w:rsidR="00EE5DD7" w:rsidRDefault="00EE5DD7">
            <w:pPr>
              <w:pStyle w:val="NormalWeb"/>
            </w:pPr>
            <w:r>
              <w:rPr>
                <w:rStyle w:val="Strong"/>
              </w:rPr>
              <w:t>0.85</w:t>
            </w:r>
          </w:p>
        </w:tc>
        <w:tc>
          <w:tcPr>
            <w:tcW w:w="0" w:type="auto"/>
            <w:vAlign w:val="center"/>
            <w:hideMark/>
          </w:tcPr>
          <w:p w14:paraId="1121F3F3" w14:textId="77777777" w:rsidR="00EE5DD7" w:rsidRDefault="00EE5DD7">
            <w:pPr>
              <w:pStyle w:val="NormalWeb"/>
            </w:pPr>
            <w:r>
              <w:rPr>
                <w:rStyle w:val="Strong"/>
              </w:rPr>
              <w:t>1.60</w:t>
            </w:r>
          </w:p>
        </w:tc>
        <w:tc>
          <w:tcPr>
            <w:tcW w:w="0" w:type="auto"/>
            <w:vAlign w:val="center"/>
            <w:hideMark/>
          </w:tcPr>
          <w:p w14:paraId="4E8D5F06" w14:textId="77777777" w:rsidR="005F0BF1" w:rsidRDefault="00EE5DD7">
            <w:pPr>
              <w:pStyle w:val="NormalWeb"/>
            </w:pPr>
            <w:r>
              <w:t xml:space="preserve">Low: η = 0.50 instead of 0.60 → 0.50/0.60 ≈ 0.85 (same SEC). </w:t>
            </w:r>
          </w:p>
          <w:p w14:paraId="5E9867D3" w14:textId="4CFADA16" w:rsidR="00EE5DD7" w:rsidRDefault="00EE5DD7">
            <w:pPr>
              <w:pStyle w:val="NormalWeb"/>
            </w:pPr>
            <w:r>
              <w:t xml:space="preserve">High: METHODS ≈ 65 TWh vs </w:t>
            </w:r>
            <w:proofErr w:type="spellStart"/>
            <w:r>
              <w:t>Hotmaps</w:t>
            </w:r>
            <w:proofErr w:type="spellEnd"/>
            <w:r>
              <w:t xml:space="preserve">/benchmark ≈ 104 TWh → ratio </w:t>
            </w:r>
            <w:r>
              <w:rPr>
                <w:rStyle w:val="Strong"/>
              </w:rPr>
              <w:t>1.60</w:t>
            </w:r>
            <w:r>
              <w:t>.</w:t>
            </w:r>
          </w:p>
        </w:tc>
      </w:tr>
      <w:tr w:rsidR="00EE5DD7" w14:paraId="728AB215" w14:textId="77777777">
        <w:trPr>
          <w:tblCellSpacing w:w="15" w:type="dxa"/>
        </w:trPr>
        <w:tc>
          <w:tcPr>
            <w:tcW w:w="0" w:type="auto"/>
            <w:vAlign w:val="center"/>
            <w:hideMark/>
          </w:tcPr>
          <w:p w14:paraId="38241AED" w14:textId="77777777" w:rsidR="00EE5DD7" w:rsidRDefault="00EE5DD7">
            <w:pPr>
              <w:pStyle w:val="NormalWeb"/>
            </w:pPr>
            <w:r>
              <w:rPr>
                <w:rStyle w:val="Strong"/>
              </w:rPr>
              <w:t>Lime</w:t>
            </w:r>
          </w:p>
        </w:tc>
        <w:tc>
          <w:tcPr>
            <w:tcW w:w="0" w:type="auto"/>
            <w:vAlign w:val="center"/>
            <w:hideMark/>
          </w:tcPr>
          <w:p w14:paraId="5C29D3AF" w14:textId="77777777" w:rsidR="00EE5DD7" w:rsidRDefault="00EE5DD7">
            <w:pPr>
              <w:pStyle w:val="NormalWeb"/>
            </w:pPr>
            <w:r>
              <w:t xml:space="preserve">production × </w:t>
            </w:r>
            <w:r>
              <w:rPr>
                <w:rStyle w:val="Strong"/>
              </w:rPr>
              <w:t>4.5 GJ/t</w:t>
            </w:r>
            <w:r>
              <w:t xml:space="preserve"> × </w:t>
            </w:r>
            <w:r>
              <w:rPr>
                <w:rStyle w:val="Strong"/>
              </w:rPr>
              <w:t>η 0.65</w:t>
            </w:r>
            <w:r>
              <w:t xml:space="preserve"> × fossil share (EU average SEC; η = shaft ~0.80 / rotary ~0.55 mix)</w:t>
            </w:r>
          </w:p>
        </w:tc>
        <w:tc>
          <w:tcPr>
            <w:tcW w:w="0" w:type="auto"/>
            <w:vAlign w:val="center"/>
            <w:hideMark/>
          </w:tcPr>
          <w:p w14:paraId="4BAAB565" w14:textId="77777777" w:rsidR="00EE5DD7" w:rsidRDefault="00EE5DD7">
            <w:pPr>
              <w:pStyle w:val="NormalWeb"/>
            </w:pPr>
            <w:r>
              <w:rPr>
                <w:rStyle w:val="Strong"/>
              </w:rPr>
              <w:t>0.80</w:t>
            </w:r>
          </w:p>
        </w:tc>
        <w:tc>
          <w:tcPr>
            <w:tcW w:w="0" w:type="auto"/>
            <w:vAlign w:val="center"/>
            <w:hideMark/>
          </w:tcPr>
          <w:p w14:paraId="6EFDAED8" w14:textId="77777777" w:rsidR="00EE5DD7" w:rsidRDefault="00EE5DD7">
            <w:pPr>
              <w:pStyle w:val="NormalWeb"/>
            </w:pPr>
            <w:r>
              <w:rPr>
                <w:rStyle w:val="Strong"/>
              </w:rPr>
              <w:t>1.50</w:t>
            </w:r>
          </w:p>
        </w:tc>
        <w:tc>
          <w:tcPr>
            <w:tcW w:w="0" w:type="auto"/>
            <w:vAlign w:val="center"/>
            <w:hideMark/>
          </w:tcPr>
          <w:p w14:paraId="1529756E" w14:textId="77777777" w:rsidR="00EE5DD7" w:rsidRDefault="00EE5DD7">
            <w:pPr>
              <w:pStyle w:val="NormalWeb"/>
            </w:pPr>
            <w:r>
              <w:t>Span published SEC 3.6–7.5 GJ/t (</w:t>
            </w:r>
            <w:proofErr w:type="spellStart"/>
            <w:r>
              <w:t>EuLA</w:t>
            </w:r>
            <w:proofErr w:type="spellEnd"/>
            <w:r>
              <w:t>/BREF) and kiln-type η (≈ −20% to +50% around base).</w:t>
            </w:r>
          </w:p>
        </w:tc>
      </w:tr>
      <w:tr w:rsidR="00EE5DD7" w14:paraId="08B1C696" w14:textId="77777777">
        <w:trPr>
          <w:tblCellSpacing w:w="15" w:type="dxa"/>
        </w:trPr>
        <w:tc>
          <w:tcPr>
            <w:tcW w:w="0" w:type="auto"/>
            <w:vAlign w:val="center"/>
            <w:hideMark/>
          </w:tcPr>
          <w:p w14:paraId="4DDEC783" w14:textId="77777777" w:rsidR="00EE5DD7" w:rsidRDefault="00EE5DD7">
            <w:pPr>
              <w:pStyle w:val="NormalWeb"/>
            </w:pPr>
            <w:r>
              <w:rPr>
                <w:rStyle w:val="Strong"/>
              </w:rPr>
              <w:t>Glass</w:t>
            </w:r>
          </w:p>
        </w:tc>
        <w:tc>
          <w:tcPr>
            <w:tcW w:w="0" w:type="auto"/>
            <w:vAlign w:val="center"/>
            <w:hideMark/>
          </w:tcPr>
          <w:p w14:paraId="7698DE67" w14:textId="77777777" w:rsidR="00EE5DD7" w:rsidRDefault="00EE5DD7">
            <w:pPr>
              <w:pStyle w:val="NormalWeb"/>
            </w:pPr>
            <w:r>
              <w:t xml:space="preserve">production × </w:t>
            </w:r>
            <w:r>
              <w:rPr>
                <w:rStyle w:val="Strong"/>
              </w:rPr>
              <w:t>6.5 GJ/t</w:t>
            </w:r>
            <w:r>
              <w:t xml:space="preserve"> × </w:t>
            </w:r>
            <w:r>
              <w:rPr>
                <w:rStyle w:val="Strong"/>
              </w:rPr>
              <w:t>η 0.45</w:t>
            </w:r>
            <w:r>
              <w:t xml:space="preserve"> × fossil share (EU melting + working; furnace η mid of 40–50%)</w:t>
            </w:r>
          </w:p>
        </w:tc>
        <w:tc>
          <w:tcPr>
            <w:tcW w:w="0" w:type="auto"/>
            <w:vAlign w:val="center"/>
            <w:hideMark/>
          </w:tcPr>
          <w:p w14:paraId="6199123F" w14:textId="77777777" w:rsidR="00EE5DD7" w:rsidRDefault="00EE5DD7">
            <w:pPr>
              <w:pStyle w:val="NormalWeb"/>
            </w:pPr>
            <w:r>
              <w:rPr>
                <w:rStyle w:val="Strong"/>
              </w:rPr>
              <w:t>0.85</w:t>
            </w:r>
          </w:p>
        </w:tc>
        <w:tc>
          <w:tcPr>
            <w:tcW w:w="0" w:type="auto"/>
            <w:vAlign w:val="center"/>
            <w:hideMark/>
          </w:tcPr>
          <w:p w14:paraId="485DEC41" w14:textId="77777777" w:rsidR="00EE5DD7" w:rsidRDefault="00EE5DD7">
            <w:pPr>
              <w:pStyle w:val="NormalWeb"/>
            </w:pPr>
            <w:r>
              <w:rPr>
                <w:rStyle w:val="Strong"/>
              </w:rPr>
              <w:t>2.00</w:t>
            </w:r>
          </w:p>
        </w:tc>
        <w:tc>
          <w:tcPr>
            <w:tcW w:w="0" w:type="auto"/>
            <w:vAlign w:val="center"/>
            <w:hideMark/>
          </w:tcPr>
          <w:p w14:paraId="4C2A0090" w14:textId="77777777" w:rsidR="004E26C0" w:rsidRDefault="00EE5DD7">
            <w:pPr>
              <w:pStyle w:val="NormalWeb"/>
            </w:pPr>
            <w:r>
              <w:t xml:space="preserve">Low: η toward high-efficiency end of 40–50%. </w:t>
            </w:r>
          </w:p>
          <w:p w14:paraId="563D4CA2" w14:textId="2EECC40D" w:rsidR="00EE5DD7" w:rsidRDefault="00EE5DD7">
            <w:pPr>
              <w:pStyle w:val="NormalWeb"/>
            </w:pPr>
            <w:r>
              <w:t xml:space="preserve">High: METHODS vs </w:t>
            </w:r>
            <w:proofErr w:type="spellStart"/>
            <w:r>
              <w:t>Hotmaps</w:t>
            </w:r>
            <w:proofErr w:type="spellEnd"/>
            <w:r>
              <w:t xml:space="preserve"> ratio ≈ 2.7; capped at </w:t>
            </w:r>
            <w:r>
              <w:rPr>
                <w:rStyle w:val="Strong"/>
              </w:rPr>
              <w:t>2.0</w:t>
            </w:r>
            <w:r>
              <w:t>.</w:t>
            </w:r>
          </w:p>
        </w:tc>
      </w:tr>
      <w:tr w:rsidR="00EE5DD7" w14:paraId="792659EA" w14:textId="77777777">
        <w:trPr>
          <w:tblCellSpacing w:w="15" w:type="dxa"/>
        </w:trPr>
        <w:tc>
          <w:tcPr>
            <w:tcW w:w="0" w:type="auto"/>
            <w:vAlign w:val="center"/>
            <w:hideMark/>
          </w:tcPr>
          <w:p w14:paraId="271C12E7" w14:textId="77777777" w:rsidR="00EE5DD7" w:rsidRDefault="00EE5DD7">
            <w:pPr>
              <w:pStyle w:val="NormalWeb"/>
            </w:pPr>
            <w:r>
              <w:rPr>
                <w:rStyle w:val="Strong"/>
              </w:rPr>
              <w:t>Iron and steel</w:t>
            </w:r>
          </w:p>
        </w:tc>
        <w:tc>
          <w:tcPr>
            <w:tcW w:w="0" w:type="auto"/>
            <w:vAlign w:val="center"/>
            <w:hideMark/>
          </w:tcPr>
          <w:p w14:paraId="7B0DFA69" w14:textId="77777777" w:rsidR="00EE5DD7" w:rsidRDefault="00EE5DD7">
            <w:pPr>
              <w:pStyle w:val="NormalWeb"/>
            </w:pPr>
            <w:r>
              <w:t xml:space="preserve">production × route SEC × </w:t>
            </w:r>
            <w:r>
              <w:rPr>
                <w:rStyle w:val="Strong"/>
              </w:rPr>
              <w:t>η 0.70</w:t>
            </w:r>
            <w:r>
              <w:t xml:space="preserve"> × fossil share (BF/BOF SEC </w:t>
            </w:r>
            <w:r>
              <w:rPr>
                <w:rStyle w:val="Strong"/>
              </w:rPr>
              <w:t>4.8 GJ/t</w:t>
            </w:r>
            <w:r>
              <w:t xml:space="preserve"> = sinter + rolling only; </w:t>
            </w:r>
            <w:r>
              <w:lastRenderedPageBreak/>
              <w:t>coke/BF excluded; EAF fuel 2.5 GJ/t)</w:t>
            </w:r>
          </w:p>
        </w:tc>
        <w:tc>
          <w:tcPr>
            <w:tcW w:w="0" w:type="auto"/>
            <w:vAlign w:val="center"/>
            <w:hideMark/>
          </w:tcPr>
          <w:p w14:paraId="624C8DD2" w14:textId="77777777" w:rsidR="00EE5DD7" w:rsidRDefault="00EE5DD7">
            <w:pPr>
              <w:pStyle w:val="NormalWeb"/>
            </w:pPr>
            <w:r>
              <w:rPr>
                <w:rStyle w:val="Strong"/>
              </w:rPr>
              <w:lastRenderedPageBreak/>
              <w:t>0.90</w:t>
            </w:r>
          </w:p>
        </w:tc>
        <w:tc>
          <w:tcPr>
            <w:tcW w:w="0" w:type="auto"/>
            <w:vAlign w:val="center"/>
            <w:hideMark/>
          </w:tcPr>
          <w:p w14:paraId="2DE99EE9" w14:textId="77777777" w:rsidR="00EE5DD7" w:rsidRDefault="00EE5DD7">
            <w:pPr>
              <w:pStyle w:val="NormalWeb"/>
            </w:pPr>
            <w:r>
              <w:rPr>
                <w:rStyle w:val="Strong"/>
              </w:rPr>
              <w:t>1.55</w:t>
            </w:r>
          </w:p>
        </w:tc>
        <w:tc>
          <w:tcPr>
            <w:tcW w:w="0" w:type="auto"/>
            <w:vAlign w:val="center"/>
            <w:hideMark/>
          </w:tcPr>
          <w:p w14:paraId="32482D86" w14:textId="77777777" w:rsidR="0081141B" w:rsidRDefault="00EE5DD7">
            <w:pPr>
              <w:pStyle w:val="NormalWeb"/>
            </w:pPr>
            <w:r>
              <w:t xml:space="preserve">Low: lean on final-consumption SEC floor. </w:t>
            </w:r>
          </w:p>
          <w:p w14:paraId="76822084" w14:textId="04830AF6" w:rsidR="00EE5DD7" w:rsidRDefault="00EE5DD7">
            <w:pPr>
              <w:pStyle w:val="NormalWeb"/>
            </w:pPr>
            <w:r>
              <w:lastRenderedPageBreak/>
              <w:t xml:space="preserve">High: raise toward ~7.5 GJ/t; METHODS vs benchmark ≈ </w:t>
            </w:r>
            <w:r>
              <w:rPr>
                <w:rStyle w:val="Strong"/>
              </w:rPr>
              <w:t>1.55</w:t>
            </w:r>
            <w:r>
              <w:t>.</w:t>
            </w:r>
          </w:p>
        </w:tc>
      </w:tr>
      <w:tr w:rsidR="00EE5DD7" w14:paraId="279C3115" w14:textId="77777777">
        <w:trPr>
          <w:tblCellSpacing w:w="15" w:type="dxa"/>
        </w:trPr>
        <w:tc>
          <w:tcPr>
            <w:tcW w:w="0" w:type="auto"/>
            <w:vAlign w:val="center"/>
            <w:hideMark/>
          </w:tcPr>
          <w:p w14:paraId="4F5470D9" w14:textId="77777777" w:rsidR="00EE5DD7" w:rsidRDefault="00EE5DD7">
            <w:pPr>
              <w:pStyle w:val="NormalWeb"/>
            </w:pPr>
            <w:r>
              <w:rPr>
                <w:rStyle w:val="Strong"/>
              </w:rPr>
              <w:lastRenderedPageBreak/>
              <w:t>Steam cracking</w:t>
            </w:r>
          </w:p>
        </w:tc>
        <w:tc>
          <w:tcPr>
            <w:tcW w:w="0" w:type="auto"/>
            <w:vAlign w:val="center"/>
            <w:hideMark/>
          </w:tcPr>
          <w:p w14:paraId="757A24FF" w14:textId="77777777" w:rsidR="00EE5DD7" w:rsidRDefault="00EE5DD7">
            <w:pPr>
              <w:pStyle w:val="NormalWeb"/>
            </w:pPr>
            <w:r>
              <w:t xml:space="preserve">ethylene × </w:t>
            </w:r>
            <w:r>
              <w:rPr>
                <w:rStyle w:val="Strong"/>
              </w:rPr>
              <w:t>35.9 GJ/t</w:t>
            </w:r>
            <w:r>
              <w:t xml:space="preserve"> × </w:t>
            </w:r>
            <w:r>
              <w:rPr>
                <w:rStyle w:val="Strong"/>
              </w:rPr>
              <w:t>η 0.90</w:t>
            </w:r>
            <w:r>
              <w:t xml:space="preserve"> × fossil share (total furnace duty: external + byproduct fuel-gas)</w:t>
            </w:r>
          </w:p>
        </w:tc>
        <w:tc>
          <w:tcPr>
            <w:tcW w:w="0" w:type="auto"/>
            <w:vAlign w:val="center"/>
            <w:hideMark/>
          </w:tcPr>
          <w:p w14:paraId="69EA479D" w14:textId="77777777" w:rsidR="00EE5DD7" w:rsidRDefault="00EE5DD7">
            <w:pPr>
              <w:pStyle w:val="NormalWeb"/>
            </w:pPr>
            <w:r>
              <w:rPr>
                <w:rStyle w:val="Strong"/>
              </w:rPr>
              <w:t>0.47</w:t>
            </w:r>
          </w:p>
        </w:tc>
        <w:tc>
          <w:tcPr>
            <w:tcW w:w="0" w:type="auto"/>
            <w:vAlign w:val="center"/>
            <w:hideMark/>
          </w:tcPr>
          <w:p w14:paraId="5BCA5156" w14:textId="77777777" w:rsidR="00EE5DD7" w:rsidRDefault="00EE5DD7">
            <w:pPr>
              <w:pStyle w:val="NormalWeb"/>
            </w:pPr>
            <w:r>
              <w:rPr>
                <w:rStyle w:val="Strong"/>
              </w:rPr>
              <w:t>1.00</w:t>
            </w:r>
          </w:p>
        </w:tc>
        <w:tc>
          <w:tcPr>
            <w:tcW w:w="0" w:type="auto"/>
            <w:vAlign w:val="center"/>
            <w:hideMark/>
          </w:tcPr>
          <w:p w14:paraId="73363702" w14:textId="77777777" w:rsidR="00F74F81" w:rsidRDefault="00EE5DD7">
            <w:pPr>
              <w:pStyle w:val="NormalWeb"/>
            </w:pPr>
            <w:r>
              <w:t xml:space="preserve">Low: external-fuel-only </w:t>
            </w:r>
            <w:r>
              <w:rPr>
                <w:rStyle w:val="Strong"/>
              </w:rPr>
              <w:t>17 GJ/t</w:t>
            </w:r>
            <w:r>
              <w:t xml:space="preserve"> / 35.9 ≈ 0.47. </w:t>
            </w:r>
          </w:p>
          <w:p w14:paraId="7B9F4161" w14:textId="3E3ADCD2" w:rsidR="00EE5DD7" w:rsidRDefault="00EE5DD7">
            <w:pPr>
              <w:pStyle w:val="NormalWeb"/>
            </w:pPr>
            <w:r>
              <w:t>High = base: full duty required for electrification.</w:t>
            </w:r>
          </w:p>
        </w:tc>
      </w:tr>
      <w:tr w:rsidR="00EE5DD7" w14:paraId="7BEC721E" w14:textId="77777777">
        <w:trPr>
          <w:tblCellSpacing w:w="15" w:type="dxa"/>
        </w:trPr>
        <w:tc>
          <w:tcPr>
            <w:tcW w:w="0" w:type="auto"/>
            <w:vAlign w:val="center"/>
            <w:hideMark/>
          </w:tcPr>
          <w:p w14:paraId="2E13BC6F" w14:textId="77777777" w:rsidR="00EE5DD7" w:rsidRDefault="00EE5DD7">
            <w:pPr>
              <w:pStyle w:val="NormalWeb"/>
            </w:pPr>
            <w:r>
              <w:rPr>
                <w:rStyle w:val="Strong"/>
              </w:rPr>
              <w:t>Chemicals</w:t>
            </w:r>
          </w:p>
        </w:tc>
        <w:tc>
          <w:tcPr>
            <w:tcW w:w="0" w:type="auto"/>
            <w:vAlign w:val="center"/>
            <w:hideMark/>
          </w:tcPr>
          <w:p w14:paraId="4630C4F1" w14:textId="77777777" w:rsidR="00EE5DD7" w:rsidRDefault="00EE5DD7">
            <w:pPr>
              <w:pStyle w:val="NormalWeb"/>
            </w:pPr>
            <w:r>
              <w:t>product SEC × η × fossil share (e.g. ammonia fuel-only 9 GJ/t × 0.90; soda ash 10 GJ/t × 0.85)</w:t>
            </w:r>
          </w:p>
        </w:tc>
        <w:tc>
          <w:tcPr>
            <w:tcW w:w="0" w:type="auto"/>
            <w:vAlign w:val="center"/>
            <w:hideMark/>
          </w:tcPr>
          <w:p w14:paraId="58002A7D" w14:textId="77777777" w:rsidR="00EE5DD7" w:rsidRDefault="00EE5DD7">
            <w:pPr>
              <w:pStyle w:val="NormalWeb"/>
            </w:pPr>
            <w:r>
              <w:rPr>
                <w:rStyle w:val="Strong"/>
              </w:rPr>
              <w:t>0.85</w:t>
            </w:r>
          </w:p>
        </w:tc>
        <w:tc>
          <w:tcPr>
            <w:tcW w:w="0" w:type="auto"/>
            <w:vAlign w:val="center"/>
            <w:hideMark/>
          </w:tcPr>
          <w:p w14:paraId="196AEE8E" w14:textId="77777777" w:rsidR="00EE5DD7" w:rsidRDefault="00EE5DD7">
            <w:pPr>
              <w:pStyle w:val="NormalWeb"/>
            </w:pPr>
            <w:r>
              <w:rPr>
                <w:rStyle w:val="Strong"/>
              </w:rPr>
              <w:t>1.40</w:t>
            </w:r>
          </w:p>
        </w:tc>
        <w:tc>
          <w:tcPr>
            <w:tcW w:w="0" w:type="auto"/>
            <w:vAlign w:val="center"/>
            <w:hideMark/>
          </w:tcPr>
          <w:p w14:paraId="770CAA7D" w14:textId="77777777" w:rsidR="008E0A3C" w:rsidRDefault="00EE5DD7">
            <w:pPr>
              <w:pStyle w:val="NormalWeb"/>
            </w:pPr>
            <w:r>
              <w:t>Low: SEC/η lean</w:t>
            </w:r>
          </w:p>
          <w:p w14:paraId="364E7BB4" w14:textId="03DAAC32" w:rsidR="00EE5DD7" w:rsidRDefault="00EE5DD7">
            <w:pPr>
              <w:pStyle w:val="NormalWeb"/>
            </w:pPr>
            <w:r>
              <w:t xml:space="preserve">High: METHODS vs </w:t>
            </w:r>
            <w:proofErr w:type="spellStart"/>
            <w:r>
              <w:t>Hotmaps</w:t>
            </w:r>
            <w:proofErr w:type="spellEnd"/>
            <w:r>
              <w:t xml:space="preserve"> ≈ </w:t>
            </w:r>
            <w:r>
              <w:rPr>
                <w:rStyle w:val="Strong"/>
              </w:rPr>
              <w:t>1.40</w:t>
            </w:r>
            <w:r>
              <w:t>.</w:t>
            </w:r>
          </w:p>
        </w:tc>
      </w:tr>
      <w:tr w:rsidR="00EE5DD7" w14:paraId="4496262B" w14:textId="77777777">
        <w:trPr>
          <w:tblCellSpacing w:w="15" w:type="dxa"/>
        </w:trPr>
        <w:tc>
          <w:tcPr>
            <w:tcW w:w="0" w:type="auto"/>
            <w:vAlign w:val="center"/>
            <w:hideMark/>
          </w:tcPr>
          <w:p w14:paraId="38E2DEE9" w14:textId="77777777" w:rsidR="00EE5DD7" w:rsidRDefault="00EE5DD7">
            <w:pPr>
              <w:pStyle w:val="NormalWeb"/>
            </w:pPr>
            <w:r>
              <w:rPr>
                <w:rStyle w:val="Strong"/>
              </w:rPr>
              <w:t>Pulp and paper</w:t>
            </w:r>
          </w:p>
        </w:tc>
        <w:tc>
          <w:tcPr>
            <w:tcW w:w="0" w:type="auto"/>
            <w:vAlign w:val="center"/>
            <w:hideMark/>
          </w:tcPr>
          <w:p w14:paraId="728E6DC7" w14:textId="77777777" w:rsidR="00EE5DD7" w:rsidRDefault="00EE5DD7">
            <w:pPr>
              <w:pStyle w:val="NormalWeb"/>
            </w:pPr>
            <w:r>
              <w:t xml:space="preserve">production × </w:t>
            </w:r>
            <w:r>
              <w:rPr>
                <w:rStyle w:val="Strong"/>
              </w:rPr>
              <w:t>10.5 GJ/t</w:t>
            </w:r>
            <w:r>
              <w:t xml:space="preserve"> × </w:t>
            </w:r>
            <w:r>
              <w:rPr>
                <w:rStyle w:val="Strong"/>
              </w:rPr>
              <w:t>η 0.85</w:t>
            </w:r>
            <w:r>
              <w:t xml:space="preserve"> × country fossil share</w:t>
            </w:r>
          </w:p>
        </w:tc>
        <w:tc>
          <w:tcPr>
            <w:tcW w:w="0" w:type="auto"/>
            <w:vAlign w:val="center"/>
            <w:hideMark/>
          </w:tcPr>
          <w:p w14:paraId="5D166307" w14:textId="77777777" w:rsidR="00EE5DD7" w:rsidRDefault="00EE5DD7">
            <w:pPr>
              <w:pStyle w:val="NormalWeb"/>
            </w:pPr>
            <w:r>
              <w:rPr>
                <w:rStyle w:val="Strong"/>
              </w:rPr>
              <w:t>0.70</w:t>
            </w:r>
          </w:p>
        </w:tc>
        <w:tc>
          <w:tcPr>
            <w:tcW w:w="0" w:type="auto"/>
            <w:vAlign w:val="center"/>
            <w:hideMark/>
          </w:tcPr>
          <w:p w14:paraId="3EE1E76C" w14:textId="77777777" w:rsidR="00EE5DD7" w:rsidRDefault="00EE5DD7">
            <w:pPr>
              <w:pStyle w:val="NormalWeb"/>
            </w:pPr>
            <w:r>
              <w:rPr>
                <w:rStyle w:val="Strong"/>
              </w:rPr>
              <w:t>1.15</w:t>
            </w:r>
          </w:p>
        </w:tc>
        <w:tc>
          <w:tcPr>
            <w:tcW w:w="0" w:type="auto"/>
            <w:vAlign w:val="center"/>
            <w:hideMark/>
          </w:tcPr>
          <w:p w14:paraId="6D1DC640" w14:textId="77777777" w:rsidR="00A90686" w:rsidRDefault="00EE5DD7">
            <w:pPr>
              <w:pStyle w:val="NormalWeb"/>
            </w:pPr>
            <w:r>
              <w:t xml:space="preserve">Low: higher biomass / lower fossil share (0.1–1.0 by country). </w:t>
            </w:r>
          </w:p>
          <w:p w14:paraId="7B77F8F1" w14:textId="65684B4D" w:rsidR="00EE5DD7" w:rsidRDefault="00EE5DD7">
            <w:pPr>
              <w:pStyle w:val="NormalWeb"/>
            </w:pPr>
            <w:r>
              <w:t>High: SEC + fossil-share upside (+15%).</w:t>
            </w:r>
          </w:p>
        </w:tc>
      </w:tr>
      <w:tr w:rsidR="00EE5DD7" w14:paraId="6AFA3ADF" w14:textId="77777777">
        <w:trPr>
          <w:tblCellSpacing w:w="15" w:type="dxa"/>
        </w:trPr>
        <w:tc>
          <w:tcPr>
            <w:tcW w:w="0" w:type="auto"/>
            <w:vAlign w:val="center"/>
            <w:hideMark/>
          </w:tcPr>
          <w:p w14:paraId="4F4319C2" w14:textId="77777777" w:rsidR="00EE5DD7" w:rsidRDefault="00EE5DD7">
            <w:pPr>
              <w:pStyle w:val="NormalWeb"/>
            </w:pPr>
            <w:r>
              <w:rPr>
                <w:rStyle w:val="Strong"/>
              </w:rPr>
              <w:t>Food, beverage, tobacco</w:t>
            </w:r>
          </w:p>
        </w:tc>
        <w:tc>
          <w:tcPr>
            <w:tcW w:w="0" w:type="auto"/>
            <w:vAlign w:val="center"/>
            <w:hideMark/>
          </w:tcPr>
          <w:p w14:paraId="278DFE02" w14:textId="77777777" w:rsidR="00C907E1" w:rsidRDefault="00EE5DD7">
            <w:pPr>
              <w:pStyle w:val="NormalWeb"/>
              <w:rPr>
                <w:rStyle w:val="Strong"/>
              </w:rPr>
            </w:pPr>
            <w:proofErr w:type="spellStart"/>
            <w:r>
              <w:t>fuel_TJ</w:t>
            </w:r>
            <w:proofErr w:type="spellEnd"/>
            <w:r>
              <w:t xml:space="preserve"> = </w:t>
            </w:r>
            <w:proofErr w:type="spellStart"/>
            <w:r>
              <w:t>CO₂e</w:t>
            </w:r>
            <w:proofErr w:type="spellEnd"/>
            <w:r>
              <w:t xml:space="preserve"> / </w:t>
            </w:r>
            <w:r>
              <w:rPr>
                <w:rStyle w:val="Strong"/>
              </w:rPr>
              <w:t>58.2</w:t>
            </w:r>
          </w:p>
          <w:p w14:paraId="5C401505" w14:textId="74D842F7" w:rsidR="00EE5DD7" w:rsidRDefault="00EE5DD7">
            <w:pPr>
              <w:pStyle w:val="NormalWeb"/>
            </w:pPr>
            <w:r>
              <w:t xml:space="preserve">useful = </w:t>
            </w:r>
            <w:proofErr w:type="spellStart"/>
            <w:r>
              <w:t>fuel_TJ</w:t>
            </w:r>
            <w:proofErr w:type="spellEnd"/>
            <w:r>
              <w:t xml:space="preserve"> × </w:t>
            </w:r>
            <w:r>
              <w:rPr>
                <w:rStyle w:val="Strong"/>
              </w:rPr>
              <w:t>0.85</w:t>
            </w:r>
            <w:r>
              <w:t xml:space="preserve">; then × country scale to </w:t>
            </w:r>
            <w:proofErr w:type="spellStart"/>
            <w:r>
              <w:t>IndustryHeat</w:t>
            </w:r>
            <w:proofErr w:type="spellEnd"/>
            <w:r>
              <w:t>-EU</w:t>
            </w:r>
          </w:p>
        </w:tc>
        <w:tc>
          <w:tcPr>
            <w:tcW w:w="0" w:type="auto"/>
            <w:vAlign w:val="center"/>
            <w:hideMark/>
          </w:tcPr>
          <w:p w14:paraId="21735016" w14:textId="77777777" w:rsidR="00EE5DD7" w:rsidRDefault="00EE5DD7">
            <w:pPr>
              <w:pStyle w:val="NormalWeb"/>
            </w:pPr>
            <w:r>
              <w:rPr>
                <w:rStyle w:val="Strong"/>
              </w:rPr>
              <w:t>0.85</w:t>
            </w:r>
          </w:p>
        </w:tc>
        <w:tc>
          <w:tcPr>
            <w:tcW w:w="0" w:type="auto"/>
            <w:vAlign w:val="center"/>
            <w:hideMark/>
          </w:tcPr>
          <w:p w14:paraId="5FD42BB7" w14:textId="77777777" w:rsidR="00EE5DD7" w:rsidRDefault="00EE5DD7">
            <w:pPr>
              <w:pStyle w:val="NormalWeb"/>
            </w:pPr>
            <w:r>
              <w:rPr>
                <w:rStyle w:val="Strong"/>
              </w:rPr>
              <w:t>1.40</w:t>
            </w:r>
          </w:p>
        </w:tc>
        <w:tc>
          <w:tcPr>
            <w:tcW w:w="0" w:type="auto"/>
            <w:vAlign w:val="center"/>
            <w:hideMark/>
          </w:tcPr>
          <w:p w14:paraId="699DEF82" w14:textId="43FD7706" w:rsidR="00EE5DD7" w:rsidRDefault="00023011">
            <w:pPr>
              <w:pStyle w:val="NormalWeb"/>
            </w:pPr>
            <w:r>
              <w:t>Assumed sensitivity ranges that represent uncertainty in emission factor, fuel mix and within country allocation.</w:t>
            </w:r>
          </w:p>
        </w:tc>
      </w:tr>
      <w:tr w:rsidR="00EE5DD7" w14:paraId="6F9D000A" w14:textId="77777777">
        <w:trPr>
          <w:tblCellSpacing w:w="15" w:type="dxa"/>
        </w:trPr>
        <w:tc>
          <w:tcPr>
            <w:tcW w:w="0" w:type="auto"/>
            <w:vAlign w:val="center"/>
            <w:hideMark/>
          </w:tcPr>
          <w:p w14:paraId="1CB16564" w14:textId="77777777" w:rsidR="00EE5DD7" w:rsidRDefault="00EE5DD7">
            <w:pPr>
              <w:pStyle w:val="NormalWeb"/>
            </w:pPr>
            <w:r>
              <w:rPr>
                <w:rStyle w:val="Strong"/>
              </w:rPr>
              <w:t>Textiles, leather, apparel</w:t>
            </w:r>
          </w:p>
        </w:tc>
        <w:tc>
          <w:tcPr>
            <w:tcW w:w="0" w:type="auto"/>
            <w:vAlign w:val="center"/>
            <w:hideMark/>
          </w:tcPr>
          <w:p w14:paraId="5C8B61DA" w14:textId="77777777" w:rsidR="00EE5DD7" w:rsidRDefault="00EE5DD7">
            <w:pPr>
              <w:pStyle w:val="NormalWeb"/>
            </w:pPr>
            <w:r>
              <w:t xml:space="preserve">Same emissions inversion as food (EF 58.2, boiler η 0.85), </w:t>
            </w:r>
            <w:r>
              <w:rPr>
                <w:rStyle w:val="Strong"/>
              </w:rPr>
              <w:t>no</w:t>
            </w:r>
            <w:r>
              <w:t xml:space="preserve"> country </w:t>
            </w:r>
            <w:proofErr w:type="gramStart"/>
            <w:r>
              <w:t>rescale</w:t>
            </w:r>
            <w:proofErr w:type="gramEnd"/>
          </w:p>
        </w:tc>
        <w:tc>
          <w:tcPr>
            <w:tcW w:w="0" w:type="auto"/>
            <w:vAlign w:val="center"/>
            <w:hideMark/>
          </w:tcPr>
          <w:p w14:paraId="6A35CEB2" w14:textId="77777777" w:rsidR="00EE5DD7" w:rsidRDefault="00EE5DD7">
            <w:pPr>
              <w:pStyle w:val="NormalWeb"/>
            </w:pPr>
            <w:r>
              <w:rPr>
                <w:rStyle w:val="Strong"/>
              </w:rPr>
              <w:t>0.85</w:t>
            </w:r>
          </w:p>
        </w:tc>
        <w:tc>
          <w:tcPr>
            <w:tcW w:w="0" w:type="auto"/>
            <w:vAlign w:val="center"/>
            <w:hideMark/>
          </w:tcPr>
          <w:p w14:paraId="2D476F16" w14:textId="77777777" w:rsidR="00EE5DD7" w:rsidRDefault="00EE5DD7">
            <w:pPr>
              <w:pStyle w:val="NormalWeb"/>
            </w:pPr>
            <w:r>
              <w:rPr>
                <w:rStyle w:val="Strong"/>
              </w:rPr>
              <w:t>1.20</w:t>
            </w:r>
          </w:p>
        </w:tc>
        <w:tc>
          <w:tcPr>
            <w:tcW w:w="0" w:type="auto"/>
            <w:vAlign w:val="center"/>
            <w:hideMark/>
          </w:tcPr>
          <w:p w14:paraId="287D7277" w14:textId="03428DEC" w:rsidR="00EE5DD7" w:rsidRDefault="00445EA3">
            <w:pPr>
              <w:pStyle w:val="NormalWeb"/>
            </w:pPr>
            <w:r>
              <w:t>Assumed sensitivity ranges that represent uncertainty in emission factor, fuel mix and within country allocation.</w:t>
            </w:r>
          </w:p>
        </w:tc>
      </w:tr>
      <w:tr w:rsidR="00EE5DD7" w14:paraId="031CB79F" w14:textId="77777777">
        <w:trPr>
          <w:tblCellSpacing w:w="15" w:type="dxa"/>
        </w:trPr>
        <w:tc>
          <w:tcPr>
            <w:tcW w:w="0" w:type="auto"/>
            <w:vAlign w:val="center"/>
            <w:hideMark/>
          </w:tcPr>
          <w:p w14:paraId="75178467" w14:textId="77777777" w:rsidR="00EE5DD7" w:rsidRDefault="00EE5DD7">
            <w:pPr>
              <w:pStyle w:val="NormalWeb"/>
            </w:pPr>
            <w:proofErr w:type="spellStart"/>
            <w:r>
              <w:rPr>
                <w:rStyle w:val="Strong"/>
              </w:rPr>
              <w:t>Aluminium</w:t>
            </w:r>
            <w:proofErr w:type="spellEnd"/>
          </w:p>
        </w:tc>
        <w:tc>
          <w:tcPr>
            <w:tcW w:w="0" w:type="auto"/>
            <w:vAlign w:val="center"/>
            <w:hideMark/>
          </w:tcPr>
          <w:p w14:paraId="223F5E87" w14:textId="77777777" w:rsidR="00EE5DD7" w:rsidRDefault="00EE5DD7">
            <w:pPr>
              <w:pStyle w:val="NormalWeb"/>
            </w:pPr>
            <w:r>
              <w:t>production × alumina/Al SEC × η × fossil share (e.g. Bayer ~11 GJ/t alumina × 0.85)</w:t>
            </w:r>
          </w:p>
        </w:tc>
        <w:tc>
          <w:tcPr>
            <w:tcW w:w="0" w:type="auto"/>
            <w:vAlign w:val="center"/>
            <w:hideMark/>
          </w:tcPr>
          <w:p w14:paraId="741A254D" w14:textId="77777777" w:rsidR="00EE5DD7" w:rsidRDefault="00EE5DD7">
            <w:pPr>
              <w:pStyle w:val="NormalWeb"/>
            </w:pPr>
            <w:r>
              <w:rPr>
                <w:rStyle w:val="Strong"/>
              </w:rPr>
              <w:t>0.90</w:t>
            </w:r>
          </w:p>
        </w:tc>
        <w:tc>
          <w:tcPr>
            <w:tcW w:w="0" w:type="auto"/>
            <w:vAlign w:val="center"/>
            <w:hideMark/>
          </w:tcPr>
          <w:p w14:paraId="2A15E705" w14:textId="77777777" w:rsidR="00EE5DD7" w:rsidRDefault="00EE5DD7">
            <w:pPr>
              <w:pStyle w:val="NormalWeb"/>
            </w:pPr>
            <w:r>
              <w:rPr>
                <w:rStyle w:val="Strong"/>
              </w:rPr>
              <w:t>1.15</w:t>
            </w:r>
          </w:p>
        </w:tc>
        <w:tc>
          <w:tcPr>
            <w:tcW w:w="0" w:type="auto"/>
            <w:vAlign w:val="center"/>
            <w:hideMark/>
          </w:tcPr>
          <w:p w14:paraId="254C81CF" w14:textId="77777777" w:rsidR="00EE5DD7" w:rsidRDefault="00EE5DD7">
            <w:pPr>
              <w:pStyle w:val="NormalWeb"/>
            </w:pPr>
            <w:r>
              <w:t xml:space="preserve">METHODS vs </w:t>
            </w:r>
            <w:proofErr w:type="spellStart"/>
            <w:r>
              <w:t>Hotmaps</w:t>
            </w:r>
            <w:proofErr w:type="spellEnd"/>
            <w:r>
              <w:t xml:space="preserve"> ≈ </w:t>
            </w:r>
            <w:r>
              <w:rPr>
                <w:rStyle w:val="Strong"/>
              </w:rPr>
              <w:t>1.11</w:t>
            </w:r>
            <w:r>
              <w:t>; tight band.</w:t>
            </w:r>
          </w:p>
        </w:tc>
      </w:tr>
    </w:tbl>
    <w:p w14:paraId="210CA584" w14:textId="77777777" w:rsidR="00847F5A" w:rsidRDefault="00000000">
      <w:pPr>
        <w:spacing w:after="300"/>
        <w:rPr>
          <w:sz w:val="20"/>
          <w:szCs w:val="20"/>
        </w:rPr>
      </w:pPr>
      <w:r>
        <w:rPr>
          <w:b/>
          <w:bCs/>
          <w:sz w:val="20"/>
          <w:szCs w:val="20"/>
        </w:rPr>
        <w:t xml:space="preserve">Table 2 | </w:t>
      </w:r>
      <w:r>
        <w:rPr>
          <w:sz w:val="20"/>
          <w:szCs w:val="20"/>
        </w:rPr>
        <w:t>Sources of the low/high heat-estimate range by sector.</w:t>
      </w:r>
    </w:p>
    <w:p w14:paraId="291B8F28" w14:textId="40F2E587" w:rsidR="0031228E" w:rsidRPr="0031228E" w:rsidRDefault="00506F1D">
      <w:pPr>
        <w:spacing w:after="300"/>
      </w:pPr>
      <w:r>
        <w:t xml:space="preserve">General </w:t>
      </w:r>
      <w:proofErr w:type="spellStart"/>
      <w:r>
        <w:t>production×SEC</w:t>
      </w:r>
      <w:proofErr w:type="spellEnd"/>
      <w:r>
        <w:t xml:space="preserve"> form: </w:t>
      </w:r>
      <w:proofErr w:type="spellStart"/>
      <w:r>
        <w:t>useful_heat</w:t>
      </w:r>
      <w:proofErr w:type="spellEnd"/>
      <w:r>
        <w:t xml:space="preserve"> = production × SEC × η × </w:t>
      </w:r>
      <w:proofErr w:type="spellStart"/>
      <w:r>
        <w:t>fossil_share</w:t>
      </w:r>
      <w:proofErr w:type="spellEnd"/>
      <w:r>
        <w:t>.</w:t>
      </w:r>
    </w:p>
    <w:p w14:paraId="7D3671F4" w14:textId="5FAC92B9" w:rsidR="00847F5A" w:rsidRDefault="00000000">
      <w:pPr>
        <w:pStyle w:val="Heading2"/>
      </w:pPr>
      <w:r>
        <w:t>Validation of the bottom-up estimate</w:t>
      </w:r>
    </w:p>
    <w:p w14:paraId="2CBE881E" w14:textId="77777777" w:rsidR="00847F5A" w:rsidRDefault="00000000">
      <w:pPr>
        <w:spacing w:after="200" w:line="480" w:lineRule="auto"/>
        <w:jc w:val="both"/>
      </w:pPr>
      <w:r>
        <w:t>We compared our bottom-up useful-heat estimates against JRC-IDEES/</w:t>
      </w:r>
      <w:proofErr w:type="spellStart"/>
      <w:r>
        <w:t>IndustryHeat</w:t>
      </w:r>
      <w:proofErr w:type="spellEnd"/>
      <w:r>
        <w:t>-EU useful-energy-demand figures</w:t>
      </w:r>
      <w:r>
        <w:rPr>
          <w:vertAlign w:val="superscript"/>
        </w:rPr>
        <w:t>1</w:t>
      </w:r>
      <w:r>
        <w:t xml:space="preserve"> — steam and four non-electric process-heat bands (&lt;100, 100–400, 400–1,000, and &gt;1,000 °C) — at both country and sector level, after matching subsector categories (Supplementary Methods, Table S2).</w:t>
      </w:r>
    </w:p>
    <w:p w14:paraId="1A2B3C4D" w14:textId="1A2B3C4D" w:rsidR="00847F5A" w:rsidRDefault="00000000">
      <w:pPr>
        <w:spacing w:after="200" w:line="480" w:lineRule="auto"/>
        <w:jc w:val="both"/>
      </w:pPr>
      <w:r>
        <w:t xml:space="preserve">This four-band comparison is used solely to validate the aggregate reliability of the bottom-up estimate against an independent reference; </w:t>
      </w:r>
      <w:proofErr w:type="spellStart"/>
      <w:r>
        <w:t>IndustryHeat</w:t>
      </w:r>
      <w:proofErr w:type="spellEnd"/>
      <w:r>
        <w:t xml:space="preserve">-EU does not feed back into, and does not </w:t>
      </w:r>
      <w:r>
        <w:lastRenderedPageBreak/>
        <w:t xml:space="preserve">alter, the five-band scheme (&lt;100, 100–200, 200–500, 500–1,000, and &gt;1,000 °C) used elsewhere in this study to estimate heat demand and assign technology in the optimization (‘Heat demand by temperature and mapping to technology’, below). The two band schemes serve different purposes and are reconciled only for this cross-check, by aggregating our five allocation bands into </w:t>
      </w:r>
      <w:proofErr w:type="spellStart"/>
      <w:r>
        <w:t>IndustryHeat</w:t>
      </w:r>
      <w:proofErr w:type="spellEnd"/>
      <w:r>
        <w:t>-EU’s four before comparing (Supplementary Methods, Table S2); the reconciliation has no effect on the heat estimates or technology assignment used in the Results.</w:t>
      </w:r>
    </w:p>
    <w:p w14:paraId="24789EB9" w14:textId="77777777" w:rsidR="00847F5A" w:rsidRDefault="00000000">
      <w:pPr>
        <w:spacing w:after="200" w:line="480" w:lineRule="auto"/>
        <w:jc w:val="both"/>
      </w:pPr>
      <w:r>
        <w:t>The bottom-up estimate reproduces the country picture well (Fig. 2): the EU-26 covered-sector total is 556 TWh against a 794 TWh reference (70%), and the largest industrial countries fall in a plausible band (Germany 71%, France 82%, Spain 73%, Italy 58%, Poland 68%, Netherlands 83%). Calculated totals are consistently at or below the reference, consistent with Climate TRACE not covering every facility.</w:t>
      </w:r>
    </w:p>
    <w:p w14:paraId="426DDF0C" w14:textId="77777777" w:rsidR="00847F5A" w:rsidRDefault="00000000">
      <w:pPr>
        <w:spacing w:before="200" w:after="120"/>
        <w:jc w:val="center"/>
      </w:pPr>
      <w:r>
        <w:rPr>
          <w:noProof/>
        </w:rPr>
        <w:drawing>
          <wp:inline distT="0" distB="0" distL="0" distR="0" wp14:anchorId="7AB176EA" wp14:editId="052BF8BB">
            <wp:extent cx="3619500" cy="3209925"/>
            <wp:effectExtent l="0" t="0" r="0" b="0"/>
            <wp:docPr id="1892704317" name="Picture 18927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209925"/>
                    </a:xfrm>
                    <a:prstGeom prst="rect">
                      <a:avLst/>
                    </a:prstGeom>
                  </pic:spPr>
                </pic:pic>
              </a:graphicData>
            </a:graphic>
          </wp:inline>
        </w:drawing>
      </w:r>
    </w:p>
    <w:p w14:paraId="0C129FE9" w14:textId="77777777" w:rsidR="00847F5A" w:rsidRDefault="00000000">
      <w:pPr>
        <w:spacing w:after="300" w:line="300" w:lineRule="auto"/>
      </w:pPr>
      <w:r>
        <w:rPr>
          <w:b/>
          <w:bCs/>
          <w:sz w:val="20"/>
          <w:szCs w:val="20"/>
        </w:rPr>
        <w:t xml:space="preserve">Fig. 2 | </w:t>
      </w:r>
      <w:r>
        <w:rPr>
          <w:sz w:val="20"/>
          <w:szCs w:val="20"/>
        </w:rPr>
        <w:t>Bottom-up versus reference useful process heat, by country. Blue bars: this study’s facility-level bottom-up estimate of industrial process useful heat, aggregated by country (</w:t>
      </w:r>
      <w:proofErr w:type="spellStart"/>
      <w:r>
        <w:rPr>
          <w:sz w:val="20"/>
          <w:szCs w:val="20"/>
        </w:rPr>
        <w:t>TWh_th</w:t>
      </w:r>
      <w:proofErr w:type="spellEnd"/>
      <w:r>
        <w:rPr>
          <w:sz w:val="20"/>
          <w:szCs w:val="20"/>
        </w:rPr>
        <w:t>/yr). Green bars: the corresponding JRC-IDEES/</w:t>
      </w:r>
      <w:proofErr w:type="spellStart"/>
      <w:r>
        <w:rPr>
          <w:sz w:val="20"/>
          <w:szCs w:val="20"/>
        </w:rPr>
        <w:t>IndustryHeat</w:t>
      </w:r>
      <w:proofErr w:type="spellEnd"/>
      <w:r>
        <w:rPr>
          <w:sz w:val="20"/>
          <w:szCs w:val="20"/>
        </w:rPr>
        <w:t>-EU reference useful-energy-demand total for the same countries. Countries are the EU-26 (all EU-27 members with Climate TRACE coverage except Malta) plus the United Kingdom, sorted by reference value.</w:t>
      </w:r>
    </w:p>
    <w:p w14:paraId="418D6B3C" w14:textId="77777777" w:rsidR="00847F5A" w:rsidRDefault="00000000">
      <w:pPr>
        <w:spacing w:after="200" w:line="480" w:lineRule="auto"/>
        <w:jc w:val="both"/>
      </w:pPr>
      <w:r>
        <w:lastRenderedPageBreak/>
        <w:t>Sector-level totals also match well (Fig. 3), except for pulp &amp; paper and ceramics &amp; glass. For pulp &amp; paper, Climate TRACE lists 79 pulp mills covering 21.8 Mt of the 73.9 Mt EU pulp production, but none of the 716 separate paper &amp; board mills</w:t>
      </w:r>
      <w:r>
        <w:rPr>
          <w:vertAlign w:val="superscript"/>
        </w:rPr>
        <w:t>4</w:t>
      </w:r>
      <w:r>
        <w:t xml:space="preserve">; because the </w:t>
      </w:r>
      <w:proofErr w:type="spellStart"/>
      <w:r>
        <w:t>IndustryHeat</w:t>
      </w:r>
      <w:proofErr w:type="spellEnd"/>
      <w:r>
        <w:t>-EU reference spans the whole pulp-and-paper sector including paper-drying steam, the bottom-up estimate captures only 27% of sector heat. For ceramics &amp; glass, Climate TRACE covers only glass facilities — about 55% of EU glass production (20 of ~37.5 Mt)</w:t>
      </w:r>
      <w:r>
        <w:rPr>
          <w:vertAlign w:val="superscript"/>
        </w:rPr>
        <w:t>5</w:t>
      </w:r>
      <w:r>
        <w:t xml:space="preserve"> — and glass alone matches reasonably; the reference column also bundles ceramics, brick, and refractories, which we do not model.</w:t>
      </w:r>
    </w:p>
    <w:p w14:paraId="6957C279" w14:textId="77777777" w:rsidR="00847F5A" w:rsidRDefault="00000000">
      <w:pPr>
        <w:spacing w:after="200" w:line="360" w:lineRule="auto"/>
      </w:pPr>
      <w:r>
        <w:rPr>
          <w:i/>
          <w:iCs/>
          <w:color w:val="C00000"/>
        </w:rPr>
        <w:t>Editorial note: confirm the ~85% / &gt;1,000 °C figure for the bundled ceramics/brick/refractories share before submission — flagged as unverified in the original draft.</w:t>
      </w:r>
    </w:p>
    <w:p w14:paraId="66CC8873" w14:textId="77777777" w:rsidR="00847F5A" w:rsidRDefault="00000000">
      <w:pPr>
        <w:spacing w:before="200" w:after="120"/>
        <w:jc w:val="center"/>
      </w:pPr>
      <w:r>
        <w:rPr>
          <w:noProof/>
        </w:rPr>
        <w:drawing>
          <wp:inline distT="0" distB="0" distL="0" distR="0" wp14:anchorId="02F1CBDE" wp14:editId="1126C464">
            <wp:extent cx="4572000" cy="2476500"/>
            <wp:effectExtent l="0" t="0" r="0" b="0"/>
            <wp:docPr id="1235775202" name="Picture 123577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76500"/>
                    </a:xfrm>
                    <a:prstGeom prst="rect">
                      <a:avLst/>
                    </a:prstGeom>
                  </pic:spPr>
                </pic:pic>
              </a:graphicData>
            </a:graphic>
          </wp:inline>
        </w:drawing>
      </w:r>
    </w:p>
    <w:p w14:paraId="4F9BA494" w14:textId="77777777" w:rsidR="00847F5A" w:rsidRDefault="00000000">
      <w:pPr>
        <w:spacing w:after="300" w:line="300" w:lineRule="auto"/>
      </w:pPr>
      <w:r>
        <w:rPr>
          <w:b/>
          <w:bCs/>
          <w:sz w:val="20"/>
          <w:szCs w:val="20"/>
        </w:rPr>
        <w:t xml:space="preserve">Fig. 3 | </w:t>
      </w:r>
      <w:r>
        <w:rPr>
          <w:sz w:val="20"/>
          <w:szCs w:val="20"/>
        </w:rPr>
        <w:t>Bottom-up versus reference useful process heat, by sector. Blue bars: this study’s facility-level bottom-up estimate of EU-26 industrial process useful heat, aggregated by manufacturing subsector (</w:t>
      </w:r>
      <w:proofErr w:type="spellStart"/>
      <w:r>
        <w:rPr>
          <w:sz w:val="20"/>
          <w:szCs w:val="20"/>
        </w:rPr>
        <w:t>TWh_th</w:t>
      </w:r>
      <w:proofErr w:type="spellEnd"/>
      <w:r>
        <w:rPr>
          <w:sz w:val="20"/>
          <w:szCs w:val="20"/>
        </w:rPr>
        <w:t>/yr). Green bars: the corresponding JRC-IDEES/</w:t>
      </w:r>
      <w:proofErr w:type="spellStart"/>
      <w:r>
        <w:rPr>
          <w:sz w:val="20"/>
          <w:szCs w:val="20"/>
        </w:rPr>
        <w:t>IndustryHeat</w:t>
      </w:r>
      <w:proofErr w:type="spellEnd"/>
      <w:r>
        <w:rPr>
          <w:sz w:val="20"/>
          <w:szCs w:val="20"/>
        </w:rPr>
        <w:t>-EU reference useful-energy-demand total for the same eight subsector groupings (Supplementary Methods, Table S2).</w:t>
      </w:r>
    </w:p>
    <w:p w14:paraId="2105A4D3" w14:textId="77777777" w:rsidR="00847F5A" w:rsidRDefault="00000000">
      <w:pPr>
        <w:spacing w:after="200" w:line="480" w:lineRule="auto"/>
        <w:jc w:val="both"/>
      </w:pPr>
      <w:r>
        <w:t>Because the food estimate is fitted to the JRC reference (‘Emissions heat estimates’), it cannot be independently validated against it. Textiles retains its emissions-derived level and remains an independent, if emissions-dependent, estimate.</w:t>
      </w:r>
    </w:p>
    <w:p w14:paraId="7090EB12" w14:textId="77777777" w:rsidR="00847F5A" w:rsidRDefault="00000000">
      <w:pPr>
        <w:pStyle w:val="Heading2"/>
      </w:pPr>
      <w:r>
        <w:lastRenderedPageBreak/>
        <w:t>Heat generation and load profile</w:t>
      </w:r>
    </w:p>
    <w:p w14:paraId="02970921" w14:textId="77777777" w:rsidR="00847F5A" w:rsidRDefault="00000000">
      <w:pPr>
        <w:pStyle w:val="Heading3"/>
      </w:pPr>
      <w:r>
        <w:t>System configuration</w:t>
      </w:r>
    </w:p>
    <w:p w14:paraId="7745E691" w14:textId="56A1F602" w:rsidR="00847F5A" w:rsidRDefault="00000000">
      <w:pPr>
        <w:spacing w:after="200" w:line="480" w:lineRule="auto"/>
        <w:jc w:val="both"/>
      </w:pPr>
      <w:r>
        <w:t>Each facility is modelled as a single on-site solar PV array feeding two independent, temperature-split technology chains (Table 3): an industrial heat pump for loads below 200 °C, and an industrial heat battery for loads above 200 °C, up to ~1,500 °C. Every facility uses whichever chains its temperature profile requires. For example, a food plant’s heat demand is almost entirely supplied by heat pumps, a cement plant almost entirely by the resistive battery.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200"/>
        <w:gridCol w:w="3160"/>
      </w:tblGrid>
      <w:tr w:rsidR="00847F5A" w14:paraId="7199B028" w14:textId="77777777">
        <w:trPr>
          <w:tblHeader/>
        </w:trPr>
        <w:tc>
          <w:tcPr>
            <w:tcW w:w="2400" w:type="dxa"/>
            <w:shd w:val="clear" w:color="auto" w:fill="D9E2F3"/>
            <w:tcMar>
              <w:top w:w="80" w:type="dxa"/>
              <w:left w:w="100" w:type="dxa"/>
              <w:bottom w:w="80" w:type="dxa"/>
              <w:right w:w="100" w:type="dxa"/>
            </w:tcMar>
            <w:vAlign w:val="center"/>
          </w:tcPr>
          <w:p w14:paraId="4FAB2FA1" w14:textId="77777777" w:rsidR="00847F5A" w:rsidRDefault="00000000">
            <w:r>
              <w:rPr>
                <w:b/>
                <w:bCs/>
                <w:sz w:val="20"/>
                <w:szCs w:val="20"/>
              </w:rPr>
              <w:t>Heat demand band</w:t>
            </w:r>
          </w:p>
        </w:tc>
        <w:tc>
          <w:tcPr>
            <w:tcW w:w="2600" w:type="dxa"/>
            <w:shd w:val="clear" w:color="auto" w:fill="D9E2F3"/>
            <w:tcMar>
              <w:top w:w="80" w:type="dxa"/>
              <w:left w:w="100" w:type="dxa"/>
              <w:bottom w:w="80" w:type="dxa"/>
              <w:right w:w="100" w:type="dxa"/>
            </w:tcMar>
            <w:vAlign w:val="center"/>
          </w:tcPr>
          <w:p w14:paraId="754F13EB" w14:textId="77777777" w:rsidR="00847F5A" w:rsidRDefault="00000000">
            <w:r>
              <w:rPr>
                <w:b/>
                <w:bCs/>
                <w:sz w:val="20"/>
                <w:szCs w:val="20"/>
              </w:rPr>
              <w:t>Technology</w:t>
            </w:r>
          </w:p>
        </w:tc>
        <w:tc>
          <w:tcPr>
            <w:tcW w:w="1200" w:type="dxa"/>
            <w:shd w:val="clear" w:color="auto" w:fill="D9E2F3"/>
            <w:tcMar>
              <w:top w:w="80" w:type="dxa"/>
              <w:left w:w="100" w:type="dxa"/>
              <w:bottom w:w="80" w:type="dxa"/>
              <w:right w:w="100" w:type="dxa"/>
            </w:tcMar>
            <w:vAlign w:val="center"/>
          </w:tcPr>
          <w:p w14:paraId="75BC15CE" w14:textId="77777777" w:rsidR="00847F5A" w:rsidRDefault="00000000">
            <w:r>
              <w:rPr>
                <w:b/>
                <w:bCs/>
                <w:sz w:val="20"/>
                <w:szCs w:val="20"/>
              </w:rPr>
              <w:t>COP</w:t>
            </w:r>
          </w:p>
        </w:tc>
        <w:tc>
          <w:tcPr>
            <w:tcW w:w="3160" w:type="dxa"/>
            <w:shd w:val="clear" w:color="auto" w:fill="D9E2F3"/>
            <w:tcMar>
              <w:top w:w="80" w:type="dxa"/>
              <w:left w:w="100" w:type="dxa"/>
              <w:bottom w:w="80" w:type="dxa"/>
              <w:right w:w="100" w:type="dxa"/>
            </w:tcMar>
            <w:vAlign w:val="center"/>
          </w:tcPr>
          <w:p w14:paraId="4B9D6E34" w14:textId="77777777" w:rsidR="00847F5A" w:rsidRDefault="00000000">
            <w:r>
              <w:rPr>
                <w:b/>
                <w:bCs/>
                <w:sz w:val="20"/>
                <w:szCs w:val="20"/>
              </w:rPr>
              <w:t>Notes</w:t>
            </w:r>
          </w:p>
        </w:tc>
      </w:tr>
      <w:tr w:rsidR="00847F5A" w14:paraId="5E8A475E" w14:textId="77777777">
        <w:tc>
          <w:tcPr>
            <w:tcW w:w="2400" w:type="dxa"/>
            <w:tcMar>
              <w:top w:w="80" w:type="dxa"/>
              <w:left w:w="100" w:type="dxa"/>
              <w:bottom w:w="80" w:type="dxa"/>
              <w:right w:w="100" w:type="dxa"/>
            </w:tcMar>
          </w:tcPr>
          <w:p w14:paraId="3007E49F" w14:textId="77777777" w:rsidR="00847F5A" w:rsidRDefault="00000000">
            <w:pPr>
              <w:spacing w:after="60"/>
            </w:pPr>
            <w:r>
              <w:rPr>
                <w:sz w:val="20"/>
                <w:szCs w:val="20"/>
              </w:rPr>
              <w:t>&lt;100 °C</w:t>
            </w:r>
          </w:p>
        </w:tc>
        <w:tc>
          <w:tcPr>
            <w:tcW w:w="2600" w:type="dxa"/>
            <w:tcMar>
              <w:top w:w="80" w:type="dxa"/>
              <w:left w:w="100" w:type="dxa"/>
              <w:bottom w:w="80" w:type="dxa"/>
              <w:right w:w="100" w:type="dxa"/>
            </w:tcMar>
          </w:tcPr>
          <w:p w14:paraId="39DA656E" w14:textId="77777777" w:rsidR="00847F5A" w:rsidRDefault="00000000">
            <w:pPr>
              <w:spacing w:after="60"/>
            </w:pPr>
            <w:r>
              <w:rPr>
                <w:sz w:val="20"/>
                <w:szCs w:val="20"/>
              </w:rPr>
              <w:t>Industrial heat pump (</w:t>
            </w:r>
            <w:proofErr w:type="gramStart"/>
            <w:r>
              <w:rPr>
                <w:sz w:val="20"/>
                <w:szCs w:val="20"/>
              </w:rPr>
              <w:t>low-temperature</w:t>
            </w:r>
            <w:proofErr w:type="gramEnd"/>
            <w:r>
              <w:rPr>
                <w:sz w:val="20"/>
                <w:szCs w:val="20"/>
              </w:rPr>
              <w:t>)</w:t>
            </w:r>
          </w:p>
        </w:tc>
        <w:tc>
          <w:tcPr>
            <w:tcW w:w="1200" w:type="dxa"/>
            <w:tcMar>
              <w:top w:w="80" w:type="dxa"/>
              <w:left w:w="100" w:type="dxa"/>
              <w:bottom w:w="80" w:type="dxa"/>
              <w:right w:w="100" w:type="dxa"/>
            </w:tcMar>
          </w:tcPr>
          <w:p w14:paraId="0A71F33F" w14:textId="77777777" w:rsidR="00847F5A" w:rsidRDefault="00000000">
            <w:pPr>
              <w:spacing w:after="60"/>
            </w:pPr>
            <w:r>
              <w:rPr>
                <w:sz w:val="20"/>
                <w:szCs w:val="20"/>
              </w:rPr>
              <w:t>2.7</w:t>
            </w:r>
          </w:p>
        </w:tc>
        <w:tc>
          <w:tcPr>
            <w:tcW w:w="3160" w:type="dxa"/>
            <w:tcMar>
              <w:top w:w="80" w:type="dxa"/>
              <w:left w:w="100" w:type="dxa"/>
              <w:bottom w:w="80" w:type="dxa"/>
              <w:right w:w="100" w:type="dxa"/>
            </w:tcMar>
          </w:tcPr>
          <w:p w14:paraId="508D79E6" w14:textId="77777777" w:rsidR="00847F5A" w:rsidRDefault="00847F5A">
            <w:pPr>
              <w:spacing w:after="60"/>
            </w:pPr>
          </w:p>
        </w:tc>
      </w:tr>
      <w:tr w:rsidR="00847F5A" w14:paraId="19E8B24B" w14:textId="77777777">
        <w:tc>
          <w:tcPr>
            <w:tcW w:w="2400" w:type="dxa"/>
            <w:tcMar>
              <w:top w:w="80" w:type="dxa"/>
              <w:left w:w="100" w:type="dxa"/>
              <w:bottom w:w="80" w:type="dxa"/>
              <w:right w:w="100" w:type="dxa"/>
            </w:tcMar>
          </w:tcPr>
          <w:p w14:paraId="79E0C0AE" w14:textId="77777777" w:rsidR="00847F5A" w:rsidRDefault="00000000">
            <w:pPr>
              <w:spacing w:after="60"/>
            </w:pPr>
            <w:r>
              <w:rPr>
                <w:sz w:val="20"/>
                <w:szCs w:val="20"/>
              </w:rPr>
              <w:t>100–200 °C</w:t>
            </w:r>
          </w:p>
        </w:tc>
        <w:tc>
          <w:tcPr>
            <w:tcW w:w="2600" w:type="dxa"/>
            <w:tcMar>
              <w:top w:w="80" w:type="dxa"/>
              <w:left w:w="100" w:type="dxa"/>
              <w:bottom w:w="80" w:type="dxa"/>
              <w:right w:w="100" w:type="dxa"/>
            </w:tcMar>
          </w:tcPr>
          <w:p w14:paraId="3E4CC3C1" w14:textId="77777777" w:rsidR="00847F5A" w:rsidRDefault="00000000">
            <w:pPr>
              <w:spacing w:after="60"/>
            </w:pPr>
            <w:r>
              <w:rPr>
                <w:sz w:val="20"/>
                <w:szCs w:val="20"/>
              </w:rPr>
              <w:t>Industrial heat pump (steam)</w:t>
            </w:r>
          </w:p>
        </w:tc>
        <w:tc>
          <w:tcPr>
            <w:tcW w:w="1200" w:type="dxa"/>
            <w:tcMar>
              <w:top w:w="80" w:type="dxa"/>
              <w:left w:w="100" w:type="dxa"/>
              <w:bottom w:w="80" w:type="dxa"/>
              <w:right w:w="100" w:type="dxa"/>
            </w:tcMar>
          </w:tcPr>
          <w:p w14:paraId="21FE9636" w14:textId="77777777" w:rsidR="00847F5A" w:rsidRDefault="00000000">
            <w:pPr>
              <w:spacing w:after="60"/>
            </w:pPr>
            <w:r>
              <w:rPr>
                <w:sz w:val="20"/>
                <w:szCs w:val="20"/>
              </w:rPr>
              <w:t>1.8</w:t>
            </w:r>
          </w:p>
        </w:tc>
        <w:tc>
          <w:tcPr>
            <w:tcW w:w="3160" w:type="dxa"/>
            <w:tcMar>
              <w:top w:w="80" w:type="dxa"/>
              <w:left w:w="100" w:type="dxa"/>
              <w:bottom w:w="80" w:type="dxa"/>
              <w:right w:w="100" w:type="dxa"/>
            </w:tcMar>
          </w:tcPr>
          <w:p w14:paraId="3ED559F4" w14:textId="77777777" w:rsidR="00847F5A" w:rsidRDefault="00000000">
            <w:pPr>
              <w:spacing w:after="60"/>
            </w:pPr>
            <w:r>
              <w:rPr>
                <w:sz w:val="20"/>
                <w:szCs w:val="20"/>
              </w:rPr>
              <w:t>Upper limit of the heat-pump pathway (~200 °C)</w:t>
            </w:r>
          </w:p>
        </w:tc>
      </w:tr>
      <w:tr w:rsidR="00847F5A" w14:paraId="60BF8E6A" w14:textId="77777777">
        <w:tc>
          <w:tcPr>
            <w:tcW w:w="2400" w:type="dxa"/>
            <w:tcMar>
              <w:top w:w="80" w:type="dxa"/>
              <w:left w:w="100" w:type="dxa"/>
              <w:bottom w:w="80" w:type="dxa"/>
              <w:right w:w="100" w:type="dxa"/>
            </w:tcMar>
          </w:tcPr>
          <w:p w14:paraId="0F0CBA1F" w14:textId="77777777" w:rsidR="00847F5A" w:rsidRDefault="00000000">
            <w:pPr>
              <w:spacing w:after="60"/>
            </w:pPr>
            <w:r>
              <w:rPr>
                <w:sz w:val="20"/>
                <w:szCs w:val="20"/>
              </w:rPr>
              <w:t>&gt;200 °C, up to ~1,500 °C</w:t>
            </w:r>
          </w:p>
        </w:tc>
        <w:tc>
          <w:tcPr>
            <w:tcW w:w="2600" w:type="dxa"/>
            <w:tcMar>
              <w:top w:w="80" w:type="dxa"/>
              <w:left w:w="100" w:type="dxa"/>
              <w:bottom w:w="80" w:type="dxa"/>
              <w:right w:w="100" w:type="dxa"/>
            </w:tcMar>
          </w:tcPr>
          <w:p w14:paraId="764CE6B0" w14:textId="77777777" w:rsidR="00847F5A" w:rsidRDefault="00000000">
            <w:pPr>
              <w:spacing w:after="60"/>
            </w:pPr>
            <w:r>
              <w:rPr>
                <w:sz w:val="20"/>
                <w:szCs w:val="20"/>
              </w:rPr>
              <w:t>Industrial heat battery</w:t>
            </w:r>
          </w:p>
        </w:tc>
        <w:tc>
          <w:tcPr>
            <w:tcW w:w="1200" w:type="dxa"/>
            <w:tcMar>
              <w:top w:w="80" w:type="dxa"/>
              <w:left w:w="100" w:type="dxa"/>
              <w:bottom w:w="80" w:type="dxa"/>
              <w:right w:w="100" w:type="dxa"/>
            </w:tcMar>
          </w:tcPr>
          <w:p w14:paraId="7F3AED50" w14:textId="77777777" w:rsidR="00847F5A" w:rsidRDefault="00000000">
            <w:pPr>
              <w:spacing w:after="60"/>
            </w:pPr>
            <w:r>
              <w:rPr>
                <w:sz w:val="20"/>
                <w:szCs w:val="20"/>
              </w:rPr>
              <w:t>1.0</w:t>
            </w:r>
          </w:p>
        </w:tc>
        <w:tc>
          <w:tcPr>
            <w:tcW w:w="3160" w:type="dxa"/>
            <w:tcMar>
              <w:top w:w="80" w:type="dxa"/>
              <w:left w:w="100" w:type="dxa"/>
              <w:bottom w:w="80" w:type="dxa"/>
              <w:right w:w="100" w:type="dxa"/>
            </w:tcMar>
          </w:tcPr>
          <w:p w14:paraId="12AF0E2D" w14:textId="77777777" w:rsidR="00847F5A" w:rsidRDefault="00000000">
            <w:pPr>
              <w:spacing w:after="60"/>
            </w:pPr>
            <w:r>
              <w:rPr>
                <w:sz w:val="20"/>
                <w:szCs w:val="20"/>
              </w:rPr>
              <w:t>No efficiency multiplier</w:t>
            </w:r>
          </w:p>
        </w:tc>
      </w:tr>
    </w:tbl>
    <w:p w14:paraId="2FC76FF2" w14:textId="77777777" w:rsidR="00847F5A" w:rsidRDefault="00000000">
      <w:pPr>
        <w:spacing w:after="300"/>
      </w:pPr>
      <w:r>
        <w:rPr>
          <w:b/>
          <w:bCs/>
          <w:sz w:val="20"/>
          <w:szCs w:val="20"/>
        </w:rPr>
        <w:t xml:space="preserve">Table 3 | </w:t>
      </w:r>
      <w:r>
        <w:rPr>
          <w:sz w:val="20"/>
          <w:szCs w:val="20"/>
        </w:rPr>
        <w:t>Heat demand bands, assigned technology, and coefficient of performance (COP).</w:t>
      </w:r>
    </w:p>
    <w:p w14:paraId="111E5EEC" w14:textId="77777777" w:rsidR="00847F5A" w:rsidRDefault="00000000">
      <w:pPr>
        <w:pStyle w:val="Heading3"/>
      </w:pPr>
      <w:r>
        <w:t>Flat-load assumption</w:t>
      </w:r>
    </w:p>
    <w:p w14:paraId="552C4C90" w14:textId="0027EBFA" w:rsidR="00847F5A" w:rsidRDefault="00000000">
      <w:pPr>
        <w:spacing w:after="200" w:line="480" w:lineRule="auto"/>
        <w:jc w:val="both"/>
      </w:pPr>
      <w:r>
        <w:t xml:space="preserve">Heat demand is estimated only at annual resolution (production × SEC × fossil share or CO2 emissions × combustion share × emission factor). The heat profiles from </w:t>
      </w:r>
      <w:proofErr w:type="spellStart"/>
      <w:r>
        <w:t>Hotmaps</w:t>
      </w:r>
      <w:proofErr w:type="spellEnd"/>
      <w:r>
        <w:t xml:space="preserve"> </w:t>
      </w:r>
      <w:r w:rsidR="00C25CA7">
        <w:fldChar w:fldCharType="begin"/>
      </w:r>
      <w:r w:rsidR="00C17FC2">
        <w:instrText xml:space="preserve"> ADDIN ZOTERO_ITEM CSL_CITATION {"citationID":"Eb59Kfa4","properties":{"unsorted":false,"formattedCitation":"(P. S. Pezzutto et al., n.d.)","plainCitation":"(P. S. Pezzutto et al., n.d.)","noteIndex":0},"citationItems":[{"id":314,"uris":["http://zotero.org/users/20280584/items/8BSZ4EKV"],"itemData":{"id":314,"type":"article-journal","citation-key":"pezzuttoD23WP2Report","language":"en","source":"Zotero","title":"D2.3 WP2 Report – Open Data Set for the EU28","author":[{"family":"Pezzutto","given":"Prepared Simon"},{"family":"Zambotti","given":"Stefano"},{"family":"Croce","given":"Silvia"},{"family":"Zambelli","given":"Pietro"},{"family":"Scaramuzzino","given":"Chiara"},{"family":"Pascuas","given":"Ramón Pascual"},{"family":"Haas","given":"Franziska"},{"family":"Lucchi","given":"Elena"},{"family":"Valle","given":"Nives Della"},{"family":"Zubaryeva","given":"Alyona"},{"family":"Müller","given":"Andreas"}]}}],"schema":"https://github.com/citation-style-language/schema/raw/master/csl-citation.json"} </w:instrText>
      </w:r>
      <w:r w:rsidR="00C25CA7">
        <w:fldChar w:fldCharType="separate"/>
      </w:r>
      <w:r w:rsidR="00C17FC2">
        <w:rPr>
          <w:noProof/>
        </w:rPr>
        <w:t>(P. S. Pezzutto et al., n.d.)</w:t>
      </w:r>
      <w:r w:rsidR="00C25CA7">
        <w:fldChar w:fldCharType="end"/>
      </w:r>
      <w:r>
        <w:t xml:space="preserve"> are nearly flat and would not change the time demand onto solar hours. We therefore model replaceable heat as a flat, constant hourly load equal to annual replaceable heat divided by 8,760 hours. This deliberate simplification treats average load as peak load for sizing purposes, with no diurnal or seasonal variation.</w:t>
      </w:r>
    </w:p>
    <w:p w14:paraId="1F821F6F" w14:textId="77777777" w:rsidR="00847F5A" w:rsidRDefault="00000000">
      <w:pPr>
        <w:pStyle w:val="Heading3"/>
      </w:pPr>
      <w:r>
        <w:t>Heat demand by temperature and mapping to technology</w:t>
      </w:r>
    </w:p>
    <w:p w14:paraId="5DFCA71C" w14:textId="05A2C95D" w:rsidR="00847F5A" w:rsidRDefault="00000000">
      <w:pPr>
        <w:spacing w:after="200" w:line="480" w:lineRule="auto"/>
        <w:jc w:val="both"/>
      </w:pPr>
      <w:r>
        <w:t>Each facility’s heat is split across five temperature bands (&lt;100, 100–200, 200–500, 500–1,000, and &gt;1,000 °C) using process recipes from industry fuel-SEC and band-share benchmarks (</w:t>
      </w:r>
      <w:proofErr w:type="spellStart"/>
      <w:r>
        <w:t>IndustryHeat</w:t>
      </w:r>
      <w:proofErr w:type="spellEnd"/>
      <w:r>
        <w:t xml:space="preserve"> / </w:t>
      </w:r>
      <w:proofErr w:type="spellStart"/>
      <w:r>
        <w:t>Hotmaps</w:t>
      </w:r>
      <w:proofErr w:type="spellEnd"/>
      <w:r>
        <w:t xml:space="preserve"> process data). For most manufacturing subsectors the Climate TRACE </w:t>
      </w:r>
      <w:r>
        <w:lastRenderedPageBreak/>
        <w:t>source type maps directly to a benchmark recipe (for example clinker calcination for cement, sinter plus rolling for BF–BOF steel, ethylene for steam cracking).</w:t>
      </w:r>
    </w:p>
    <w:p w14:paraId="081D26C7" w14:textId="77777777" w:rsidR="00847F5A" w:rsidRDefault="00000000">
      <w:pPr>
        <w:spacing w:after="200" w:line="480" w:lineRule="auto"/>
        <w:jc w:val="both"/>
      </w:pPr>
      <w:r>
        <w:t xml:space="preserve">Where Climate TRACE types are generic, we assign a </w:t>
      </w:r>
      <w:proofErr w:type="spellStart"/>
      <w:r>
        <w:t>Hotmaps</w:t>
      </w:r>
      <w:proofErr w:type="spellEnd"/>
      <w:r>
        <w:t xml:space="preserve"> process from facility names before applying band shares. Food, beverage and tobacco sites are matched with multilingual keywords to Sugar, Dairy, Brewing, Meat processing, Bread &amp; bakery or Starch. Sugar and bakery plants carry a high-temperature share and therefore receive industrial heat-battery capacity; dairy, brewing, meat and starch loads remain below 200 °C and are heat-pump served. Sites that do not match any keyword default to Dairy (heat-pump only), rather than an equal-weight blend of all food processes, so unmatched plants are not assigned sugar- or bakery-like high-temperature demand. Glass works are name-matched to container, flat, </w:t>
      </w:r>
      <w:proofErr w:type="spellStart"/>
      <w:r>
        <w:t>fibre</w:t>
      </w:r>
      <w:proofErr w:type="spellEnd"/>
      <w:r>
        <w:t xml:space="preserve"> or other </w:t>
      </w:r>
      <w:proofErr w:type="gramStart"/>
      <w:r>
        <w:t>glass</w:t>
      </w:r>
      <w:proofErr w:type="gramEnd"/>
      <w:r>
        <w:t xml:space="preserve"> when possible, otherwise an EU product mix; lehr and annealing heat is folded into the melt </w:t>
      </w:r>
      <w:proofErr w:type="gramStart"/>
      <w:r>
        <w:t>band</w:t>
      </w:r>
      <w:proofErr w:type="gramEnd"/>
      <w:r>
        <w:t xml:space="preserve"> so glass is modelled as industrial-heat-battery only. Textiles and pulp and paper are treated as sub-200 °C steam loads (heat-pump only). Dual heat-pump and industrial-heat-battery equipment at one site is reserved for genuine co-located low- and high-temperature unit operations (notably alumina refining and soda ash, and name-matched sugar or bakery plants).</w:t>
      </w:r>
    </w:p>
    <w:p w14:paraId="616542C2" w14:textId="77777777" w:rsidR="00847F5A" w:rsidRDefault="00000000">
      <w:pPr>
        <w:spacing w:after="200" w:line="480" w:lineRule="auto"/>
        <w:jc w:val="both"/>
      </w:pPr>
      <w:r>
        <w:t>Technology follows the band: the two sub-200 °C bands to heat pumps with shared lithium-ion storage, and all higher bands to the industrial heat battery. Across the mapped fleet these placements concentrate heat-pump duty in food, textiles and paper, and industrial heat-battery duty in cement, lime, glass melt, steel finishing, chemicals and steam cracking.</w:t>
      </w:r>
    </w:p>
    <w:p w14:paraId="04BEFB99" w14:textId="77777777" w:rsidR="00847F5A" w:rsidRDefault="00000000">
      <w:pPr>
        <w:spacing w:after="200" w:line="480" w:lineRule="auto"/>
        <w:jc w:val="both"/>
      </w:pPr>
      <w:r>
        <w:t xml:space="preserve">Heat demand uses </w:t>
      </w:r>
      <w:proofErr w:type="spellStart"/>
      <w:r>
        <w:t>Hotmaps</w:t>
      </w:r>
      <w:proofErr w:type="spellEnd"/>
      <w:r>
        <w:t xml:space="preserve"> / </w:t>
      </w:r>
      <w:proofErr w:type="spellStart"/>
      <w:r>
        <w:t>IndustryHeat</w:t>
      </w:r>
      <w:proofErr w:type="spellEnd"/>
      <w:r>
        <w:t xml:space="preserve"> temperature demand bins (&lt;100, 100–200, 200–500, 500–1,000 and &gt;1,000 °C)—the buckets that split each facility’s annual process heat by temperature. Heat-pump CAPEX instead follows Rissman’s commercial product classes </w:t>
      </w:r>
      <w:r>
        <w:lastRenderedPageBreak/>
        <w:t>($700/</w:t>
      </w:r>
      <w:proofErr w:type="spellStart"/>
      <w:r>
        <w:t>kW_th</w:t>
      </w:r>
      <w:proofErr w:type="spellEnd"/>
      <w:r>
        <w:t xml:space="preserve"> for roughly 80–100 °C; $870/</w:t>
      </w:r>
      <w:proofErr w:type="spellStart"/>
      <w:r>
        <w:t>kW_th</w:t>
      </w:r>
      <w:proofErr w:type="spellEnd"/>
      <w:r>
        <w:t xml:space="preserve"> for roughly 100–180 °C). We reconcile the two by mapping the nearer Rissman cost class onto each </w:t>
      </w:r>
      <w:proofErr w:type="spellStart"/>
      <w:r>
        <w:t>Hotmaps</w:t>
      </w:r>
      <w:proofErr w:type="spellEnd"/>
      <w:r>
        <w:t xml:space="preserve"> demand bin: the 80–100 °C costs to demand below 100 °C, and the 100–180 °C costs to the full 100–200 °C demand bin. The heat-pump versus industrial-heat-battery technology boundary stays at 200 °C to match the demand bins (and Rissman’s own heat-demand framing under/over 200 °C); loads at or above 200 °C fall outside the heat-pump cost tables and are served by the industrial heat battery. Heat between 180 and 200 °C is not separately resolved in the benchmarks; under a uniform split of the 100–200 °C bin only a few percent of fleet heat would change technology class.</w:t>
      </w:r>
    </w:p>
    <w:p w14:paraId="40A3C972" w14:textId="77777777" w:rsidR="00847F5A" w:rsidRDefault="00000000">
      <w:pPr>
        <w:spacing w:before="120" w:after="200"/>
        <w:jc w:val="center"/>
      </w:pPr>
      <w:proofErr w:type="spellStart"/>
      <w:r>
        <w:rPr>
          <w:rFonts w:ascii="Cambria Math" w:eastAsia="Cambria Math" w:hAnsi="Cambria Math" w:cs="Cambria Math"/>
          <w:i/>
          <w:iCs/>
        </w:rPr>
        <w:t>E_</w:t>
      </w:r>
      <w:proofErr w:type="gramStart"/>
      <w:r>
        <w:rPr>
          <w:rFonts w:ascii="Cambria Math" w:eastAsia="Cambria Math" w:hAnsi="Cambria Math" w:cs="Cambria Math"/>
          <w:i/>
          <w:iCs/>
        </w:rPr>
        <w:t>replaceable,b</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replaceable_heat_MWh</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heat_band_b</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Σ_b</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heat_band_b</w:t>
      </w:r>
      <w:proofErr w:type="spellEnd"/>
      <w:r>
        <w:rPr>
          <w:rFonts w:ascii="Cambria Math" w:eastAsia="Cambria Math" w:hAnsi="Cambria Math" w:cs="Cambria Math"/>
          <w:i/>
          <w:iCs/>
        </w:rPr>
        <w:t>)</w:t>
      </w:r>
    </w:p>
    <w:p w14:paraId="6673DFF2" w14:textId="77777777" w:rsidR="00847F5A" w:rsidRDefault="00000000">
      <w:pPr>
        <w:spacing w:before="120" w:after="200"/>
        <w:jc w:val="center"/>
      </w:pPr>
      <w:proofErr w:type="spellStart"/>
      <w:r>
        <w:rPr>
          <w:rFonts w:ascii="Cambria Math" w:eastAsia="Cambria Math" w:hAnsi="Cambria Math" w:cs="Cambria Math"/>
          <w:i/>
          <w:iCs/>
        </w:rPr>
        <w:t>load_b</w:t>
      </w:r>
      <w:proofErr w:type="spellEnd"/>
      <w:r>
        <w:rPr>
          <w:rFonts w:ascii="Cambria Math" w:eastAsia="Cambria Math" w:hAnsi="Cambria Math" w:cs="Cambria Math"/>
          <w:i/>
          <w:iCs/>
        </w:rPr>
        <w:t xml:space="preserve"> [MW] = </w:t>
      </w:r>
      <w:proofErr w:type="spellStart"/>
      <w:r>
        <w:rPr>
          <w:rFonts w:ascii="Cambria Math" w:eastAsia="Cambria Math" w:hAnsi="Cambria Math" w:cs="Cambria Math"/>
          <w:i/>
          <w:iCs/>
        </w:rPr>
        <w:t>E_</w:t>
      </w:r>
      <w:proofErr w:type="gramStart"/>
      <w:r>
        <w:rPr>
          <w:rFonts w:ascii="Cambria Math" w:eastAsia="Cambria Math" w:hAnsi="Cambria Math" w:cs="Cambria Math"/>
          <w:i/>
          <w:iCs/>
        </w:rPr>
        <w:t>replaceable,b</w:t>
      </w:r>
      <w:proofErr w:type="spellEnd"/>
      <w:proofErr w:type="gramEnd"/>
      <w:r>
        <w:rPr>
          <w:rFonts w:ascii="Cambria Math" w:eastAsia="Cambria Math" w:hAnsi="Cambria Math" w:cs="Cambria Math"/>
          <w:i/>
          <w:iCs/>
        </w:rPr>
        <w:t xml:space="preserve"> / 8760</w:t>
      </w:r>
    </w:p>
    <w:p w14:paraId="06633656" w14:textId="77777777" w:rsidR="00847F5A" w:rsidRDefault="00000000">
      <w:pPr>
        <w:pStyle w:val="Heading2"/>
      </w:pPr>
      <w:r>
        <w:t>Solar radiation per facility</w:t>
      </w:r>
    </w:p>
    <w:p w14:paraId="2728388B" w14:textId="77777777" w:rsidR="00847F5A" w:rsidRDefault="00000000">
      <w:pPr>
        <w:spacing w:after="200" w:line="480" w:lineRule="auto"/>
        <w:jc w:val="both"/>
      </w:pPr>
      <w:r>
        <w:t xml:space="preserve">Hourly PV output per facility is retrieved from the PVGIS </w:t>
      </w:r>
      <w:proofErr w:type="spellStart"/>
      <w:r>
        <w:t>seriescalc</w:t>
      </w:r>
      <w:proofErr w:type="spellEnd"/>
      <w:r>
        <w:t xml:space="preserve"> API using the PVGIS-ERA5 database for 2023</w:t>
      </w:r>
      <w:r>
        <w:rPr>
          <w:vertAlign w:val="superscript"/>
        </w:rPr>
        <w:t>6</w:t>
      </w:r>
      <w:r>
        <w:t>, modelled as a 1 </w:t>
      </w:r>
      <w:proofErr w:type="spellStart"/>
      <w:r>
        <w:t>kWp</w:t>
      </w:r>
      <w:proofErr w:type="spellEnd"/>
      <w:r>
        <w:t xml:space="preserve"> system with tilt equal to site latitude, azimuth due south, and zero system losses. Output is converted to kW/</w:t>
      </w:r>
      <w:proofErr w:type="spellStart"/>
      <w:r>
        <w:t>kWp</w:t>
      </w:r>
      <w:proofErr w:type="spellEnd"/>
      <w:r>
        <w:t>, localized to each site’s time zone, and reindexed to a complete 8,760-hour series (missing hours set to zero); annual yield and capacity factor are derived per facility.</w:t>
      </w:r>
    </w:p>
    <w:p w14:paraId="4D0DE1EB" w14:textId="77777777" w:rsidR="00847F5A" w:rsidRDefault="00000000">
      <w:pPr>
        <w:spacing w:after="200" w:line="480" w:lineRule="auto"/>
        <w:jc w:val="both"/>
      </w:pPr>
      <w:r>
        <w:t>Across the mapped facilities, annual yield has a median of 1,333 and a mean of 1,412 kWh/</w:t>
      </w:r>
      <w:proofErr w:type="spellStart"/>
      <w:r>
        <w:t>kWp</w:t>
      </w:r>
      <w:proofErr w:type="spellEnd"/>
      <w:r>
        <w:t xml:space="preserve"> (range ~900–2,000 kWh/</w:t>
      </w:r>
      <w:proofErr w:type="spellStart"/>
      <w:r>
        <w:t>kWp</w:t>
      </w:r>
      <w:proofErr w:type="spellEnd"/>
      <w:r>
        <w:t>), correlates strongly and negatively with latitude (Pearson r ≈ −0.92), and reproduces the known European solar gradient — brightest across Iberia, Italy, and Greece; dimmest across the Nordics, the UK, and the Baltics (Fig. 4). Representative sites span this range, from Cyprus (~2,049 kWh/</w:t>
      </w:r>
      <w:proofErr w:type="spellStart"/>
      <w:r>
        <w:t>kWp</w:t>
      </w:r>
      <w:proofErr w:type="spellEnd"/>
      <w:r>
        <w:t>) to northern Sweden at 67°N (~967 kWh/</w:t>
      </w:r>
      <w:proofErr w:type="spellStart"/>
      <w:r>
        <w:t>kWp</w:t>
      </w:r>
      <w:proofErr w:type="spellEnd"/>
      <w:r>
        <w:t>).</w:t>
      </w:r>
    </w:p>
    <w:p w14:paraId="28A0E1C5" w14:textId="77777777" w:rsidR="00847F5A" w:rsidRDefault="00000000">
      <w:pPr>
        <w:spacing w:before="200" w:after="120"/>
        <w:jc w:val="center"/>
      </w:pPr>
      <w:r>
        <w:rPr>
          <w:noProof/>
        </w:rPr>
        <w:lastRenderedPageBreak/>
        <w:drawing>
          <wp:inline distT="0" distB="0" distL="0" distR="0" wp14:anchorId="1748E169" wp14:editId="61FC42A6">
            <wp:extent cx="3810000" cy="2752725"/>
            <wp:effectExtent l="0" t="0" r="0" b="0"/>
            <wp:docPr id="509740445" name="Picture 50974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752725"/>
                    </a:xfrm>
                    <a:prstGeom prst="rect">
                      <a:avLst/>
                    </a:prstGeom>
                  </pic:spPr>
                </pic:pic>
              </a:graphicData>
            </a:graphic>
          </wp:inline>
        </w:drawing>
      </w:r>
    </w:p>
    <w:p w14:paraId="3F01FD89" w14:textId="77777777" w:rsidR="00847F5A" w:rsidRDefault="00000000">
      <w:pPr>
        <w:spacing w:after="300" w:line="300" w:lineRule="auto"/>
      </w:pPr>
      <w:r>
        <w:rPr>
          <w:b/>
          <w:bCs/>
          <w:sz w:val="20"/>
          <w:szCs w:val="20"/>
        </w:rPr>
        <w:t xml:space="preserve">Fig. 4 | </w:t>
      </w:r>
      <w:r>
        <w:rPr>
          <w:sz w:val="20"/>
          <w:szCs w:val="20"/>
        </w:rPr>
        <w:t xml:space="preserve">Facility-level solar resource across the study area. Each point is one Climate TRACE facility (n = 2,415), positioned by longitude and latitude and colored by annual PV yield (kWh per </w:t>
      </w:r>
      <w:proofErr w:type="spellStart"/>
      <w:r>
        <w:rPr>
          <w:sz w:val="20"/>
          <w:szCs w:val="20"/>
        </w:rPr>
        <w:t>kWp</w:t>
      </w:r>
      <w:proofErr w:type="spellEnd"/>
      <w:r>
        <w:rPr>
          <w:sz w:val="20"/>
          <w:szCs w:val="20"/>
        </w:rPr>
        <w:t xml:space="preserve"> per year) from the PVGIS-ERA5 database for calendar year 2023, modelled as a 1 </w:t>
      </w:r>
      <w:proofErr w:type="spellStart"/>
      <w:r>
        <w:rPr>
          <w:sz w:val="20"/>
          <w:szCs w:val="20"/>
        </w:rPr>
        <w:t>kWp</w:t>
      </w:r>
      <w:proofErr w:type="spellEnd"/>
      <w:r>
        <w:rPr>
          <w:sz w:val="20"/>
          <w:szCs w:val="20"/>
        </w:rPr>
        <w:t xml:space="preserve"> system at site-latitude tilt with zero system losses.</w:t>
      </w:r>
    </w:p>
    <w:p w14:paraId="4A6848BC" w14:textId="77777777" w:rsidR="00847F5A" w:rsidRDefault="00000000">
      <w:pPr>
        <w:pStyle w:val="Heading2"/>
      </w:pPr>
      <w:r>
        <w:t xml:space="preserve">Land availability for </w:t>
      </w:r>
      <w:proofErr w:type="spellStart"/>
      <w:r>
        <w:t>colocated</w:t>
      </w:r>
      <w:proofErr w:type="spellEnd"/>
      <w:r>
        <w:t xml:space="preserve"> solar</w:t>
      </w:r>
    </w:p>
    <w:p w14:paraId="324FF618" w14:textId="5E0CD9E2" w:rsidR="00847F5A" w:rsidRDefault="00000000" w:rsidP="0078245E">
      <w:pPr>
        <w:spacing w:after="200" w:line="480" w:lineRule="auto"/>
        <w:jc w:val="both"/>
      </w:pPr>
      <w:r>
        <w:t xml:space="preserve">For each facility we compute developable land for </w:t>
      </w:r>
      <w:proofErr w:type="spellStart"/>
      <w:r>
        <w:t>colocated</w:t>
      </w:r>
      <w:proofErr w:type="spellEnd"/>
      <w:r>
        <w:t xml:space="preserve"> solar within 5 km and 15 km buffers (the latter for sensitivity), using ESA </w:t>
      </w:r>
      <w:proofErr w:type="spellStart"/>
      <w:r>
        <w:t>WorldCover</w:t>
      </w:r>
      <w:proofErr w:type="spellEnd"/>
      <w:r>
        <w:t xml:space="preserve"> land-cover data</w:t>
      </w:r>
      <w:r>
        <w:rPr>
          <w:vertAlign w:val="superscript"/>
        </w:rPr>
        <w:t>7</w:t>
      </w:r>
      <w:r>
        <w:t xml:space="preserve"> via Google Earth Engine zonal statistics</w:t>
      </w:r>
      <w:r>
        <w:rPr>
          <w:vertAlign w:val="superscript"/>
        </w:rPr>
        <w:t>8</w:t>
      </w:r>
      <w:r>
        <w:t>. Two exclusions are applied before summing developable area: slope greater than 5°, and WDPA-protected areas</w:t>
      </w:r>
      <w:r>
        <w:rPr>
          <w:vertAlign w:val="superscript"/>
        </w:rPr>
        <w:t>9</w:t>
      </w:r>
      <w:r>
        <w:t xml:space="preserve"> plus a 100 m buffer. Bare ground, cropland, grassland, and shrubland are summed as available land (km²); forest, built-up land, water, wetland, snow/ice, mangroves, and moss/lichen are treated as not developable. Available land caps solar capacity in the optimization; where a 90% reliability target cannot be met within that cap, the model relaxes the floor and reports the reliability achievable.</w:t>
      </w:r>
    </w:p>
    <w:p w14:paraId="40A0BB94" w14:textId="640E3791" w:rsidR="00847F5A" w:rsidRDefault="00000000">
      <w:pPr>
        <w:spacing w:after="200" w:line="480" w:lineRule="auto"/>
        <w:jc w:val="both"/>
      </w:pPr>
      <w:r>
        <w:t xml:space="preserve">All 2,415 facilities carry land data and average 48.2 km² of developable land per facility within the 5 km buffer (61% of the buffer area). The remainder is masked by slope/protected-area filters or falls outside </w:t>
      </w:r>
      <w:proofErr w:type="spellStart"/>
      <w:r>
        <w:t>WorldCover’s</w:t>
      </w:r>
      <w:proofErr w:type="spellEnd"/>
      <w:r>
        <w:t xml:space="preserve"> coverage. Twenty-six facilities, concentrated in food, beverage &amp; </w:t>
      </w:r>
      <w:r>
        <w:lastRenderedPageBreak/>
        <w:t xml:space="preserve">tobacco, textiles &amp; </w:t>
      </w:r>
      <w:proofErr w:type="spellStart"/>
      <w:r>
        <w:t>apparelm</w:t>
      </w:r>
      <w:proofErr w:type="spellEnd"/>
      <w:r>
        <w:t xml:space="preserve"> and pulp &amp; paper, have zero developable land, typically dense or built-up sites with no open ground nearby.</w:t>
      </w:r>
    </w:p>
    <w:p w14:paraId="7148F3D4" w14:textId="77777777" w:rsidR="00847F5A" w:rsidRDefault="00000000">
      <w:pPr>
        <w:pStyle w:val="Heading2"/>
      </w:pPr>
      <w:r>
        <w:t>Technology and cost data</w:t>
      </w:r>
    </w:p>
    <w:p w14:paraId="16BF0EC5" w14:textId="77777777" w:rsidR="00847F5A" w:rsidRDefault="00000000">
      <w:pPr>
        <w:spacing w:after="200" w:line="480" w:lineRule="auto"/>
        <w:jc w:val="both"/>
      </w:pPr>
      <w:r>
        <w:t>Technology costs are assigned at the country level in US dollars for the chosen project-start year. The primary Results use 2030 BNEF tables for fixed-axis solar PV and utility-scale four-hour lithium-ion batteries; countries without a direct observation are proxied from income- and region-peer averages, and the UK uses Ireland as its proxy. Solar and lithium-ion CAPEX are annualized with the country-specific capital-recovery factor (CRF) implied by BNEF. Industrial heat-pump CAPEX and fixed O&amp;M (Rissman / Agora–</w:t>
      </w:r>
      <w:proofErr w:type="spellStart"/>
      <w:r>
        <w:t>FutureCamp</w:t>
      </w:r>
      <w:proofErr w:type="spellEnd"/>
      <w:r>
        <w:t xml:space="preserve">–Wuppertal basis: $700 and $870 per </w:t>
      </w:r>
      <w:proofErr w:type="spellStart"/>
      <w:r>
        <w:t>kW_th</w:t>
      </w:r>
      <w:proofErr w:type="spellEnd"/>
      <w:r>
        <w:t xml:space="preserve"> with $12 and $18 per </w:t>
      </w:r>
      <w:proofErr w:type="spellStart"/>
      <w:r>
        <w:t>kW_th</w:t>
      </w:r>
      <w:proofErr w:type="spellEnd"/>
      <w:r>
        <w:t xml:space="preserve">-yr FOM in 2021 dollars for the ~80–100 °C and ~100–180 °C product classes, mapped onto </w:t>
      </w:r>
      <w:proofErr w:type="spellStart"/>
      <w:r>
        <w:t>Hotmaps</w:t>
      </w:r>
      <w:proofErr w:type="spellEnd"/>
      <w:r>
        <w:t xml:space="preserve"> demand bins &lt;100 °C and 100–200 °C as above) and Energy Innovation industrial heat-battery CAPEX ($100/kW-in, $300/kW-out, $5/kWh in 2023 dollars) are converted to constant 2030 dollars with US CPI-U (plus 2%/yr beyond the latest observed annual index) before the same country CRF is applied. Heat-pump thermal capacity in the cost accounting is sized to served heat.</w:t>
      </w:r>
    </w:p>
    <w:p w14:paraId="3AA64DB2" w14:textId="164EA8A9" w:rsidR="00847F5A" w:rsidRDefault="00000000">
      <w:pPr>
        <w:spacing w:after="200" w:line="480" w:lineRule="auto"/>
        <w:jc w:val="both"/>
      </w:pPr>
      <w:r>
        <w:t>For the industrial heat battery, round-trip efficiency is 95%. Storage duration is capped at 16 h at the discharge rating, and co-located PV density is capped at 50 </w:t>
      </w:r>
      <w:proofErr w:type="spellStart"/>
      <w:r>
        <w:t>MWdc</w:t>
      </w:r>
      <w:proofErr w:type="spellEnd"/>
      <w:r>
        <w:t>/km² of available land. Lithium-ion round-trip efficiency is 90%. Legacy thermal-store screening assumptions ($20/</w:t>
      </w:r>
      <w:proofErr w:type="spellStart"/>
      <w:r>
        <w:t>kWh_th</w:t>
      </w:r>
      <w:proofErr w:type="spellEnd"/>
      <w:r>
        <w:t xml:space="preserve"> with a fixed 7% discount rate) are retained only as sensitivity context; primary Results use the Energy Innovation power-and-energy CAPEX structure above.</w:t>
      </w:r>
    </w:p>
    <w:p w14:paraId="18FF6D00" w14:textId="5113A6C3" w:rsidR="00847F5A" w:rsidRDefault="00000000">
      <w:pPr>
        <w:spacing w:after="200" w:line="480" w:lineRule="auto"/>
        <w:jc w:val="both"/>
      </w:pPr>
      <w:r>
        <w:t xml:space="preserve">Heat delivery follows Table 3 (COP 2.7 below 100 °C, 1.8 for 100–200 °C, 1.0 above 200 °C). COP still governs the electricity-to-heat conversion. The country CCGT LCOE from BNEF provides a fossil-generation screening benchmark. For Results cost-effectiveness claims we use a </w:t>
      </w:r>
      <w:r>
        <w:lastRenderedPageBreak/>
        <w:t>country gas-boiler heat cost constructed from industrial end-user gas prices by country (project cost tables; Eurostat nrg_pc_203 is the natural primary statistical source for an equivalent series), divided by boiler efficiency 0.85</w:t>
      </w:r>
      <w:r>
        <w:rPr>
          <w:vertAlign w:val="superscript"/>
        </w:rPr>
        <w:t>22</w:t>
      </w:r>
      <w:r>
        <w:t>, plus EUA carbon at €79/</w:t>
      </w:r>
      <w:proofErr w:type="spellStart"/>
      <w:r>
        <w:t>tCO</w:t>
      </w:r>
      <w:proofErr w:type="spellEnd"/>
      <w:r>
        <w:t>₂, converted at EURUSD = 1.08 (≈ €61–122/</w:t>
      </w:r>
      <w:proofErr w:type="spellStart"/>
      <w:r>
        <w:t>MWh_th</w:t>
      </w:r>
      <w:proofErr w:type="spellEnd"/>
      <w:r>
        <w:t xml:space="preserve"> across study countries; fleet heat-weighted ≈ $84/MWh). As a published comparator, Reform Institute reports a fossil gas-boiler LCOH of ≈ €86.3/</w:t>
      </w:r>
      <w:proofErr w:type="spellStart"/>
      <w:r>
        <w:t>MWh_th</w:t>
      </w:r>
      <w:proofErr w:type="spellEnd"/>
      <w:r>
        <w:t xml:space="preserve"> in 2030 (≈ €90.9–104.7/</w:t>
      </w:r>
      <w:proofErr w:type="spellStart"/>
      <w:r>
        <w:t>MWh_th</w:t>
      </w:r>
      <w:proofErr w:type="spellEnd"/>
      <w:r>
        <w:t xml:space="preserve"> over 2035–2050; Annex 3, Table 18) in the Poland scenarios compiled by Agora Industry &amp; Agora Energiewende</w:t>
      </w:r>
      <w:r>
        <w:rPr>
          <w:vertAlign w:val="superscript"/>
        </w:rPr>
        <w:t>23</w:t>
      </w:r>
      <w:r>
        <w:t>,</w:t>
      </w:r>
      <w:r>
        <w:rPr>
          <w:vertAlign w:val="superscript"/>
        </w:rPr>
        <w:t>24</w:t>
      </w:r>
      <w:r>
        <w:t>. Agora’s Germany comparison (Table 2; Fig. 10) reports gas and CO₂ price scenarios used to compute technology LCOHs, including the 2024 gas-plus-CO₂ parameter of €80.6/MWh, rather than a single EU-wide gas-boiler LCOH figure</w:t>
      </w:r>
      <w:r>
        <w:rPr>
          <w:vertAlign w:val="superscript"/>
        </w:rPr>
        <w:t>23</w:t>
      </w:r>
      <w:r>
        <w:t>.</w:t>
      </w:r>
    </w:p>
    <w:p w14:paraId="1A05497B" w14:textId="77777777" w:rsidR="00847F5A" w:rsidRDefault="00000000">
      <w:pPr>
        <w:pStyle w:val="Heading2"/>
      </w:pPr>
      <w:r>
        <w:t>LCOH and system sizing</w:t>
      </w:r>
    </w:p>
    <w:p w14:paraId="57E0BB2A" w14:textId="0B1F4D84" w:rsidR="00847F5A" w:rsidRDefault="00000000">
      <w:pPr>
        <w:spacing w:after="200" w:line="480" w:lineRule="auto"/>
        <w:jc w:val="both"/>
      </w:pPr>
      <w:r>
        <w:t>For each facility with positive replaceable heat and a PVGIS profile, we size a co-located solar-plus-storage system with a linear program (</w:t>
      </w:r>
      <w:proofErr w:type="spellStart"/>
      <w:r>
        <w:t>HiGHS</w:t>
      </w:r>
      <w:proofErr w:type="spellEnd"/>
      <w:r>
        <w:t>). Replaceable heat is split across temperature bands, converted to constant thermal power (</w:t>
      </w:r>
      <w:proofErr w:type="spellStart"/>
      <w:r>
        <w:t>MW_th</w:t>
      </w:r>
      <w:proofErr w:type="spellEnd"/>
      <w:r>
        <w:t>) under a flat-load assumption, and served by heat pumps with shared lithium-ion storage below 200 °C or by the industrial heat battery at higher temperatures. The objective is lexicographic: meet a 90% annual availability floor when land allows (otherwise maximize served heat), then minimize annualized system cost at that serve level.</w:t>
      </w:r>
    </w:p>
    <w:p w14:paraId="63791F09" w14:textId="13DF3043" w:rsidR="00847F5A" w:rsidRDefault="00000000">
      <w:pPr>
        <w:spacing w:after="200" w:line="480" w:lineRule="auto"/>
        <w:jc w:val="both"/>
      </w:pPr>
      <w:r>
        <w:t>Because storage is short-duration (≤16 h) and cycles within a day, we reduce the year of hourly solar to 16 representative days by k-means clustering of the 365 daily PVGIS profiles, solve each as a 24-hour block with cyclic state-of-charge, and weight days by cluster membership—shrinking the LP relative to a full 8,760-hour solve with limited loss of accuracy for daily-cycling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181"/>
        <w:gridCol w:w="1203"/>
        <w:gridCol w:w="1713"/>
        <w:gridCol w:w="567"/>
        <w:gridCol w:w="3342"/>
      </w:tblGrid>
      <w:tr w:rsidR="00E342D8" w14:paraId="6F76C126" w14:textId="77777777">
        <w:trPr>
          <w:tblHeader/>
          <w:tblCellSpacing w:w="15" w:type="dxa"/>
        </w:trPr>
        <w:tc>
          <w:tcPr>
            <w:tcW w:w="0" w:type="auto"/>
            <w:vAlign w:val="center"/>
            <w:hideMark/>
          </w:tcPr>
          <w:p w14:paraId="01E2E744" w14:textId="77777777" w:rsidR="00E342D8" w:rsidRDefault="00E342D8">
            <w:pPr>
              <w:jc w:val="center"/>
              <w:rPr>
                <w:b/>
                <w:bCs/>
              </w:rPr>
            </w:pPr>
            <w:r>
              <w:rPr>
                <w:b/>
                <w:bCs/>
              </w:rPr>
              <w:t>Component</w:t>
            </w:r>
          </w:p>
        </w:tc>
        <w:tc>
          <w:tcPr>
            <w:tcW w:w="0" w:type="auto"/>
            <w:vAlign w:val="center"/>
            <w:hideMark/>
          </w:tcPr>
          <w:p w14:paraId="78CEDAF1" w14:textId="77777777" w:rsidR="00E342D8" w:rsidRDefault="00E342D8">
            <w:pPr>
              <w:jc w:val="center"/>
              <w:rPr>
                <w:b/>
                <w:bCs/>
              </w:rPr>
            </w:pPr>
            <w:r>
              <w:rPr>
                <w:b/>
                <w:bCs/>
              </w:rPr>
              <w:t>CAPEX</w:t>
            </w:r>
          </w:p>
        </w:tc>
        <w:tc>
          <w:tcPr>
            <w:tcW w:w="0" w:type="auto"/>
            <w:vAlign w:val="center"/>
            <w:hideMark/>
          </w:tcPr>
          <w:p w14:paraId="32B23515" w14:textId="77777777" w:rsidR="00E342D8" w:rsidRDefault="00E342D8">
            <w:pPr>
              <w:jc w:val="center"/>
              <w:rPr>
                <w:b/>
                <w:bCs/>
              </w:rPr>
            </w:pPr>
            <w:r>
              <w:rPr>
                <w:b/>
                <w:bCs/>
              </w:rPr>
              <w:t>Fixed OPEX</w:t>
            </w:r>
          </w:p>
        </w:tc>
        <w:tc>
          <w:tcPr>
            <w:tcW w:w="0" w:type="auto"/>
            <w:vAlign w:val="center"/>
            <w:hideMark/>
          </w:tcPr>
          <w:p w14:paraId="79AB35D3" w14:textId="77777777" w:rsidR="00E342D8" w:rsidRPr="001D5EC4" w:rsidRDefault="00E342D8">
            <w:pPr>
              <w:jc w:val="center"/>
              <w:rPr>
                <w:b/>
                <w:bCs/>
              </w:rPr>
            </w:pPr>
            <w:r>
              <w:rPr>
                <w:b/>
                <w:bCs/>
              </w:rPr>
              <w:t>Annualized (avg)</w:t>
            </w:r>
          </w:p>
        </w:tc>
        <w:tc>
          <w:tcPr>
            <w:tcW w:w="0" w:type="auto"/>
            <w:vAlign w:val="center"/>
            <w:hideMark/>
          </w:tcPr>
          <w:p w14:paraId="383CDFA1" w14:textId="77777777" w:rsidR="00E342D8" w:rsidRPr="001D5EC4" w:rsidRDefault="00E342D8">
            <w:pPr>
              <w:jc w:val="center"/>
              <w:rPr>
                <w:b/>
                <w:bCs/>
              </w:rPr>
            </w:pPr>
            <w:r>
              <w:rPr>
                <w:b/>
                <w:bCs/>
              </w:rPr>
              <w:t>Year</w:t>
            </w:r>
          </w:p>
        </w:tc>
        <w:tc>
          <w:tcPr>
            <w:tcW w:w="0" w:type="auto"/>
            <w:vAlign w:val="center"/>
            <w:hideMark/>
          </w:tcPr>
          <w:p w14:paraId="125C069F" w14:textId="77777777" w:rsidR="00E342D8" w:rsidRDefault="00E342D8">
            <w:pPr>
              <w:jc w:val="center"/>
              <w:rPr>
                <w:b/>
                <w:bCs/>
              </w:rPr>
            </w:pPr>
            <w:r>
              <w:rPr>
                <w:b/>
                <w:bCs/>
              </w:rPr>
              <w:t>Notes</w:t>
            </w:r>
          </w:p>
        </w:tc>
      </w:tr>
      <w:tr w:rsidR="00E342D8" w14:paraId="6B3D8816" w14:textId="77777777">
        <w:trPr>
          <w:tblCellSpacing w:w="15" w:type="dxa"/>
        </w:trPr>
        <w:tc>
          <w:tcPr>
            <w:tcW w:w="0" w:type="auto"/>
            <w:vAlign w:val="center"/>
            <w:hideMark/>
          </w:tcPr>
          <w:p w14:paraId="39DCC245" w14:textId="77777777" w:rsidR="00E342D8" w:rsidRDefault="00E342D8">
            <w:r>
              <w:t>Solar PV (</w:t>
            </w:r>
            <w:proofErr w:type="gramStart"/>
            <w:r>
              <w:t>fixed-axis</w:t>
            </w:r>
            <w:proofErr w:type="gramEnd"/>
            <w:r>
              <w:t>)</w:t>
            </w:r>
          </w:p>
        </w:tc>
        <w:tc>
          <w:tcPr>
            <w:tcW w:w="0" w:type="auto"/>
            <w:vAlign w:val="center"/>
            <w:hideMark/>
          </w:tcPr>
          <w:p w14:paraId="6515A775" w14:textId="77777777" w:rsidR="00E342D8" w:rsidRDefault="00E342D8">
            <w:r>
              <w:t>$427/kW</w:t>
            </w:r>
          </w:p>
        </w:tc>
        <w:tc>
          <w:tcPr>
            <w:tcW w:w="0" w:type="auto"/>
            <w:vAlign w:val="center"/>
            <w:hideMark/>
          </w:tcPr>
          <w:p w14:paraId="0AC61DE8" w14:textId="77777777" w:rsidR="00E342D8" w:rsidRDefault="00E342D8">
            <w:r>
              <w:t>$10.4/kW-yr</w:t>
            </w:r>
          </w:p>
        </w:tc>
        <w:tc>
          <w:tcPr>
            <w:tcW w:w="0" w:type="auto"/>
            <w:vAlign w:val="center"/>
            <w:hideMark/>
          </w:tcPr>
          <w:p w14:paraId="6D75FE0F" w14:textId="77777777" w:rsidR="00E342D8" w:rsidRDefault="00E342D8">
            <w:r>
              <w:t>~$41k/MW-yr</w:t>
            </w:r>
          </w:p>
        </w:tc>
        <w:tc>
          <w:tcPr>
            <w:tcW w:w="0" w:type="auto"/>
            <w:vAlign w:val="center"/>
            <w:hideMark/>
          </w:tcPr>
          <w:p w14:paraId="62A068CD" w14:textId="694F3978" w:rsidR="00E342D8" w:rsidRPr="001D5EC4" w:rsidRDefault="0021754A">
            <w:r>
              <w:rPr>
                <w:rStyle w:val="Emphasis"/>
              </w:rPr>
              <w:t>2030</w:t>
            </w:r>
          </w:p>
        </w:tc>
        <w:tc>
          <w:tcPr>
            <w:tcW w:w="0" w:type="auto"/>
            <w:vAlign w:val="center"/>
            <w:hideMark/>
          </w:tcPr>
          <w:p w14:paraId="3EE17B21" w14:textId="77777777" w:rsidR="00E342D8" w:rsidRDefault="00E342D8">
            <w:r>
              <w:t>CAPEX×CRF + FOM; CRF ≈ 7.1%</w:t>
            </w:r>
          </w:p>
        </w:tc>
      </w:tr>
      <w:tr w:rsidR="00E342D8" w14:paraId="1965E8FC" w14:textId="77777777">
        <w:trPr>
          <w:tblCellSpacing w:w="15" w:type="dxa"/>
        </w:trPr>
        <w:tc>
          <w:tcPr>
            <w:tcW w:w="0" w:type="auto"/>
            <w:vAlign w:val="center"/>
            <w:hideMark/>
          </w:tcPr>
          <w:p w14:paraId="329AB1CC" w14:textId="3BC5344A" w:rsidR="00E342D8" w:rsidRDefault="00E342D8">
            <w:proofErr w:type="spellStart"/>
            <w:r>
              <w:lastRenderedPageBreak/>
              <w:t>i</w:t>
            </w:r>
            <w:proofErr w:type="spellEnd"/>
            <w:r>
              <w:t>-ion (BNEF 4h utility)</w:t>
            </w:r>
          </w:p>
        </w:tc>
        <w:tc>
          <w:tcPr>
            <w:tcW w:w="0" w:type="auto"/>
            <w:vAlign w:val="center"/>
            <w:hideMark/>
          </w:tcPr>
          <w:p w14:paraId="73A3B80C" w14:textId="77777777" w:rsidR="00E342D8" w:rsidRDefault="00E342D8">
            <w:r>
              <w:t>$727/kW system → $182/kWh</w:t>
            </w:r>
          </w:p>
        </w:tc>
        <w:tc>
          <w:tcPr>
            <w:tcW w:w="0" w:type="auto"/>
            <w:vAlign w:val="center"/>
            <w:hideMark/>
          </w:tcPr>
          <w:p w14:paraId="6AD89580" w14:textId="77777777" w:rsidR="00E342D8" w:rsidRDefault="00E342D8">
            <w:r>
              <w:t>$7.1/kW-yr on discharge power</w:t>
            </w:r>
          </w:p>
        </w:tc>
        <w:tc>
          <w:tcPr>
            <w:tcW w:w="0" w:type="auto"/>
            <w:vAlign w:val="center"/>
            <w:hideMark/>
          </w:tcPr>
          <w:p w14:paraId="11EC33FB" w14:textId="77777777" w:rsidR="00E342D8" w:rsidRDefault="00E342D8">
            <w:r>
              <w:t>Energy: ~$13k/MWh-yr; FOM: ~$7k/MW-yr</w:t>
            </w:r>
          </w:p>
        </w:tc>
        <w:tc>
          <w:tcPr>
            <w:tcW w:w="0" w:type="auto"/>
            <w:vAlign w:val="center"/>
            <w:hideMark/>
          </w:tcPr>
          <w:p w14:paraId="2D92EDFD" w14:textId="67EB22EF" w:rsidR="00E342D8" w:rsidRPr="001D5EC4" w:rsidRDefault="0021754A">
            <w:r>
              <w:rPr>
                <w:rStyle w:val="Emphasis"/>
              </w:rPr>
              <w:t>2030</w:t>
            </w:r>
          </w:p>
        </w:tc>
        <w:tc>
          <w:tcPr>
            <w:tcW w:w="0" w:type="auto"/>
            <w:vAlign w:val="center"/>
            <w:hideMark/>
          </w:tcPr>
          <w:p w14:paraId="78C0D986" w14:textId="77777777" w:rsidR="00E342D8" w:rsidRDefault="00E342D8">
            <w:r>
              <w:t>CAPEX on energy only; FOM on power only</w:t>
            </w:r>
          </w:p>
        </w:tc>
      </w:tr>
      <w:tr w:rsidR="00E342D8" w14:paraId="7BD49FE4" w14:textId="77777777">
        <w:trPr>
          <w:tblCellSpacing w:w="15" w:type="dxa"/>
        </w:trPr>
        <w:tc>
          <w:tcPr>
            <w:tcW w:w="0" w:type="auto"/>
            <w:vAlign w:val="center"/>
            <w:hideMark/>
          </w:tcPr>
          <w:p w14:paraId="75A7D666" w14:textId="77777777" w:rsidR="00E342D8" w:rsidRDefault="00E342D8">
            <w:r>
              <w:t>IHB charge (in)</w:t>
            </w:r>
          </w:p>
        </w:tc>
        <w:tc>
          <w:tcPr>
            <w:tcW w:w="0" w:type="auto"/>
            <w:vAlign w:val="center"/>
            <w:hideMark/>
          </w:tcPr>
          <w:p w14:paraId="42D8F281" w14:textId="77777777" w:rsidR="00E342D8" w:rsidRDefault="00E342D8">
            <w:r>
              <w:t>$100/kW</w:t>
            </w:r>
          </w:p>
        </w:tc>
        <w:tc>
          <w:tcPr>
            <w:tcW w:w="0" w:type="auto"/>
            <w:vAlign w:val="center"/>
            <w:hideMark/>
          </w:tcPr>
          <w:p w14:paraId="17DC0479" w14:textId="77777777" w:rsidR="00E342D8" w:rsidRDefault="00E342D8">
            <w:r>
              <w:t>0% of CAPEX</w:t>
            </w:r>
          </w:p>
        </w:tc>
        <w:tc>
          <w:tcPr>
            <w:tcW w:w="0" w:type="auto"/>
            <w:vAlign w:val="center"/>
            <w:hideMark/>
          </w:tcPr>
          <w:p w14:paraId="6EA465FA" w14:textId="77777777" w:rsidR="00E342D8" w:rsidRDefault="00E342D8">
            <w:r>
              <w:t>~$7.1k/MW-yr</w:t>
            </w:r>
          </w:p>
        </w:tc>
        <w:tc>
          <w:tcPr>
            <w:tcW w:w="0" w:type="auto"/>
            <w:vAlign w:val="center"/>
            <w:hideMark/>
          </w:tcPr>
          <w:p w14:paraId="33E927B9" w14:textId="77777777" w:rsidR="00E342D8" w:rsidRPr="001D5EC4" w:rsidRDefault="00E342D8">
            <w:pPr>
              <w:rPr>
                <w:b/>
                <w:bCs/>
              </w:rPr>
            </w:pPr>
            <w:r>
              <w:rPr>
                <w:rStyle w:val="Strong"/>
                <w:b w:val="0"/>
                <w:bCs w:val="0"/>
              </w:rPr>
              <w:t>2023</w:t>
            </w:r>
          </w:p>
        </w:tc>
        <w:tc>
          <w:tcPr>
            <w:tcW w:w="0" w:type="auto"/>
            <w:vAlign w:val="center"/>
            <w:hideMark/>
          </w:tcPr>
          <w:p w14:paraId="12A5C072" w14:textId="68241A82" w:rsidR="00E342D8" w:rsidRDefault="00E342D8">
            <w:r>
              <w:t>Rissman &amp; Gimon, Energy Innovation, July 2023</w:t>
            </w:r>
            <w:r w:rsidR="00C25CA7">
              <w:fldChar w:fldCharType="begin"/>
            </w:r>
            <w:r w:rsidR="00C25CA7">
              <w:instrText xml:space="preserve"> ADDIN ZOTERO_ITEM CSL_CITATION {"citationID":"J8T5aQND","properties":{"formattedCitation":"(Rissman and Gimon, n.d.)","plainCitation":"(Rissman and Gimon, n.d.)","noteIndex":0},"citationItems":[{"id":332,"uris":["http://zotero.org/users/20280584/items/AVYX7RDN"],"itemData":{"id":332,"type":"article-journal","citation-key":"rissmanIndustrialThermalBatteriesa","language":"en","source":"Zotero","title":"Industrial Thermal Batteries","author":[{"family":"Rissman","given":"Jeffrey"},{"family":"Gimon","given":"Eric"}]}}],"schema":"https://github.com/citation-style-language/schema/raw/master/csl-citation.json"} </w:instrText>
            </w:r>
            <w:r w:rsidR="00C25CA7">
              <w:fldChar w:fldCharType="separate"/>
            </w:r>
            <w:r w:rsidR="00C25CA7">
              <w:rPr>
                <w:noProof/>
              </w:rPr>
              <w:t>(Rissman and Gimon, n.d.)</w:t>
            </w:r>
            <w:r w:rsidR="00C25CA7">
              <w:fldChar w:fldCharType="end"/>
            </w:r>
          </w:p>
        </w:tc>
      </w:tr>
      <w:tr w:rsidR="00E342D8" w14:paraId="5AD06668" w14:textId="77777777">
        <w:trPr>
          <w:tblCellSpacing w:w="15" w:type="dxa"/>
        </w:trPr>
        <w:tc>
          <w:tcPr>
            <w:tcW w:w="0" w:type="auto"/>
            <w:vAlign w:val="center"/>
            <w:hideMark/>
          </w:tcPr>
          <w:p w14:paraId="2706DCCC" w14:textId="77777777" w:rsidR="00E342D8" w:rsidRDefault="00E342D8">
            <w:r>
              <w:t>IHB discharge (out)</w:t>
            </w:r>
          </w:p>
        </w:tc>
        <w:tc>
          <w:tcPr>
            <w:tcW w:w="0" w:type="auto"/>
            <w:vAlign w:val="center"/>
            <w:hideMark/>
          </w:tcPr>
          <w:p w14:paraId="4D515866" w14:textId="77777777" w:rsidR="00E342D8" w:rsidRDefault="00E342D8">
            <w:r>
              <w:t>$300/kW</w:t>
            </w:r>
          </w:p>
        </w:tc>
        <w:tc>
          <w:tcPr>
            <w:tcW w:w="0" w:type="auto"/>
            <w:vAlign w:val="center"/>
            <w:hideMark/>
          </w:tcPr>
          <w:p w14:paraId="44B9162C" w14:textId="77777777" w:rsidR="00E342D8" w:rsidRDefault="00E342D8">
            <w:r>
              <w:t>0%</w:t>
            </w:r>
          </w:p>
        </w:tc>
        <w:tc>
          <w:tcPr>
            <w:tcW w:w="0" w:type="auto"/>
            <w:vAlign w:val="center"/>
            <w:hideMark/>
          </w:tcPr>
          <w:p w14:paraId="0B947D04" w14:textId="77777777" w:rsidR="00E342D8" w:rsidRDefault="00E342D8">
            <w:r>
              <w:t>~$21k/MW-yr</w:t>
            </w:r>
          </w:p>
        </w:tc>
        <w:tc>
          <w:tcPr>
            <w:tcW w:w="0" w:type="auto"/>
            <w:vAlign w:val="center"/>
            <w:hideMark/>
          </w:tcPr>
          <w:p w14:paraId="5A8CAC90" w14:textId="77777777" w:rsidR="00E342D8" w:rsidRPr="001D5EC4" w:rsidRDefault="00E342D8">
            <w:pPr>
              <w:rPr>
                <w:b/>
                <w:bCs/>
              </w:rPr>
            </w:pPr>
            <w:r>
              <w:rPr>
                <w:rStyle w:val="Strong"/>
                <w:b w:val="0"/>
                <w:bCs w:val="0"/>
              </w:rPr>
              <w:t>2023</w:t>
            </w:r>
          </w:p>
        </w:tc>
        <w:tc>
          <w:tcPr>
            <w:tcW w:w="0" w:type="auto"/>
            <w:vAlign w:val="center"/>
            <w:hideMark/>
          </w:tcPr>
          <w:p w14:paraId="61C4ED4C" w14:textId="77777777" w:rsidR="00E342D8" w:rsidRDefault="00E342D8">
            <w:r>
              <w:t>Same</w:t>
            </w:r>
          </w:p>
        </w:tc>
      </w:tr>
      <w:tr w:rsidR="00E342D8" w14:paraId="338BF2AA" w14:textId="77777777">
        <w:trPr>
          <w:tblCellSpacing w:w="15" w:type="dxa"/>
        </w:trPr>
        <w:tc>
          <w:tcPr>
            <w:tcW w:w="0" w:type="auto"/>
            <w:vAlign w:val="center"/>
            <w:hideMark/>
          </w:tcPr>
          <w:p w14:paraId="07F58FE8" w14:textId="77777777" w:rsidR="00E342D8" w:rsidRDefault="00E342D8">
            <w:r>
              <w:t>IHB storage</w:t>
            </w:r>
          </w:p>
        </w:tc>
        <w:tc>
          <w:tcPr>
            <w:tcW w:w="0" w:type="auto"/>
            <w:vAlign w:val="center"/>
            <w:hideMark/>
          </w:tcPr>
          <w:p w14:paraId="729E6EE0" w14:textId="77777777" w:rsidR="00E342D8" w:rsidRDefault="00E342D8">
            <w:r>
              <w:t>$5/kWh</w:t>
            </w:r>
          </w:p>
        </w:tc>
        <w:tc>
          <w:tcPr>
            <w:tcW w:w="0" w:type="auto"/>
            <w:vAlign w:val="center"/>
            <w:hideMark/>
          </w:tcPr>
          <w:p w14:paraId="43107F09" w14:textId="77777777" w:rsidR="00E342D8" w:rsidRDefault="00E342D8">
            <w:r>
              <w:t>0%</w:t>
            </w:r>
          </w:p>
        </w:tc>
        <w:tc>
          <w:tcPr>
            <w:tcW w:w="0" w:type="auto"/>
            <w:vAlign w:val="center"/>
            <w:hideMark/>
          </w:tcPr>
          <w:p w14:paraId="6AE65941" w14:textId="77777777" w:rsidR="00E342D8" w:rsidRDefault="00E342D8">
            <w:r>
              <w:t>~$0.36k/MWh-yr</w:t>
            </w:r>
          </w:p>
        </w:tc>
        <w:tc>
          <w:tcPr>
            <w:tcW w:w="0" w:type="auto"/>
            <w:vAlign w:val="center"/>
            <w:hideMark/>
          </w:tcPr>
          <w:p w14:paraId="21FAFC6A" w14:textId="77777777" w:rsidR="00E342D8" w:rsidRPr="001D5EC4" w:rsidRDefault="00E342D8">
            <w:pPr>
              <w:rPr>
                <w:b/>
                <w:bCs/>
              </w:rPr>
            </w:pPr>
            <w:r>
              <w:rPr>
                <w:rStyle w:val="Strong"/>
                <w:b w:val="0"/>
                <w:bCs w:val="0"/>
              </w:rPr>
              <w:t>2023</w:t>
            </w:r>
          </w:p>
        </w:tc>
        <w:tc>
          <w:tcPr>
            <w:tcW w:w="0" w:type="auto"/>
            <w:vAlign w:val="center"/>
            <w:hideMark/>
          </w:tcPr>
          <w:p w14:paraId="34B23444" w14:textId="77777777" w:rsidR="00E342D8" w:rsidRDefault="00E342D8">
            <w:r>
              <w:t>Same; RTE 95% confirmed in source</w:t>
            </w:r>
          </w:p>
        </w:tc>
      </w:tr>
      <w:tr w:rsidR="00E342D8" w14:paraId="71594A00" w14:textId="77777777">
        <w:trPr>
          <w:tblCellSpacing w:w="15" w:type="dxa"/>
        </w:trPr>
        <w:tc>
          <w:tcPr>
            <w:tcW w:w="0" w:type="auto"/>
            <w:vAlign w:val="center"/>
            <w:hideMark/>
          </w:tcPr>
          <w:p w14:paraId="1AE9350F" w14:textId="77777777" w:rsidR="00E342D8" w:rsidRDefault="00E342D8">
            <w:r>
              <w:t>Heat pump (&lt;100°C)</w:t>
            </w:r>
          </w:p>
        </w:tc>
        <w:tc>
          <w:tcPr>
            <w:tcW w:w="0" w:type="auto"/>
            <w:vAlign w:val="center"/>
            <w:hideMark/>
          </w:tcPr>
          <w:p w14:paraId="7FA536FE" w14:textId="77777777" w:rsidR="00E342D8" w:rsidRDefault="00E342D8">
            <w:r>
              <w:t>$700/kW</w:t>
            </w:r>
          </w:p>
        </w:tc>
        <w:tc>
          <w:tcPr>
            <w:tcW w:w="0" w:type="auto"/>
            <w:vAlign w:val="center"/>
            <w:hideMark/>
          </w:tcPr>
          <w:p w14:paraId="003BB779" w14:textId="77777777" w:rsidR="00E342D8" w:rsidRDefault="00E342D8">
            <w:r>
              <w:t>$12/kW-yr</w:t>
            </w:r>
          </w:p>
        </w:tc>
        <w:tc>
          <w:tcPr>
            <w:tcW w:w="0" w:type="auto"/>
            <w:vAlign w:val="center"/>
            <w:hideMark/>
          </w:tcPr>
          <w:p w14:paraId="0DFA408D" w14:textId="77777777" w:rsidR="00E342D8" w:rsidRDefault="00E342D8">
            <w:r>
              <w:t>~$62k/MW-yr</w:t>
            </w:r>
          </w:p>
        </w:tc>
        <w:tc>
          <w:tcPr>
            <w:tcW w:w="0" w:type="auto"/>
            <w:vAlign w:val="center"/>
            <w:hideMark/>
          </w:tcPr>
          <w:p w14:paraId="548B1F6A" w14:textId="77777777" w:rsidR="00E342D8" w:rsidRPr="001D5EC4" w:rsidRDefault="00E342D8">
            <w:pPr>
              <w:rPr>
                <w:b/>
                <w:bCs/>
              </w:rPr>
            </w:pPr>
            <w:r>
              <w:rPr>
                <w:rStyle w:val="Strong"/>
                <w:b w:val="0"/>
                <w:bCs w:val="0"/>
              </w:rPr>
              <w:t>2021</w:t>
            </w:r>
          </w:p>
        </w:tc>
        <w:tc>
          <w:tcPr>
            <w:tcW w:w="0" w:type="auto"/>
            <w:vAlign w:val="center"/>
            <w:hideMark/>
          </w:tcPr>
          <w:p w14:paraId="78410492" w14:textId="085A1385" w:rsidR="00E342D8" w:rsidRDefault="00E342D8">
            <w:r>
              <w:t>Rissman (2022 report)</w:t>
            </w:r>
            <w:r w:rsidR="00C25CA7">
              <w:fldChar w:fldCharType="begin"/>
            </w:r>
            <w:r w:rsidR="00C25CA7">
              <w:instrText xml:space="preserve"> ADDIN ZOTERO_ITEM CSL_CITATION {"citationID":"Qu0CD7Vu","properties":{"formattedCitation":"(Rissman, n.d.)","plainCitation":"(Rissman, n.d.)","noteIndex":0},"citationItems":[{"id":340,"uris":["http://zotero.org/users/20280584/items/Y8THTIGB"],"itemData":{"id":340,"type":"article-journal","citation-key":"rissmanDecarbonizingLowTemperatureIndustrial","language":"en","source":"Zotero","title":"Decarbonizing Low-Temperature Industrial Heat in the U.S.","author":[{"family":"Rissman","given":"Jeffrey"}]}}],"schema":"https://github.com/citation-style-language/schema/raw/master/csl-citation.json"} </w:instrText>
            </w:r>
            <w:r w:rsidR="00C25CA7">
              <w:fldChar w:fldCharType="separate"/>
            </w:r>
            <w:r w:rsidR="00C25CA7">
              <w:rPr>
                <w:noProof/>
              </w:rPr>
              <w:t>(Rissman, n.d.)</w:t>
            </w:r>
            <w:r w:rsidR="00C25CA7">
              <w:fldChar w:fldCharType="end"/>
            </w:r>
            <w:r>
              <w:t>, German cost basis via Agora/</w:t>
            </w:r>
            <w:proofErr w:type="spellStart"/>
            <w:r>
              <w:t>FutureCamp</w:t>
            </w:r>
            <w:proofErr w:type="spellEnd"/>
            <w:r>
              <w:t>/Wuppertal</w:t>
            </w:r>
          </w:p>
        </w:tc>
      </w:tr>
      <w:tr w:rsidR="00E342D8" w14:paraId="0E95CA4E" w14:textId="77777777">
        <w:trPr>
          <w:tblCellSpacing w:w="15" w:type="dxa"/>
        </w:trPr>
        <w:tc>
          <w:tcPr>
            <w:tcW w:w="0" w:type="auto"/>
            <w:vAlign w:val="center"/>
            <w:hideMark/>
          </w:tcPr>
          <w:p w14:paraId="0978D0AC" w14:textId="77777777" w:rsidR="00E342D8" w:rsidRDefault="00E342D8">
            <w:r>
              <w:t>Heat pump (100°C–200°C)</w:t>
            </w:r>
          </w:p>
        </w:tc>
        <w:tc>
          <w:tcPr>
            <w:tcW w:w="0" w:type="auto"/>
            <w:vAlign w:val="center"/>
            <w:hideMark/>
          </w:tcPr>
          <w:p w14:paraId="7AEA14E5" w14:textId="77777777" w:rsidR="00E342D8" w:rsidRDefault="00E342D8">
            <w:r>
              <w:t>$870/kW</w:t>
            </w:r>
          </w:p>
        </w:tc>
        <w:tc>
          <w:tcPr>
            <w:tcW w:w="0" w:type="auto"/>
            <w:vAlign w:val="center"/>
            <w:hideMark/>
          </w:tcPr>
          <w:p w14:paraId="0130A129" w14:textId="77777777" w:rsidR="00E342D8" w:rsidRDefault="00E342D8">
            <w:r>
              <w:t>$18/kW-yr</w:t>
            </w:r>
          </w:p>
        </w:tc>
        <w:tc>
          <w:tcPr>
            <w:tcW w:w="0" w:type="auto"/>
            <w:vAlign w:val="center"/>
            <w:hideMark/>
          </w:tcPr>
          <w:p w14:paraId="41A3610F" w14:textId="77777777" w:rsidR="00E342D8" w:rsidRDefault="00E342D8">
            <w:r>
              <w:t>~$80k/MW-yr</w:t>
            </w:r>
          </w:p>
        </w:tc>
        <w:tc>
          <w:tcPr>
            <w:tcW w:w="0" w:type="auto"/>
            <w:vAlign w:val="center"/>
            <w:hideMark/>
          </w:tcPr>
          <w:p w14:paraId="33CF5B03" w14:textId="77777777" w:rsidR="00E342D8" w:rsidRPr="001D5EC4" w:rsidRDefault="00E342D8">
            <w:pPr>
              <w:rPr>
                <w:b/>
                <w:bCs/>
              </w:rPr>
            </w:pPr>
            <w:r>
              <w:rPr>
                <w:rStyle w:val="Strong"/>
                <w:b w:val="0"/>
                <w:bCs w:val="0"/>
              </w:rPr>
              <w:t>2021</w:t>
            </w:r>
          </w:p>
        </w:tc>
        <w:tc>
          <w:tcPr>
            <w:tcW w:w="0" w:type="auto"/>
            <w:vAlign w:val="center"/>
            <w:hideMark/>
          </w:tcPr>
          <w:p w14:paraId="34E349DF" w14:textId="77777777" w:rsidR="00E342D8" w:rsidRDefault="00E342D8">
            <w:r>
              <w:t>Same source</w:t>
            </w:r>
          </w:p>
        </w:tc>
      </w:tr>
    </w:tbl>
    <w:p w14:paraId="2643CA11" w14:textId="77777777" w:rsidR="00DF5085" w:rsidRDefault="00DF5085">
      <w:pPr>
        <w:spacing w:after="200" w:line="480" w:lineRule="auto"/>
        <w:jc w:val="both"/>
      </w:pPr>
    </w:p>
    <w:p w14:paraId="38A881E0" w14:textId="77777777" w:rsidR="00847F5A" w:rsidRDefault="00000000">
      <w:pPr>
        <w:pStyle w:val="Heading3"/>
      </w:pPr>
      <w:r>
        <w:t>Decision variables and coupling</w:t>
      </w:r>
    </w:p>
    <w:p w14:paraId="338B2D8A" w14:textId="7C8EE722" w:rsidR="00847F5A" w:rsidRDefault="00000000">
      <w:pPr>
        <w:spacing w:after="200" w:line="480" w:lineRule="auto"/>
        <w:jc w:val="both"/>
      </w:pPr>
      <w:r>
        <w:t>Decision variables are shared solar capacity S (</w:t>
      </w:r>
      <w:proofErr w:type="spellStart"/>
      <w:r>
        <w:t>MW_dc</w:t>
      </w:r>
      <w:proofErr w:type="spellEnd"/>
      <w:r>
        <w:t>); shared lithium-ion energy and discharge power for heat-pump bands; and, per industrial heat-battery band, charge power, discharge power and storage energy, together with hourly charge, discharge, state-of-charge and unserved heat. Available PV output bounds the sum of heat-pump direct use, lithium-ion charging and industrial heat-battery charging:</w:t>
      </w:r>
    </w:p>
    <w:p w14:paraId="7D5EE5B0" w14:textId="77777777" w:rsidR="00847F5A" w:rsidRDefault="00000000">
      <w:pPr>
        <w:spacing w:before="120" w:after="200"/>
        <w:jc w:val="center"/>
      </w:pPr>
      <w:proofErr w:type="spellStart"/>
      <w:r>
        <w:rPr>
          <w:rFonts w:ascii="Cambria Math" w:eastAsia="Cambria Math" w:hAnsi="Cambria Math" w:cs="Cambria Math"/>
          <w:i/>
          <w:iCs/>
        </w:rPr>
        <w:t>Σ_b</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charge_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S · </w:t>
      </w:r>
      <w:proofErr w:type="spellStart"/>
      <w:r>
        <w:rPr>
          <w:rFonts w:ascii="Cambria Math" w:eastAsia="Cambria Math" w:hAnsi="Cambria Math" w:cs="Cambria Math"/>
          <w:i/>
          <w:iCs/>
        </w:rPr>
        <w:t>cf_t</w:t>
      </w:r>
      <w:proofErr w:type="spellEnd"/>
    </w:p>
    <w:p w14:paraId="3C9E99FB" w14:textId="77777777" w:rsidR="00847F5A" w:rsidRDefault="00000000">
      <w:pPr>
        <w:spacing w:after="200" w:line="480" w:lineRule="auto"/>
        <w:jc w:val="both"/>
      </w:pPr>
      <w:r>
        <w:t xml:space="preserve">where </w:t>
      </w:r>
      <w:proofErr w:type="spellStart"/>
      <w:r>
        <w:t>cf_t</w:t>
      </w:r>
      <w:proofErr w:type="spellEnd"/>
      <w:r>
        <w:t xml:space="preserve"> is the PVGIS per-</w:t>
      </w:r>
      <w:proofErr w:type="spellStart"/>
      <w:r>
        <w:t>kWp</w:t>
      </w:r>
      <w:proofErr w:type="spellEnd"/>
      <w:r>
        <w:t xml:space="preserve"> capacity factor. For heat-pump bands, solar or battery electricity is converted to heat at the band COP. For industrial heat-battery bands, charge and discharge obey a 95% round-trip efficiency (symmetric square-</w:t>
      </w:r>
      <w:proofErr w:type="spellStart"/>
      <w:r>
        <w:t>root</w:t>
      </w:r>
      <w:proofErr w:type="spellEnd"/>
      <w:r>
        <w:t xml:space="preserve"> factors on charge and discharge). Discharge plus unserved heat equals the flat band load:</w:t>
      </w:r>
    </w:p>
    <w:p w14:paraId="2B861491" w14:textId="77777777" w:rsidR="00847F5A" w:rsidRDefault="00000000">
      <w:pPr>
        <w:spacing w:before="120" w:after="200"/>
        <w:jc w:val="center"/>
      </w:pPr>
      <w:proofErr w:type="spellStart"/>
      <w:r>
        <w:rPr>
          <w:rFonts w:ascii="Cambria Math" w:eastAsia="Cambria Math" w:hAnsi="Cambria Math" w:cs="Cambria Math"/>
          <w:i/>
          <w:iCs/>
        </w:rPr>
        <w:lastRenderedPageBreak/>
        <w:t>discharge_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unserved_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load_b</w:t>
      </w:r>
      <w:proofErr w:type="spellEnd"/>
    </w:p>
    <w:p w14:paraId="51CFC51C" w14:textId="2254E2D3" w:rsidR="00847F5A" w:rsidRDefault="00000000">
      <w:pPr>
        <w:spacing w:after="200" w:line="480" w:lineRule="auto"/>
        <w:jc w:val="both"/>
      </w:pPr>
      <w:r>
        <w:t>Lithium-ion and industrial heat-battery energy and power ratings, and the 16 h discharge duration cap, are bounded as in ‘Technology and cost data’.</w:t>
      </w:r>
    </w:p>
    <w:p w14:paraId="2AC9931F" w14:textId="77777777" w:rsidR="00847F5A" w:rsidRDefault="00000000">
      <w:pPr>
        <w:pStyle w:val="Heading3"/>
      </w:pPr>
      <w:r>
        <w:t>Land constraint and reliability</w:t>
      </w:r>
    </w:p>
    <w:p w14:paraId="121DDED6" w14:textId="77777777" w:rsidR="00847F5A" w:rsidRDefault="00000000">
      <w:pPr>
        <w:spacing w:after="200" w:line="480" w:lineRule="auto"/>
        <w:jc w:val="both"/>
      </w:pPr>
      <w:r>
        <w:t>Solar capacity is capped by screened land,</w:t>
      </w:r>
    </w:p>
    <w:p w14:paraId="1EFA71AA" w14:textId="77777777" w:rsidR="00847F5A" w:rsidRDefault="00000000">
      <w:pPr>
        <w:spacing w:before="120" w:after="200"/>
        <w:jc w:val="center"/>
      </w:pPr>
      <w:r>
        <w:rPr>
          <w:rFonts w:ascii="Cambria Math" w:eastAsia="Cambria Math" w:hAnsi="Cambria Math" w:cs="Cambria Math"/>
          <w:i/>
          <w:iCs/>
        </w:rPr>
        <w:t xml:space="preserve">S ≤ </w:t>
      </w:r>
      <w:proofErr w:type="spellStart"/>
      <w:r>
        <w:rPr>
          <w:rFonts w:ascii="Cambria Math" w:eastAsia="Cambria Math" w:hAnsi="Cambria Math" w:cs="Cambria Math"/>
          <w:i/>
          <w:iCs/>
        </w:rPr>
        <w:t>A_land</w:t>
      </w:r>
      <w:proofErr w:type="spellEnd"/>
      <w:r>
        <w:rPr>
          <w:rFonts w:ascii="Cambria Math" w:eastAsia="Cambria Math" w:hAnsi="Cambria Math" w:cs="Cambria Math"/>
          <w:i/>
          <w:iCs/>
        </w:rPr>
        <w:t xml:space="preserve"> · 50 </w:t>
      </w:r>
      <w:proofErr w:type="spellStart"/>
      <w:r>
        <w:rPr>
          <w:rFonts w:ascii="Cambria Math" w:eastAsia="Cambria Math" w:hAnsi="Cambria Math" w:cs="Cambria Math"/>
          <w:i/>
          <w:iCs/>
        </w:rPr>
        <w:t>MWdc</w:t>
      </w:r>
      <w:proofErr w:type="spellEnd"/>
      <w:r>
        <w:rPr>
          <w:rFonts w:ascii="Cambria Math" w:eastAsia="Cambria Math" w:hAnsi="Cambria Math" w:cs="Cambria Math"/>
          <w:i/>
          <w:iCs/>
        </w:rPr>
        <w:t>/km²</w:t>
      </w:r>
    </w:p>
    <w:p w14:paraId="08E749E6" w14:textId="1053ED05" w:rsidR="00847F5A" w:rsidRDefault="00000000">
      <w:pPr>
        <w:spacing w:after="200" w:line="480" w:lineRule="auto"/>
        <w:jc w:val="both"/>
      </w:pPr>
      <w:r>
        <w:t>using the 5 km buffer as the base case and 15 km in sensitivity. We impose a 90%-of-annual-replaceable-heat availability floor. If a facility is infeasible under the land cap, a two-phase solve first maximizes served heat, then minimizes cost at that served level. Unserved heat is unpriced (value of lost load = 0), so reported LCOH reflects annualized capital and fixed O&amp;M for solar, storage and heat-pump equipment.</w:t>
      </w:r>
    </w:p>
    <w:p w14:paraId="2C0AA671" w14:textId="77777777" w:rsidR="00847F5A" w:rsidRDefault="00000000">
      <w:pPr>
        <w:pStyle w:val="Heading3"/>
      </w:pPr>
      <w:r>
        <w:t>Levelized cost of heat</w:t>
      </w:r>
    </w:p>
    <w:p w14:paraId="2FA00522" w14:textId="77777777" w:rsidR="00847F5A" w:rsidRDefault="00000000">
      <w:pPr>
        <w:spacing w:after="200" w:line="480" w:lineRule="auto"/>
        <w:jc w:val="both"/>
      </w:pPr>
      <w:r>
        <w:t xml:space="preserve">Annualized solar cost is (CAPEX_PV · </w:t>
      </w:r>
      <w:proofErr w:type="spellStart"/>
      <w:r>
        <w:t>CRF_country</w:t>
      </w:r>
      <w:proofErr w:type="spellEnd"/>
      <w:r>
        <w:t xml:space="preserve"> + FOM_PV) · S. Lithium-ion costs charge energy CAPEX (implied $/kWh from the four-hour BNEF system price) at the country CRF and fixed O&amp;M on discharge power. Industrial heat-battery costs annualize charge-power, discharge-power and energy CAPEX at the country CRF. Heat-pump costs annualize temperature-band CAPEX plus absolute FOM on served thermal capacity. With </w:t>
      </w:r>
      <w:proofErr w:type="spellStart"/>
      <w:r>
        <w:t>C_ann</w:t>
      </w:r>
      <w:proofErr w:type="spellEnd"/>
      <w:r>
        <w:t xml:space="preserve"> as total annualized cost and Q_served the optimized served heat,</w:t>
      </w:r>
    </w:p>
    <w:p w14:paraId="28F1B927" w14:textId="77777777" w:rsidR="00847F5A" w:rsidRDefault="00000000">
      <w:pPr>
        <w:spacing w:before="120" w:after="200"/>
        <w:jc w:val="center"/>
      </w:pPr>
      <w:proofErr w:type="spellStart"/>
      <w:r>
        <w:rPr>
          <w:rFonts w:ascii="Cambria Math" w:eastAsia="Cambria Math" w:hAnsi="Cambria Math" w:cs="Cambria Math"/>
          <w:i/>
          <w:iCs/>
        </w:rPr>
        <w:t>LCOH_served</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C_ann</w:t>
      </w:r>
      <w:proofErr w:type="spellEnd"/>
      <w:r>
        <w:rPr>
          <w:rFonts w:ascii="Cambria Math" w:eastAsia="Cambria Math" w:hAnsi="Cambria Math" w:cs="Cambria Math"/>
          <w:i/>
          <w:iCs/>
        </w:rPr>
        <w:t xml:space="preserve"> / Q_served      </w:t>
      </w:r>
      <w:proofErr w:type="spellStart"/>
      <w:r>
        <w:rPr>
          <w:rFonts w:ascii="Cambria Math" w:eastAsia="Cambria Math" w:hAnsi="Cambria Math" w:cs="Cambria Math"/>
          <w:i/>
          <w:iCs/>
        </w:rPr>
        <w:t>LCOH_total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C_ann</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Q_demand</w:t>
      </w:r>
      <w:proofErr w:type="spellEnd"/>
    </w:p>
    <w:p w14:paraId="5C58D1CD" w14:textId="77777777" w:rsidR="00847F5A" w:rsidRDefault="00000000">
      <w:pPr>
        <w:spacing w:after="200" w:line="480" w:lineRule="auto"/>
        <w:jc w:val="both"/>
      </w:pPr>
      <w:r>
        <w:t xml:space="preserve">where </w:t>
      </w:r>
      <w:proofErr w:type="spellStart"/>
      <w:r>
        <w:t>Q_demand</w:t>
      </w:r>
      <w:proofErr w:type="spellEnd"/>
      <w:r>
        <w:t xml:space="preserve"> is annual replaceable heat. We report </w:t>
      </w:r>
      <w:proofErr w:type="spellStart"/>
      <w:r>
        <w:t>LCOH_served</w:t>
      </w:r>
      <w:proofErr w:type="spellEnd"/>
      <w:r>
        <w:t xml:space="preserve"> as the primary metric, alongside reliability (Q_served/</w:t>
      </w:r>
      <w:proofErr w:type="spellStart"/>
      <w:r>
        <w:t>Q_demand</w:t>
      </w:r>
      <w:proofErr w:type="spellEnd"/>
      <w:r>
        <w:t xml:space="preserve">) and whether the 90% floor was met; component shares allocate annualized solar, heat-pump, lithium-ion and industrial heat-battery cost to Q_served. Sites where </w:t>
      </w:r>
      <w:proofErr w:type="spellStart"/>
      <w:r>
        <w:t>LCOH_served</w:t>
      </w:r>
      <w:proofErr w:type="spellEnd"/>
      <w:r>
        <w:t xml:space="preserve"> falls below the country gas-boiler benchmark and the availability target </w:t>
      </w:r>
      <w:r>
        <w:lastRenderedPageBreak/>
        <w:t xml:space="preserve">is met (where land allows) are treated as economically </w:t>
      </w:r>
      <w:proofErr w:type="spellStart"/>
      <w:r>
        <w:t>favourable</w:t>
      </w:r>
      <w:proofErr w:type="spellEnd"/>
      <w:r>
        <w:t xml:space="preserve"> relative to gas-fired heat under these assumptions.</w:t>
      </w:r>
    </w:p>
    <w:p w14:paraId="56758DFF" w14:textId="77777777" w:rsidR="00847F5A" w:rsidRDefault="00000000">
      <w:pPr>
        <w:pStyle w:val="Heading2"/>
      </w:pPr>
      <w:r>
        <w:t>Data availability</w:t>
      </w:r>
    </w:p>
    <w:p w14:paraId="76D55862" w14:textId="77777777" w:rsidR="00847F5A" w:rsidRDefault="00000000">
      <w:pPr>
        <w:spacing w:after="200" w:line="360" w:lineRule="auto"/>
      </w:pPr>
      <w:r>
        <w:rPr>
          <w:i/>
          <w:iCs/>
          <w:color w:val="C00000"/>
        </w:rPr>
        <w:t>[TODO: repository/DOI for the facility-level assessment file (eu_ihb_site_assessment_2024.csv) and derived outputs, per Nature Energy’s data-availability policy.]</w:t>
      </w:r>
    </w:p>
    <w:p w14:paraId="71ACA541" w14:textId="77777777" w:rsidR="00847F5A" w:rsidRDefault="00000000">
      <w:pPr>
        <w:pStyle w:val="Heading2"/>
      </w:pPr>
      <w:r>
        <w:t>Code availability</w:t>
      </w:r>
    </w:p>
    <w:p w14:paraId="074C9FFC" w14:textId="77777777" w:rsidR="00847F5A" w:rsidRDefault="00000000">
      <w:pPr>
        <w:spacing w:after="200" w:line="480" w:lineRule="auto"/>
        <w:jc w:val="both"/>
      </w:pPr>
      <w:r>
        <w:t>The analysis pipeline — heat-demand estimation, solar-resource retrieval, land-availability processing, and the multi-band LP optimization — is summarized in Supplementary Methods (pipeline overview).</w:t>
      </w:r>
    </w:p>
    <w:p w14:paraId="21A23348" w14:textId="77777777" w:rsidR="00847F5A" w:rsidRDefault="00000000">
      <w:pPr>
        <w:spacing w:after="200" w:line="360" w:lineRule="auto"/>
      </w:pPr>
      <w:r>
        <w:rPr>
          <w:i/>
          <w:iCs/>
          <w:color w:val="C00000"/>
        </w:rPr>
        <w:t>[TODO: repository URL/DOI, per Nature Energy’s code-availability policy.]</w:t>
      </w:r>
    </w:p>
    <w:p w14:paraId="6696157D" w14:textId="77777777" w:rsidR="00847F5A" w:rsidRDefault="00000000">
      <w:pPr>
        <w:pStyle w:val="Heading2"/>
      </w:pPr>
      <w:r>
        <w:t>Acknowledgements</w:t>
      </w:r>
    </w:p>
    <w:p w14:paraId="26C34F6D" w14:textId="77777777" w:rsidR="00847F5A" w:rsidRDefault="00000000">
      <w:pPr>
        <w:spacing w:after="200" w:line="360" w:lineRule="auto"/>
      </w:pPr>
      <w:r>
        <w:rPr>
          <w:i/>
          <w:iCs/>
          <w:color w:val="C00000"/>
        </w:rPr>
        <w:t>[TODO]</w:t>
      </w:r>
    </w:p>
    <w:p w14:paraId="2DCADB78" w14:textId="77777777" w:rsidR="00847F5A" w:rsidRDefault="00000000">
      <w:pPr>
        <w:pStyle w:val="Heading2"/>
      </w:pPr>
      <w:r>
        <w:t>Author contributions</w:t>
      </w:r>
    </w:p>
    <w:p w14:paraId="5A526063" w14:textId="77777777" w:rsidR="00847F5A" w:rsidRDefault="00000000">
      <w:pPr>
        <w:spacing w:after="200" w:line="360" w:lineRule="auto"/>
      </w:pPr>
      <w:r>
        <w:rPr>
          <w:i/>
          <w:iCs/>
          <w:color w:val="C00000"/>
        </w:rPr>
        <w:t xml:space="preserve">[TODO — </w:t>
      </w:r>
      <w:proofErr w:type="spellStart"/>
      <w:r>
        <w:rPr>
          <w:i/>
          <w:iCs/>
          <w:color w:val="C00000"/>
        </w:rPr>
        <w:t>CRediT</w:t>
      </w:r>
      <w:proofErr w:type="spellEnd"/>
      <w:r>
        <w:rPr>
          <w:i/>
          <w:iCs/>
          <w:color w:val="C00000"/>
        </w:rPr>
        <w:t>-style statement, e.g. “A.B. designed the study; A.B. and C.D. performed the analysis; ...”]</w:t>
      </w:r>
    </w:p>
    <w:p w14:paraId="25488EFB" w14:textId="77777777" w:rsidR="00847F5A" w:rsidRDefault="00000000">
      <w:pPr>
        <w:pStyle w:val="Heading2"/>
      </w:pPr>
      <w:r>
        <w:t>Competing interests</w:t>
      </w:r>
    </w:p>
    <w:p w14:paraId="6BA204EE" w14:textId="77777777" w:rsidR="00847F5A" w:rsidRDefault="00000000">
      <w:pPr>
        <w:spacing w:after="200" w:line="360" w:lineRule="auto"/>
      </w:pPr>
      <w:r>
        <w:rPr>
          <w:i/>
          <w:iCs/>
          <w:color w:val="C00000"/>
        </w:rPr>
        <w:t>[TODO — required for all Nature Energy content]</w:t>
      </w:r>
    </w:p>
    <w:p w14:paraId="41A3FED2" w14:textId="77777777" w:rsidR="00847F5A" w:rsidRDefault="00000000">
      <w:r>
        <w:br w:type="page"/>
      </w:r>
    </w:p>
    <w:p w14:paraId="4B738865" w14:textId="77777777" w:rsidR="00847F5A" w:rsidRDefault="00000000">
      <w:pPr>
        <w:pStyle w:val="Heading1"/>
      </w:pPr>
      <w:r>
        <w:lastRenderedPageBreak/>
        <w:t>References</w:t>
      </w:r>
    </w:p>
    <w:p w14:paraId="2A4456D2" w14:textId="77777777" w:rsidR="00847F5A" w:rsidRDefault="00000000">
      <w:pPr>
        <w:spacing w:after="140" w:line="300" w:lineRule="auto"/>
      </w:pPr>
      <w:r>
        <w:rPr>
          <w:sz w:val="22"/>
          <w:szCs w:val="22"/>
        </w:rPr>
        <w:t xml:space="preserve">1. Gjorgievski, V., Cundeva, S., </w:t>
      </w:r>
      <w:proofErr w:type="spellStart"/>
      <w:r>
        <w:rPr>
          <w:sz w:val="22"/>
          <w:szCs w:val="22"/>
        </w:rPr>
        <w:t>Markovska</w:t>
      </w:r>
      <w:proofErr w:type="spellEnd"/>
      <w:r>
        <w:rPr>
          <w:sz w:val="22"/>
          <w:szCs w:val="22"/>
        </w:rPr>
        <w:t xml:space="preserve">, N. &amp; </w:t>
      </w:r>
      <w:proofErr w:type="spellStart"/>
      <w:r>
        <w:rPr>
          <w:sz w:val="22"/>
          <w:szCs w:val="22"/>
        </w:rPr>
        <w:t>Duić</w:t>
      </w:r>
      <w:proofErr w:type="spellEnd"/>
      <w:r>
        <w:rPr>
          <w:sz w:val="22"/>
          <w:szCs w:val="22"/>
        </w:rPr>
        <w:t xml:space="preserve">, N. </w:t>
      </w:r>
      <w:proofErr w:type="spellStart"/>
      <w:r>
        <w:rPr>
          <w:sz w:val="22"/>
          <w:szCs w:val="22"/>
        </w:rPr>
        <w:t>IndustryHeat</w:t>
      </w:r>
      <w:proofErr w:type="spellEnd"/>
      <w:r>
        <w:rPr>
          <w:sz w:val="22"/>
          <w:szCs w:val="22"/>
        </w:rPr>
        <w:t xml:space="preserve">-EU: Harmonized Dataset of Industrial Final and Useful Energy Demand by Temperature Level for EU27 and Member States. </w:t>
      </w:r>
      <w:proofErr w:type="spellStart"/>
      <w:r>
        <w:rPr>
          <w:sz w:val="22"/>
          <w:szCs w:val="22"/>
        </w:rPr>
        <w:t>Zenodo</w:t>
      </w:r>
      <w:proofErr w:type="spellEnd"/>
      <w:r>
        <w:rPr>
          <w:sz w:val="22"/>
          <w:szCs w:val="22"/>
        </w:rPr>
        <w:t xml:space="preserve"> https://doi.org/10.5281/zenodo.17414346 (2025).</w:t>
      </w:r>
    </w:p>
    <w:p w14:paraId="1AC37EBF" w14:textId="77777777" w:rsidR="00847F5A" w:rsidRDefault="00000000">
      <w:pPr>
        <w:spacing w:after="140" w:line="300" w:lineRule="auto"/>
      </w:pPr>
      <w:r>
        <w:rPr>
          <w:sz w:val="22"/>
          <w:szCs w:val="22"/>
        </w:rPr>
        <w:t xml:space="preserve">2. </w:t>
      </w:r>
      <w:proofErr w:type="spellStart"/>
      <w:r>
        <w:rPr>
          <w:sz w:val="22"/>
          <w:szCs w:val="22"/>
        </w:rPr>
        <w:t>Pezzutto</w:t>
      </w:r>
      <w:proofErr w:type="spellEnd"/>
      <w:r>
        <w:rPr>
          <w:sz w:val="22"/>
          <w:szCs w:val="22"/>
        </w:rPr>
        <w:t xml:space="preserve">, S. et al. </w:t>
      </w:r>
      <w:proofErr w:type="spellStart"/>
      <w:r>
        <w:rPr>
          <w:sz w:val="22"/>
          <w:szCs w:val="22"/>
        </w:rPr>
        <w:t>Hotmaps</w:t>
      </w:r>
      <w:proofErr w:type="spellEnd"/>
      <w:r>
        <w:rPr>
          <w:sz w:val="22"/>
          <w:szCs w:val="22"/>
        </w:rPr>
        <w:t xml:space="preserve"> Project, D2.3 WP2 Report – Open Data Set for the EU28. www.hotmaps-project.eu (2018).</w:t>
      </w:r>
    </w:p>
    <w:p w14:paraId="58E231AA" w14:textId="77777777" w:rsidR="00847F5A" w:rsidRDefault="00000000">
      <w:pPr>
        <w:spacing w:after="140" w:line="300" w:lineRule="auto"/>
      </w:pPr>
      <w:r>
        <w:rPr>
          <w:sz w:val="22"/>
          <w:szCs w:val="22"/>
        </w:rPr>
        <w:t>3. Eurostat. Disaggregated final energy consumption in industry by NACE Rev. 2 activity – quantities [dataset]. [FILL IN dataset code and access date].</w:t>
      </w:r>
    </w:p>
    <w:p w14:paraId="78981D26" w14:textId="77777777" w:rsidR="00847F5A" w:rsidRDefault="00000000">
      <w:pPr>
        <w:spacing w:after="140" w:line="300" w:lineRule="auto"/>
      </w:pPr>
      <w:r>
        <w:rPr>
          <w:sz w:val="22"/>
          <w:szCs w:val="22"/>
        </w:rPr>
        <w:t>4. Confederation of European Paper Industries (CEPI). Key Statistics 2023 – European Pulp &amp; Paper Industry (CEPI, 2024).</w:t>
      </w:r>
    </w:p>
    <w:p w14:paraId="7EA32533" w14:textId="77777777" w:rsidR="00847F5A" w:rsidRDefault="00000000">
      <w:pPr>
        <w:spacing w:after="140" w:line="300" w:lineRule="auto"/>
      </w:pPr>
      <w:r>
        <w:rPr>
          <w:sz w:val="22"/>
          <w:szCs w:val="22"/>
        </w:rPr>
        <w:t>5. Glass Alliance Europe. Statistical Report [FILL IN exact edition/year – cited in the draft as “2025–2026”].</w:t>
      </w:r>
    </w:p>
    <w:p w14:paraId="53D71308" w14:textId="77777777" w:rsidR="00847F5A" w:rsidRDefault="00000000">
      <w:pPr>
        <w:spacing w:after="140" w:line="300" w:lineRule="auto"/>
      </w:pPr>
      <w:r>
        <w:rPr>
          <w:sz w:val="22"/>
          <w:szCs w:val="22"/>
        </w:rPr>
        <w:t>6. European Commission Joint Research Centre. PVGIS – Photovoltaic Geographical Information System, PVGIS-ERA5 database [FILL IN access date/version]; https://re.jrc.ec.europa.eu/pvg_tools/en/</w:t>
      </w:r>
    </w:p>
    <w:p w14:paraId="7D01FD55" w14:textId="77777777" w:rsidR="00847F5A" w:rsidRDefault="00000000">
      <w:pPr>
        <w:spacing w:after="140" w:line="300" w:lineRule="auto"/>
      </w:pPr>
      <w:r>
        <w:rPr>
          <w:sz w:val="22"/>
          <w:szCs w:val="22"/>
        </w:rPr>
        <w:t xml:space="preserve">7. </w:t>
      </w:r>
      <w:proofErr w:type="spellStart"/>
      <w:r>
        <w:rPr>
          <w:sz w:val="22"/>
          <w:szCs w:val="22"/>
        </w:rPr>
        <w:t>Zanaga</w:t>
      </w:r>
      <w:proofErr w:type="spellEnd"/>
      <w:r>
        <w:rPr>
          <w:sz w:val="22"/>
          <w:szCs w:val="22"/>
        </w:rPr>
        <w:t xml:space="preserve">, D. et al. ESA </w:t>
      </w:r>
      <w:proofErr w:type="spellStart"/>
      <w:r>
        <w:rPr>
          <w:sz w:val="22"/>
          <w:szCs w:val="22"/>
        </w:rPr>
        <w:t>WorldCover</w:t>
      </w:r>
      <w:proofErr w:type="spellEnd"/>
      <w:r>
        <w:rPr>
          <w:sz w:val="22"/>
          <w:szCs w:val="22"/>
        </w:rPr>
        <w:t xml:space="preserve"> 10 m 2021 v200. </w:t>
      </w:r>
      <w:proofErr w:type="spellStart"/>
      <w:r>
        <w:rPr>
          <w:sz w:val="22"/>
          <w:szCs w:val="22"/>
        </w:rPr>
        <w:t>Zenodo</w:t>
      </w:r>
      <w:proofErr w:type="spellEnd"/>
      <w:r>
        <w:rPr>
          <w:sz w:val="22"/>
          <w:szCs w:val="22"/>
        </w:rPr>
        <w:t xml:space="preserve"> https://doi.org/10.5281/zenodo.7254221 (2022).</w:t>
      </w:r>
    </w:p>
    <w:p w14:paraId="5060A781" w14:textId="77777777" w:rsidR="00847F5A" w:rsidRDefault="00000000">
      <w:pPr>
        <w:spacing w:after="140" w:line="300" w:lineRule="auto"/>
      </w:pPr>
      <w:r>
        <w:rPr>
          <w:sz w:val="22"/>
          <w:szCs w:val="22"/>
        </w:rPr>
        <w:t>8. Gorelick, N. et al. Google Earth Engine: planetary-scale geospatial analysis for everyone. Remote Sens. Environ. 202, 18–27 (2017).</w:t>
      </w:r>
    </w:p>
    <w:p w14:paraId="2706E2D8" w14:textId="77777777" w:rsidR="00847F5A" w:rsidRDefault="00000000">
      <w:pPr>
        <w:spacing w:after="140" w:line="300" w:lineRule="auto"/>
      </w:pPr>
      <w:r>
        <w:rPr>
          <w:sz w:val="22"/>
          <w:szCs w:val="22"/>
        </w:rPr>
        <w:t>9. UNEP-WCMC &amp; IUCN. Protected Planet: The World Database on Protected Areas (WDPA) [FILL IN access month/year]; www.protectedplanet.net</w:t>
      </w:r>
    </w:p>
    <w:p w14:paraId="4E395049" w14:textId="77777777" w:rsidR="00847F5A" w:rsidRDefault="00000000">
      <w:pPr>
        <w:spacing w:after="140" w:line="300" w:lineRule="auto"/>
      </w:pPr>
      <w:r>
        <w:rPr>
          <w:sz w:val="22"/>
          <w:szCs w:val="22"/>
        </w:rPr>
        <w:t xml:space="preserve">10. </w:t>
      </w:r>
      <w:proofErr w:type="spellStart"/>
      <w:r>
        <w:rPr>
          <w:sz w:val="22"/>
          <w:szCs w:val="22"/>
        </w:rPr>
        <w:t>BloombergNEF</w:t>
      </w:r>
      <w:proofErr w:type="spellEnd"/>
      <w:r>
        <w:rPr>
          <w:sz w:val="22"/>
          <w:szCs w:val="22"/>
        </w:rPr>
        <w:t>. [FILL IN exact title of the technology-cost compilation used] (</w:t>
      </w:r>
      <w:proofErr w:type="spellStart"/>
      <w:r>
        <w:rPr>
          <w:sz w:val="22"/>
          <w:szCs w:val="22"/>
        </w:rPr>
        <w:t>BloombergNEF</w:t>
      </w:r>
      <w:proofErr w:type="spellEnd"/>
      <w:r>
        <w:rPr>
          <w:sz w:val="22"/>
          <w:szCs w:val="22"/>
        </w:rPr>
        <w:t>, 2025).</w:t>
      </w:r>
    </w:p>
    <w:p w14:paraId="07C9D5DE" w14:textId="77777777" w:rsidR="00847F5A" w:rsidRDefault="00000000">
      <w:pPr>
        <w:spacing w:after="140" w:line="300" w:lineRule="auto"/>
      </w:pPr>
      <w:r>
        <w:rPr>
          <w:sz w:val="22"/>
          <w:szCs w:val="22"/>
        </w:rPr>
        <w:t xml:space="preserve">11. Huangfu, Q. &amp; Hall, J. A. J. Parallelizing the dual revised simplex method. Math. Program. </w:t>
      </w:r>
      <w:proofErr w:type="spellStart"/>
      <w:r>
        <w:rPr>
          <w:sz w:val="22"/>
          <w:szCs w:val="22"/>
        </w:rPr>
        <w:t>Comput</w:t>
      </w:r>
      <w:proofErr w:type="spellEnd"/>
      <w:r>
        <w:rPr>
          <w:sz w:val="22"/>
          <w:szCs w:val="22"/>
        </w:rPr>
        <w:t>. 10, 119–142 (2018).</w:t>
      </w:r>
    </w:p>
    <w:p w14:paraId="651E54DA" w14:textId="77777777" w:rsidR="00847F5A" w:rsidRDefault="00000000">
      <w:pPr>
        <w:spacing w:after="140" w:line="300" w:lineRule="auto"/>
      </w:pPr>
      <w:r>
        <w:rPr>
          <w:sz w:val="22"/>
          <w:szCs w:val="22"/>
        </w:rPr>
        <w:t xml:space="preserve">12. </w:t>
      </w:r>
      <w:proofErr w:type="spellStart"/>
      <w:r>
        <w:rPr>
          <w:sz w:val="22"/>
          <w:szCs w:val="22"/>
        </w:rPr>
        <w:t>Madlool</w:t>
      </w:r>
      <w:proofErr w:type="spellEnd"/>
      <w:r>
        <w:rPr>
          <w:sz w:val="22"/>
          <w:szCs w:val="22"/>
        </w:rPr>
        <w:t xml:space="preserve">, N. A., </w:t>
      </w:r>
      <w:proofErr w:type="spellStart"/>
      <w:r>
        <w:rPr>
          <w:sz w:val="22"/>
          <w:szCs w:val="22"/>
        </w:rPr>
        <w:t>Saidur</w:t>
      </w:r>
      <w:proofErr w:type="spellEnd"/>
      <w:r>
        <w:rPr>
          <w:sz w:val="22"/>
          <w:szCs w:val="22"/>
        </w:rPr>
        <w:t>, R., Hossain, M. S. &amp; Rahim, N. A. A critical review on energy use and savings in the cement industries. Renew. Sustain. Energy Rev. 15, 2042–2060 (2011).</w:t>
      </w:r>
    </w:p>
    <w:p w14:paraId="57AA19AB" w14:textId="77777777" w:rsidR="00847F5A" w:rsidRDefault="00000000">
      <w:pPr>
        <w:spacing w:after="140" w:line="300" w:lineRule="auto"/>
      </w:pPr>
      <w:r>
        <w:rPr>
          <w:sz w:val="22"/>
          <w:szCs w:val="22"/>
        </w:rPr>
        <w:t xml:space="preserve">13. European Commission. Best Available Techniques (BAT) Reference Document </w:t>
      </w:r>
      <w:proofErr w:type="gramStart"/>
      <w:r>
        <w:rPr>
          <w:sz w:val="22"/>
          <w:szCs w:val="22"/>
        </w:rPr>
        <w:t>for the Production of</w:t>
      </w:r>
      <w:proofErr w:type="gramEnd"/>
      <w:r>
        <w:rPr>
          <w:sz w:val="22"/>
          <w:szCs w:val="22"/>
        </w:rPr>
        <w:t xml:space="preserve"> Cement, Lime and Magnesium Oxide [FILL IN year – draft cites both 2013 and a 2019 revision].</w:t>
      </w:r>
    </w:p>
    <w:p w14:paraId="33A7933B" w14:textId="77777777" w:rsidR="00847F5A" w:rsidRDefault="00000000">
      <w:pPr>
        <w:spacing w:after="140" w:line="300" w:lineRule="auto"/>
      </w:pPr>
      <w:r>
        <w:rPr>
          <w:sz w:val="22"/>
          <w:szCs w:val="22"/>
        </w:rPr>
        <w:t xml:space="preserve">14. </w:t>
      </w:r>
      <w:proofErr w:type="spellStart"/>
      <w:r>
        <w:rPr>
          <w:sz w:val="22"/>
          <w:szCs w:val="22"/>
        </w:rPr>
        <w:t>Beerkens</w:t>
      </w:r>
      <w:proofErr w:type="spellEnd"/>
      <w:r>
        <w:rPr>
          <w:sz w:val="22"/>
          <w:szCs w:val="22"/>
        </w:rPr>
        <w:t xml:space="preserve">, R. G. C. &amp; van </w:t>
      </w:r>
      <w:proofErr w:type="spellStart"/>
      <w:r>
        <w:rPr>
          <w:sz w:val="22"/>
          <w:szCs w:val="22"/>
        </w:rPr>
        <w:t>Limpt</w:t>
      </w:r>
      <w:proofErr w:type="spellEnd"/>
      <w:r>
        <w:rPr>
          <w:sz w:val="22"/>
          <w:szCs w:val="22"/>
        </w:rPr>
        <w:t>, H. A. C. Energy efficiency benchmarking of glass furnaces. Ceram. Eng. Sci. Proc. 23, 93–105 (2008).</w:t>
      </w:r>
    </w:p>
    <w:p w14:paraId="3EC81DAB" w14:textId="77777777" w:rsidR="00847F5A" w:rsidRDefault="00000000">
      <w:pPr>
        <w:spacing w:after="140" w:line="300" w:lineRule="auto"/>
      </w:pPr>
      <w:r>
        <w:rPr>
          <w:sz w:val="22"/>
          <w:szCs w:val="22"/>
        </w:rPr>
        <w:t>15. Schmitz, A., Kamiński, J., Scalet, B. M. &amp; Soria, A. Energy consumption and CO2 emissions of the European glass industry. Energy Policy 39, 142–155 (2011).</w:t>
      </w:r>
    </w:p>
    <w:p w14:paraId="1E26FDCB" w14:textId="77777777" w:rsidR="00847F5A" w:rsidRDefault="00000000">
      <w:pPr>
        <w:spacing w:after="140" w:line="300" w:lineRule="auto"/>
      </w:pPr>
      <w:r>
        <w:rPr>
          <w:sz w:val="22"/>
          <w:szCs w:val="22"/>
        </w:rPr>
        <w:t>16. IEA. Iron and Steel Technology Roadmap: Towards More Sustainable Steelmaking (IEA, 2020).</w:t>
      </w:r>
    </w:p>
    <w:p w14:paraId="58E311F6" w14:textId="77777777" w:rsidR="00847F5A" w:rsidRDefault="00000000">
      <w:pPr>
        <w:spacing w:after="140" w:line="300" w:lineRule="auto"/>
      </w:pPr>
      <w:r>
        <w:rPr>
          <w:sz w:val="22"/>
          <w:szCs w:val="22"/>
        </w:rPr>
        <w:lastRenderedPageBreak/>
        <w:t>17. World Steel Association. [FILL IN exact energy-statistics publication/year]; worldsteel.org</w:t>
      </w:r>
    </w:p>
    <w:p w14:paraId="1A34F392" w14:textId="77777777" w:rsidR="00847F5A" w:rsidRDefault="00000000">
      <w:pPr>
        <w:spacing w:after="140" w:line="300" w:lineRule="auto"/>
      </w:pPr>
      <w:r>
        <w:rPr>
          <w:sz w:val="22"/>
          <w:szCs w:val="22"/>
        </w:rPr>
        <w:t>18. Ren, T., Patel, M. &amp; Blok, K. [FILL IN exact title]. Energy 31, 425–451 (2006).</w:t>
      </w:r>
    </w:p>
    <w:p w14:paraId="7C70DC69" w14:textId="77777777" w:rsidR="00847F5A" w:rsidRDefault="00000000">
      <w:pPr>
        <w:spacing w:after="140" w:line="300" w:lineRule="auto"/>
      </w:pPr>
      <w:r>
        <w:rPr>
          <w:sz w:val="22"/>
          <w:szCs w:val="22"/>
        </w:rPr>
        <w:t>19. [FILL IN authors]. Ethylene. In Ullmann’s Encyclopedia of Industrial Chemistry [FILL IN edition/year].</w:t>
      </w:r>
    </w:p>
    <w:p w14:paraId="10C4A714" w14:textId="77777777" w:rsidR="00847F5A" w:rsidRDefault="00000000">
      <w:pPr>
        <w:spacing w:after="140" w:line="300" w:lineRule="auto"/>
      </w:pPr>
      <w:r>
        <w:rPr>
          <w:sz w:val="22"/>
          <w:szCs w:val="22"/>
        </w:rPr>
        <w:t>20. European Commission. BAT Reference Document for the Manufacture of Large Volume Inorganic Chemicals (LVIC) [FILL IN year].</w:t>
      </w:r>
    </w:p>
    <w:p w14:paraId="634A5233" w14:textId="77777777" w:rsidR="00847F5A" w:rsidRDefault="00000000">
      <w:pPr>
        <w:spacing w:after="140" w:line="300" w:lineRule="auto"/>
      </w:pPr>
      <w:r>
        <w:rPr>
          <w:sz w:val="22"/>
          <w:szCs w:val="22"/>
        </w:rPr>
        <w:t xml:space="preserve">21. International </w:t>
      </w:r>
      <w:proofErr w:type="spellStart"/>
      <w:r>
        <w:rPr>
          <w:sz w:val="22"/>
          <w:szCs w:val="22"/>
        </w:rPr>
        <w:t>Aluminium</w:t>
      </w:r>
      <w:proofErr w:type="spellEnd"/>
      <w:r>
        <w:rPr>
          <w:sz w:val="22"/>
          <w:szCs w:val="22"/>
        </w:rPr>
        <w:t xml:space="preserve"> Institute. [FILL IN exact energy-data publication/year]; international-aluminium.org</w:t>
      </w:r>
    </w:p>
    <w:p w14:paraId="3540679D" w14:textId="77777777" w:rsidR="00847F5A" w:rsidRDefault="00000000">
      <w:pPr>
        <w:spacing w:after="140" w:line="300" w:lineRule="auto"/>
      </w:pPr>
      <w:r>
        <w:rPr>
          <w:sz w:val="22"/>
          <w:szCs w:val="22"/>
        </w:rPr>
        <w:t>22. US Department of Energy. [FILL IN specific industrial steam-boiler efficiency benchmark report/URL].</w:t>
      </w:r>
    </w:p>
    <w:p w14:paraId="1A267551" w14:textId="77777777" w:rsidR="00847F5A" w:rsidRDefault="00000000">
      <w:pPr>
        <w:spacing w:after="140" w:line="300" w:lineRule="auto"/>
      </w:pPr>
      <w:r>
        <w:t>23. Agora Industry &amp; Agora Energiewende. The business case for electrifying industrial heat (Agora Industry / Agora Energiewende, 2025); https://www.agora-industry.org/fileadmin/Projekte/2023/2023-36_IND_Electrification_low_heat/A-IND_396_The_business_case_for_electrifying_industrial_heat_WEB.pdf. Table 2 and Fig. 10 (Germany/Fraunhofer ISI): gas and CO₂ price scenarios and technology LCOH comparison. Annex 3 / Poland chapter reproduces Reform Institute heat-cost tables including fossil gas-boiler LCOH.</w:t>
      </w:r>
    </w:p>
    <w:p w14:paraId="1E404BB5" w14:textId="77777777" w:rsidR="00847F5A" w:rsidRDefault="00000000">
      <w:pPr>
        <w:spacing w:after="140" w:line="300" w:lineRule="auto"/>
      </w:pPr>
      <w:r>
        <w:t>24. Reform Institute. Clean industrial heat: Electrification scenarios for selected sectors (Reform Institute, 2025); https://ireform.eu/en/our-projects/clean-industrial-heat-electrification-scenarios-for-selected-sectors-reform-institute-report/. Fossil gas-boiler LCOH ≈ €86.3/</w:t>
      </w:r>
      <w:proofErr w:type="spellStart"/>
      <w:r>
        <w:t>MWh_th</w:t>
      </w:r>
      <w:proofErr w:type="spellEnd"/>
      <w:r>
        <w:t xml:space="preserve"> in 2030 (Table 18 in Agora Industry &amp; Agora Energiewende 2025, Annex 3); operating cost alone ≈ €85.1/</w:t>
      </w:r>
      <w:proofErr w:type="spellStart"/>
      <w:r>
        <w:t>MWh_th</w:t>
      </w:r>
      <w:proofErr w:type="spellEnd"/>
      <w:r>
        <w:t xml:space="preserve"> in 2030 (Table 17).</w:t>
      </w:r>
    </w:p>
    <w:p w14:paraId="02D3B9E5" w14:textId="77777777" w:rsidR="00847F5A" w:rsidRDefault="00000000">
      <w:r>
        <w:br w:type="page"/>
      </w:r>
    </w:p>
    <w:p w14:paraId="0F8F4117" w14:textId="77777777" w:rsidR="00847F5A" w:rsidRDefault="00000000">
      <w:pPr>
        <w:pStyle w:val="Heading1"/>
      </w:pPr>
      <w:r>
        <w:lastRenderedPageBreak/>
        <w:t>Supplementary Methods</w:t>
      </w:r>
    </w:p>
    <w:p w14:paraId="05C0B9FF" w14:textId="77777777" w:rsidR="00847F5A" w:rsidRDefault="00000000">
      <w:pPr>
        <w:spacing w:after="300"/>
      </w:pPr>
      <w:r>
        <w:rPr>
          <w:i/>
          <w:iCs/>
        </w:rPr>
        <w:t>(Retained here for drafting purposes; would be submitted as a separate Supplementary Information file per Nature Energy guidelines.)</w:t>
      </w:r>
    </w:p>
    <w:p w14:paraId="4DAC1D50" w14:textId="77777777" w:rsidR="00847F5A" w:rsidRDefault="00000000">
      <w:pPr>
        <w:pStyle w:val="Heading2"/>
      </w:pPr>
      <w:r>
        <w:t>Table S1. Subsector process efficiencies (fuel input to useful heat)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00"/>
        <w:gridCol w:w="3400"/>
        <w:gridCol w:w="3360"/>
      </w:tblGrid>
      <w:tr w:rsidR="00847F5A" w14:paraId="65ADC919" w14:textId="77777777">
        <w:trPr>
          <w:tblHeader/>
        </w:trPr>
        <w:tc>
          <w:tcPr>
            <w:tcW w:w="1900" w:type="dxa"/>
            <w:shd w:val="clear" w:color="auto" w:fill="D9E2F3"/>
            <w:tcMar>
              <w:top w:w="80" w:type="dxa"/>
              <w:left w:w="100" w:type="dxa"/>
              <w:bottom w:w="80" w:type="dxa"/>
              <w:right w:w="100" w:type="dxa"/>
            </w:tcMar>
            <w:vAlign w:val="center"/>
          </w:tcPr>
          <w:p w14:paraId="5EED704F" w14:textId="77777777" w:rsidR="00847F5A" w:rsidRDefault="00000000">
            <w:r>
              <w:rPr>
                <w:b/>
                <w:bCs/>
                <w:sz w:val="20"/>
                <w:szCs w:val="20"/>
              </w:rPr>
              <w:t>Subsector</w:t>
            </w:r>
          </w:p>
        </w:tc>
        <w:tc>
          <w:tcPr>
            <w:tcW w:w="700" w:type="dxa"/>
            <w:shd w:val="clear" w:color="auto" w:fill="D9E2F3"/>
            <w:tcMar>
              <w:top w:w="80" w:type="dxa"/>
              <w:left w:w="100" w:type="dxa"/>
              <w:bottom w:w="80" w:type="dxa"/>
              <w:right w:w="100" w:type="dxa"/>
            </w:tcMar>
            <w:vAlign w:val="center"/>
          </w:tcPr>
          <w:p w14:paraId="55FA7644" w14:textId="77777777" w:rsidR="00847F5A" w:rsidRDefault="00000000">
            <w:r>
              <w:rPr>
                <w:b/>
                <w:bCs/>
                <w:sz w:val="20"/>
                <w:szCs w:val="20"/>
              </w:rPr>
              <w:t>Eff.</w:t>
            </w:r>
          </w:p>
        </w:tc>
        <w:tc>
          <w:tcPr>
            <w:tcW w:w="3400" w:type="dxa"/>
            <w:shd w:val="clear" w:color="auto" w:fill="D9E2F3"/>
            <w:tcMar>
              <w:top w:w="80" w:type="dxa"/>
              <w:left w:w="100" w:type="dxa"/>
              <w:bottom w:w="80" w:type="dxa"/>
              <w:right w:w="100" w:type="dxa"/>
            </w:tcMar>
            <w:vAlign w:val="center"/>
          </w:tcPr>
          <w:p w14:paraId="0497FA4E" w14:textId="77777777" w:rsidR="00847F5A" w:rsidRDefault="00000000">
            <w:r>
              <w:rPr>
                <w:b/>
                <w:bCs/>
                <w:sz w:val="20"/>
                <w:szCs w:val="20"/>
              </w:rPr>
              <w:t>What it represents</w:t>
            </w:r>
          </w:p>
        </w:tc>
        <w:tc>
          <w:tcPr>
            <w:tcW w:w="3360" w:type="dxa"/>
            <w:shd w:val="clear" w:color="auto" w:fill="D9E2F3"/>
            <w:tcMar>
              <w:top w:w="80" w:type="dxa"/>
              <w:left w:w="100" w:type="dxa"/>
              <w:bottom w:w="80" w:type="dxa"/>
              <w:right w:w="100" w:type="dxa"/>
            </w:tcMar>
            <w:vAlign w:val="center"/>
          </w:tcPr>
          <w:p w14:paraId="556A2F84" w14:textId="77777777" w:rsidR="00847F5A" w:rsidRDefault="00000000">
            <w:r>
              <w:rPr>
                <w:b/>
                <w:bCs/>
                <w:sz w:val="20"/>
                <w:szCs w:val="20"/>
              </w:rPr>
              <w:t>Source</w:t>
            </w:r>
          </w:p>
        </w:tc>
      </w:tr>
      <w:tr w:rsidR="00847F5A" w14:paraId="212C4816" w14:textId="77777777">
        <w:tc>
          <w:tcPr>
            <w:tcW w:w="1900" w:type="dxa"/>
            <w:tcMar>
              <w:top w:w="80" w:type="dxa"/>
              <w:left w:w="100" w:type="dxa"/>
              <w:bottom w:w="80" w:type="dxa"/>
              <w:right w:w="100" w:type="dxa"/>
            </w:tcMar>
          </w:tcPr>
          <w:p w14:paraId="57089E5F" w14:textId="77777777" w:rsidR="00847F5A" w:rsidRDefault="00000000">
            <w:pPr>
              <w:spacing w:after="60"/>
            </w:pPr>
            <w:r>
              <w:rPr>
                <w:sz w:val="20"/>
                <w:szCs w:val="20"/>
              </w:rPr>
              <w:t>Cement</w:t>
            </w:r>
          </w:p>
        </w:tc>
        <w:tc>
          <w:tcPr>
            <w:tcW w:w="700" w:type="dxa"/>
            <w:tcMar>
              <w:top w:w="80" w:type="dxa"/>
              <w:left w:w="100" w:type="dxa"/>
              <w:bottom w:w="80" w:type="dxa"/>
              <w:right w:w="100" w:type="dxa"/>
            </w:tcMar>
          </w:tcPr>
          <w:p w14:paraId="00B077A2" w14:textId="77777777" w:rsidR="00847F5A" w:rsidRDefault="00000000">
            <w:pPr>
              <w:spacing w:after="60"/>
            </w:pPr>
            <w:r>
              <w:rPr>
                <w:sz w:val="20"/>
                <w:szCs w:val="20"/>
              </w:rPr>
              <w:t>0.60</w:t>
            </w:r>
          </w:p>
        </w:tc>
        <w:tc>
          <w:tcPr>
            <w:tcW w:w="3400" w:type="dxa"/>
            <w:tcMar>
              <w:top w:w="80" w:type="dxa"/>
              <w:left w:w="100" w:type="dxa"/>
              <w:bottom w:w="80" w:type="dxa"/>
              <w:right w:w="100" w:type="dxa"/>
            </w:tcMar>
          </w:tcPr>
          <w:p w14:paraId="0CEA4285" w14:textId="77777777" w:rsidR="00847F5A" w:rsidRDefault="00000000">
            <w:pPr>
              <w:spacing w:after="60"/>
            </w:pPr>
            <w:r>
              <w:rPr>
                <w:sz w:val="20"/>
                <w:szCs w:val="20"/>
              </w:rPr>
              <w:t>Kiln pyro-processing first-law efficiency</w:t>
            </w:r>
          </w:p>
        </w:tc>
        <w:tc>
          <w:tcPr>
            <w:tcW w:w="3360" w:type="dxa"/>
            <w:tcMar>
              <w:top w:w="80" w:type="dxa"/>
              <w:left w:w="100" w:type="dxa"/>
              <w:bottom w:w="80" w:type="dxa"/>
              <w:right w:w="100" w:type="dxa"/>
            </w:tcMar>
          </w:tcPr>
          <w:p w14:paraId="1206926E" w14:textId="77777777" w:rsidR="00847F5A" w:rsidRDefault="00000000">
            <w:pPr>
              <w:spacing w:after="60"/>
            </w:pPr>
            <w:proofErr w:type="spellStart"/>
            <w:r>
              <w:rPr>
                <w:sz w:val="20"/>
                <w:szCs w:val="20"/>
              </w:rPr>
              <w:t>Madlool</w:t>
            </w:r>
            <w:proofErr w:type="spellEnd"/>
            <w:r>
              <w:rPr>
                <w:sz w:val="20"/>
                <w:szCs w:val="20"/>
              </w:rPr>
              <w:t xml:space="preserve"> et al. [12], 50–60% kiln-system; cross-checked vs. IEA Cement Roadmap (BAT ~3.0 vs. theoretical ~1.8 GJ/t)</w:t>
            </w:r>
          </w:p>
        </w:tc>
      </w:tr>
      <w:tr w:rsidR="00847F5A" w14:paraId="08D6AEDA" w14:textId="77777777">
        <w:tc>
          <w:tcPr>
            <w:tcW w:w="1900" w:type="dxa"/>
            <w:tcMar>
              <w:top w:w="80" w:type="dxa"/>
              <w:left w:w="100" w:type="dxa"/>
              <w:bottom w:w="80" w:type="dxa"/>
              <w:right w:w="100" w:type="dxa"/>
            </w:tcMar>
          </w:tcPr>
          <w:p w14:paraId="3AD64614" w14:textId="77777777" w:rsidR="00847F5A" w:rsidRDefault="00000000">
            <w:pPr>
              <w:spacing w:after="60"/>
            </w:pPr>
            <w:r>
              <w:rPr>
                <w:sz w:val="20"/>
                <w:szCs w:val="20"/>
              </w:rPr>
              <w:t>Lime</w:t>
            </w:r>
          </w:p>
        </w:tc>
        <w:tc>
          <w:tcPr>
            <w:tcW w:w="700" w:type="dxa"/>
            <w:tcMar>
              <w:top w:w="80" w:type="dxa"/>
              <w:left w:w="100" w:type="dxa"/>
              <w:bottom w:w="80" w:type="dxa"/>
              <w:right w:w="100" w:type="dxa"/>
            </w:tcMar>
          </w:tcPr>
          <w:p w14:paraId="494B3370" w14:textId="77777777" w:rsidR="00847F5A" w:rsidRDefault="00000000">
            <w:pPr>
              <w:spacing w:after="60"/>
            </w:pPr>
            <w:r>
              <w:rPr>
                <w:sz w:val="20"/>
                <w:szCs w:val="20"/>
              </w:rPr>
              <w:t>0.65</w:t>
            </w:r>
          </w:p>
        </w:tc>
        <w:tc>
          <w:tcPr>
            <w:tcW w:w="3400" w:type="dxa"/>
            <w:tcMar>
              <w:top w:w="80" w:type="dxa"/>
              <w:left w:w="100" w:type="dxa"/>
              <w:bottom w:w="80" w:type="dxa"/>
              <w:right w:w="100" w:type="dxa"/>
            </w:tcMar>
          </w:tcPr>
          <w:p w14:paraId="65011A77" w14:textId="77777777" w:rsidR="00847F5A" w:rsidRDefault="00000000">
            <w:pPr>
              <w:spacing w:after="60"/>
            </w:pPr>
            <w:r>
              <w:rPr>
                <w:sz w:val="20"/>
                <w:szCs w:val="20"/>
              </w:rPr>
              <w:t>EU mix of shaft (~0.80) + rotary (~0.55) kilns</w:t>
            </w:r>
          </w:p>
        </w:tc>
        <w:tc>
          <w:tcPr>
            <w:tcW w:w="3360" w:type="dxa"/>
            <w:tcMar>
              <w:top w:w="80" w:type="dxa"/>
              <w:left w:w="100" w:type="dxa"/>
              <w:bottom w:w="80" w:type="dxa"/>
              <w:right w:w="100" w:type="dxa"/>
            </w:tcMar>
          </w:tcPr>
          <w:p w14:paraId="76612BB5" w14:textId="77777777" w:rsidR="00847F5A" w:rsidRDefault="00000000">
            <w:pPr>
              <w:spacing w:after="60"/>
            </w:pPr>
            <w:r>
              <w:rPr>
                <w:sz w:val="20"/>
                <w:szCs w:val="20"/>
              </w:rPr>
              <w:t>EU BREF Cement/Lime/MgO [13] (4–5 GJ/t vs. theoretical ~3.2)</w:t>
            </w:r>
          </w:p>
        </w:tc>
      </w:tr>
      <w:tr w:rsidR="00847F5A" w14:paraId="720D58CE" w14:textId="77777777">
        <w:tc>
          <w:tcPr>
            <w:tcW w:w="1900" w:type="dxa"/>
            <w:tcMar>
              <w:top w:w="80" w:type="dxa"/>
              <w:left w:w="100" w:type="dxa"/>
              <w:bottom w:w="80" w:type="dxa"/>
              <w:right w:w="100" w:type="dxa"/>
            </w:tcMar>
          </w:tcPr>
          <w:p w14:paraId="2EFE8A7B" w14:textId="77777777" w:rsidR="00847F5A" w:rsidRDefault="00000000">
            <w:pPr>
              <w:spacing w:after="60"/>
            </w:pPr>
            <w:r>
              <w:rPr>
                <w:sz w:val="20"/>
                <w:szCs w:val="20"/>
              </w:rPr>
              <w:t>Glass</w:t>
            </w:r>
          </w:p>
        </w:tc>
        <w:tc>
          <w:tcPr>
            <w:tcW w:w="700" w:type="dxa"/>
            <w:tcMar>
              <w:top w:w="80" w:type="dxa"/>
              <w:left w:w="100" w:type="dxa"/>
              <w:bottom w:w="80" w:type="dxa"/>
              <w:right w:w="100" w:type="dxa"/>
            </w:tcMar>
          </w:tcPr>
          <w:p w14:paraId="76136DBE" w14:textId="77777777" w:rsidR="00847F5A" w:rsidRDefault="00000000">
            <w:pPr>
              <w:spacing w:after="60"/>
            </w:pPr>
            <w:r>
              <w:rPr>
                <w:sz w:val="20"/>
                <w:szCs w:val="20"/>
              </w:rPr>
              <w:t>0.45</w:t>
            </w:r>
          </w:p>
        </w:tc>
        <w:tc>
          <w:tcPr>
            <w:tcW w:w="3400" w:type="dxa"/>
            <w:tcMar>
              <w:top w:w="80" w:type="dxa"/>
              <w:left w:w="100" w:type="dxa"/>
              <w:bottom w:w="80" w:type="dxa"/>
              <w:right w:w="100" w:type="dxa"/>
            </w:tcMar>
          </w:tcPr>
          <w:p w14:paraId="626602CA" w14:textId="77777777" w:rsidR="00847F5A" w:rsidRDefault="00000000">
            <w:pPr>
              <w:spacing w:after="60"/>
            </w:pPr>
            <w:r>
              <w:rPr>
                <w:sz w:val="20"/>
                <w:szCs w:val="20"/>
              </w:rPr>
              <w:t>Melting-furnace efficiency (large flue-gas/structural losses)</w:t>
            </w:r>
          </w:p>
        </w:tc>
        <w:tc>
          <w:tcPr>
            <w:tcW w:w="3360" w:type="dxa"/>
            <w:tcMar>
              <w:top w:w="80" w:type="dxa"/>
              <w:left w:w="100" w:type="dxa"/>
              <w:bottom w:w="80" w:type="dxa"/>
              <w:right w:w="100" w:type="dxa"/>
            </w:tcMar>
          </w:tcPr>
          <w:p w14:paraId="7E85E774" w14:textId="77777777" w:rsidR="00847F5A" w:rsidRDefault="00000000">
            <w:pPr>
              <w:spacing w:after="60"/>
            </w:pPr>
            <w:proofErr w:type="spellStart"/>
            <w:r>
              <w:rPr>
                <w:sz w:val="20"/>
                <w:szCs w:val="20"/>
              </w:rPr>
              <w:t>Beerkens</w:t>
            </w:r>
            <w:proofErr w:type="spellEnd"/>
            <w:r>
              <w:rPr>
                <w:sz w:val="20"/>
                <w:szCs w:val="20"/>
              </w:rPr>
              <w:t xml:space="preserve"> &amp; van </w:t>
            </w:r>
            <w:proofErr w:type="spellStart"/>
            <w:r>
              <w:rPr>
                <w:sz w:val="20"/>
                <w:szCs w:val="20"/>
              </w:rPr>
              <w:t>Limpt</w:t>
            </w:r>
            <w:proofErr w:type="spellEnd"/>
            <w:r>
              <w:rPr>
                <w:sz w:val="20"/>
                <w:szCs w:val="20"/>
              </w:rPr>
              <w:t xml:space="preserve"> [14]; Schmitz et al. [15] (regenerative melting 40–50%)</w:t>
            </w:r>
          </w:p>
        </w:tc>
      </w:tr>
      <w:tr w:rsidR="00847F5A" w14:paraId="6AB37C5C" w14:textId="77777777">
        <w:tc>
          <w:tcPr>
            <w:tcW w:w="1900" w:type="dxa"/>
            <w:tcMar>
              <w:top w:w="80" w:type="dxa"/>
              <w:left w:w="100" w:type="dxa"/>
              <w:bottom w:w="80" w:type="dxa"/>
              <w:right w:w="100" w:type="dxa"/>
            </w:tcMar>
          </w:tcPr>
          <w:p w14:paraId="0514C6DC" w14:textId="77777777" w:rsidR="00847F5A" w:rsidRDefault="00000000">
            <w:pPr>
              <w:spacing w:after="60"/>
            </w:pPr>
            <w:r>
              <w:rPr>
                <w:sz w:val="20"/>
                <w:szCs w:val="20"/>
              </w:rPr>
              <w:t>Iron &amp; steel</w:t>
            </w:r>
          </w:p>
        </w:tc>
        <w:tc>
          <w:tcPr>
            <w:tcW w:w="700" w:type="dxa"/>
            <w:tcMar>
              <w:top w:w="80" w:type="dxa"/>
              <w:left w:w="100" w:type="dxa"/>
              <w:bottom w:w="80" w:type="dxa"/>
              <w:right w:w="100" w:type="dxa"/>
            </w:tcMar>
          </w:tcPr>
          <w:p w14:paraId="091D8851" w14:textId="77777777" w:rsidR="00847F5A" w:rsidRDefault="00000000">
            <w:pPr>
              <w:spacing w:after="60"/>
            </w:pPr>
            <w:r>
              <w:rPr>
                <w:sz w:val="20"/>
                <w:szCs w:val="20"/>
              </w:rPr>
              <w:t>0.70</w:t>
            </w:r>
          </w:p>
        </w:tc>
        <w:tc>
          <w:tcPr>
            <w:tcW w:w="3400" w:type="dxa"/>
            <w:tcMar>
              <w:top w:w="80" w:type="dxa"/>
              <w:left w:w="100" w:type="dxa"/>
              <w:bottom w:w="80" w:type="dxa"/>
              <w:right w:w="100" w:type="dxa"/>
            </w:tcMar>
          </w:tcPr>
          <w:p w14:paraId="4D034D36" w14:textId="77777777" w:rsidR="00847F5A" w:rsidRDefault="00000000">
            <w:pPr>
              <w:spacing w:after="60"/>
            </w:pPr>
            <w:r>
              <w:rPr>
                <w:sz w:val="20"/>
                <w:szCs w:val="20"/>
              </w:rPr>
              <w:t>Reheating/sinter furnaces w/ recuperation (65–75%)</w:t>
            </w:r>
          </w:p>
        </w:tc>
        <w:tc>
          <w:tcPr>
            <w:tcW w:w="3360" w:type="dxa"/>
            <w:tcMar>
              <w:top w:w="80" w:type="dxa"/>
              <w:left w:w="100" w:type="dxa"/>
              <w:bottom w:w="80" w:type="dxa"/>
              <w:right w:w="100" w:type="dxa"/>
            </w:tcMar>
          </w:tcPr>
          <w:p w14:paraId="12B5FCE4" w14:textId="77777777" w:rsidR="00847F5A" w:rsidRDefault="00000000">
            <w:pPr>
              <w:spacing w:after="60"/>
            </w:pPr>
            <w:r>
              <w:rPr>
                <w:sz w:val="20"/>
                <w:szCs w:val="20"/>
              </w:rPr>
              <w:t xml:space="preserve">IEA Iron &amp; Steel Roadmap [16]; </w:t>
            </w:r>
            <w:proofErr w:type="spellStart"/>
            <w:r>
              <w:rPr>
                <w:sz w:val="20"/>
                <w:szCs w:val="20"/>
              </w:rPr>
              <w:t>worldsteel</w:t>
            </w:r>
            <w:proofErr w:type="spellEnd"/>
            <w:r>
              <w:rPr>
                <w:sz w:val="20"/>
                <w:szCs w:val="20"/>
              </w:rPr>
              <w:t xml:space="preserve"> energy statistics [17]</w:t>
            </w:r>
          </w:p>
        </w:tc>
      </w:tr>
      <w:tr w:rsidR="00847F5A" w14:paraId="22421C0B" w14:textId="77777777">
        <w:tc>
          <w:tcPr>
            <w:tcW w:w="1900" w:type="dxa"/>
            <w:tcMar>
              <w:top w:w="80" w:type="dxa"/>
              <w:left w:w="100" w:type="dxa"/>
              <w:bottom w:w="80" w:type="dxa"/>
              <w:right w:w="100" w:type="dxa"/>
            </w:tcMar>
          </w:tcPr>
          <w:p w14:paraId="02B6C4D8" w14:textId="77777777" w:rsidR="00847F5A" w:rsidRDefault="00000000">
            <w:pPr>
              <w:spacing w:after="60"/>
            </w:pPr>
            <w:r>
              <w:rPr>
                <w:sz w:val="20"/>
                <w:szCs w:val="20"/>
              </w:rPr>
              <w:t>Petrochem. steam cracking</w:t>
            </w:r>
          </w:p>
        </w:tc>
        <w:tc>
          <w:tcPr>
            <w:tcW w:w="700" w:type="dxa"/>
            <w:tcMar>
              <w:top w:w="80" w:type="dxa"/>
              <w:left w:w="100" w:type="dxa"/>
              <w:bottom w:w="80" w:type="dxa"/>
              <w:right w:w="100" w:type="dxa"/>
            </w:tcMar>
          </w:tcPr>
          <w:p w14:paraId="38AA49C4" w14:textId="77777777" w:rsidR="00847F5A" w:rsidRDefault="00000000">
            <w:pPr>
              <w:spacing w:after="60"/>
            </w:pPr>
            <w:r>
              <w:rPr>
                <w:sz w:val="20"/>
                <w:szCs w:val="20"/>
              </w:rPr>
              <w:t>0.90</w:t>
            </w:r>
          </w:p>
        </w:tc>
        <w:tc>
          <w:tcPr>
            <w:tcW w:w="3400" w:type="dxa"/>
            <w:tcMar>
              <w:top w:w="80" w:type="dxa"/>
              <w:left w:w="100" w:type="dxa"/>
              <w:bottom w:w="80" w:type="dxa"/>
              <w:right w:w="100" w:type="dxa"/>
            </w:tcMar>
          </w:tcPr>
          <w:p w14:paraId="77DCBFFD" w14:textId="77777777" w:rsidR="00847F5A" w:rsidRDefault="00000000">
            <w:pPr>
              <w:spacing w:after="60"/>
            </w:pPr>
            <w:r>
              <w:rPr>
                <w:sz w:val="20"/>
                <w:szCs w:val="20"/>
              </w:rPr>
              <w:t>Fired heater w/ strong convection recovery</w:t>
            </w:r>
          </w:p>
        </w:tc>
        <w:tc>
          <w:tcPr>
            <w:tcW w:w="3360" w:type="dxa"/>
            <w:tcMar>
              <w:top w:w="80" w:type="dxa"/>
              <w:left w:w="100" w:type="dxa"/>
              <w:bottom w:w="80" w:type="dxa"/>
              <w:right w:w="100" w:type="dxa"/>
            </w:tcMar>
          </w:tcPr>
          <w:p w14:paraId="6ABE514E" w14:textId="77777777" w:rsidR="00847F5A" w:rsidRDefault="00000000">
            <w:pPr>
              <w:spacing w:after="60"/>
            </w:pPr>
            <w:r>
              <w:rPr>
                <w:sz w:val="20"/>
                <w:szCs w:val="20"/>
              </w:rPr>
              <w:t>Ren, Patel &amp; Blok [18]; Ullmann’s “Ethylene” [19] — flagged least-certain</w:t>
            </w:r>
          </w:p>
        </w:tc>
      </w:tr>
      <w:tr w:rsidR="00847F5A" w14:paraId="18116BA3" w14:textId="77777777">
        <w:tc>
          <w:tcPr>
            <w:tcW w:w="1900" w:type="dxa"/>
            <w:tcMar>
              <w:top w:w="80" w:type="dxa"/>
              <w:left w:w="100" w:type="dxa"/>
              <w:bottom w:w="80" w:type="dxa"/>
              <w:right w:w="100" w:type="dxa"/>
            </w:tcMar>
          </w:tcPr>
          <w:p w14:paraId="5D3A8B64" w14:textId="77777777" w:rsidR="00847F5A" w:rsidRDefault="00000000">
            <w:pPr>
              <w:spacing w:after="60"/>
            </w:pPr>
            <w:r>
              <w:rPr>
                <w:sz w:val="20"/>
                <w:szCs w:val="20"/>
              </w:rPr>
              <w:t>Chemicals — ammonia/methanol</w:t>
            </w:r>
          </w:p>
        </w:tc>
        <w:tc>
          <w:tcPr>
            <w:tcW w:w="700" w:type="dxa"/>
            <w:tcMar>
              <w:top w:w="80" w:type="dxa"/>
              <w:left w:w="100" w:type="dxa"/>
              <w:bottom w:w="80" w:type="dxa"/>
              <w:right w:w="100" w:type="dxa"/>
            </w:tcMar>
          </w:tcPr>
          <w:p w14:paraId="2A025A6A" w14:textId="77777777" w:rsidR="00847F5A" w:rsidRDefault="00000000">
            <w:pPr>
              <w:spacing w:after="60"/>
            </w:pPr>
            <w:r>
              <w:rPr>
                <w:sz w:val="20"/>
                <w:szCs w:val="20"/>
              </w:rPr>
              <w:t>0.90</w:t>
            </w:r>
          </w:p>
        </w:tc>
        <w:tc>
          <w:tcPr>
            <w:tcW w:w="3400" w:type="dxa"/>
            <w:tcMar>
              <w:top w:w="80" w:type="dxa"/>
              <w:left w:w="100" w:type="dxa"/>
              <w:bottom w:w="80" w:type="dxa"/>
              <w:right w:w="100" w:type="dxa"/>
            </w:tcMar>
          </w:tcPr>
          <w:p w14:paraId="37535B3E" w14:textId="77777777" w:rsidR="00847F5A" w:rsidRDefault="00000000">
            <w:pPr>
              <w:spacing w:after="60"/>
            </w:pPr>
            <w:r>
              <w:rPr>
                <w:sz w:val="20"/>
                <w:szCs w:val="20"/>
              </w:rPr>
              <w:t>Reformers / fired heaters w/ heat recovery</w:t>
            </w:r>
          </w:p>
        </w:tc>
        <w:tc>
          <w:tcPr>
            <w:tcW w:w="3360" w:type="dxa"/>
            <w:tcMar>
              <w:top w:w="80" w:type="dxa"/>
              <w:left w:w="100" w:type="dxa"/>
              <w:bottom w:w="80" w:type="dxa"/>
              <w:right w:w="100" w:type="dxa"/>
            </w:tcMar>
          </w:tcPr>
          <w:p w14:paraId="13E01EFC" w14:textId="77777777" w:rsidR="00847F5A" w:rsidRDefault="00000000">
            <w:pPr>
              <w:spacing w:after="60"/>
            </w:pPr>
            <w:r>
              <w:rPr>
                <w:sz w:val="20"/>
                <w:szCs w:val="20"/>
              </w:rPr>
              <w:t>(same class as cracking)</w:t>
            </w:r>
          </w:p>
        </w:tc>
      </w:tr>
      <w:tr w:rsidR="00847F5A" w14:paraId="4BB87251" w14:textId="77777777">
        <w:tc>
          <w:tcPr>
            <w:tcW w:w="1900" w:type="dxa"/>
            <w:tcMar>
              <w:top w:w="80" w:type="dxa"/>
              <w:left w:w="100" w:type="dxa"/>
              <w:bottom w:w="80" w:type="dxa"/>
              <w:right w:w="100" w:type="dxa"/>
            </w:tcMar>
          </w:tcPr>
          <w:p w14:paraId="6F5B07A1" w14:textId="77777777" w:rsidR="00847F5A" w:rsidRDefault="00000000">
            <w:pPr>
              <w:spacing w:after="60"/>
            </w:pPr>
            <w:r>
              <w:rPr>
                <w:sz w:val="20"/>
                <w:szCs w:val="20"/>
              </w:rPr>
              <w:t>Chemicals — soda ash</w:t>
            </w:r>
          </w:p>
        </w:tc>
        <w:tc>
          <w:tcPr>
            <w:tcW w:w="700" w:type="dxa"/>
            <w:tcMar>
              <w:top w:w="80" w:type="dxa"/>
              <w:left w:w="100" w:type="dxa"/>
              <w:bottom w:w="80" w:type="dxa"/>
              <w:right w:w="100" w:type="dxa"/>
            </w:tcMar>
          </w:tcPr>
          <w:p w14:paraId="1240AD44"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5643D441" w14:textId="77777777" w:rsidR="00847F5A" w:rsidRDefault="00000000">
            <w:pPr>
              <w:spacing w:after="60"/>
            </w:pPr>
            <w:r>
              <w:rPr>
                <w:sz w:val="20"/>
                <w:szCs w:val="20"/>
              </w:rPr>
              <w:t>Steam-boiler-led</w:t>
            </w:r>
          </w:p>
        </w:tc>
        <w:tc>
          <w:tcPr>
            <w:tcW w:w="3360" w:type="dxa"/>
            <w:tcMar>
              <w:top w:w="80" w:type="dxa"/>
              <w:left w:w="100" w:type="dxa"/>
              <w:bottom w:w="80" w:type="dxa"/>
              <w:right w:w="100" w:type="dxa"/>
            </w:tcMar>
          </w:tcPr>
          <w:p w14:paraId="0332B78E" w14:textId="77777777" w:rsidR="00847F5A" w:rsidRDefault="00000000">
            <w:pPr>
              <w:spacing w:after="60"/>
            </w:pPr>
            <w:r>
              <w:rPr>
                <w:sz w:val="20"/>
                <w:szCs w:val="20"/>
              </w:rPr>
              <w:t>EU BREF LVIC [20]</w:t>
            </w:r>
          </w:p>
        </w:tc>
      </w:tr>
      <w:tr w:rsidR="00847F5A" w14:paraId="0D401EBF" w14:textId="77777777">
        <w:tc>
          <w:tcPr>
            <w:tcW w:w="1900" w:type="dxa"/>
            <w:tcMar>
              <w:top w:w="80" w:type="dxa"/>
              <w:left w:w="100" w:type="dxa"/>
              <w:bottom w:w="80" w:type="dxa"/>
              <w:right w:w="100" w:type="dxa"/>
            </w:tcMar>
          </w:tcPr>
          <w:p w14:paraId="7E065BF3" w14:textId="77777777" w:rsidR="00847F5A" w:rsidRDefault="00000000">
            <w:pPr>
              <w:spacing w:after="60"/>
            </w:pPr>
            <w:proofErr w:type="spellStart"/>
            <w:r>
              <w:rPr>
                <w:sz w:val="20"/>
                <w:szCs w:val="20"/>
              </w:rPr>
              <w:t>Aluminium</w:t>
            </w:r>
            <w:proofErr w:type="spellEnd"/>
            <w:r>
              <w:rPr>
                <w:sz w:val="20"/>
                <w:szCs w:val="20"/>
              </w:rPr>
              <w:t xml:space="preserve"> — refinery</w:t>
            </w:r>
          </w:p>
        </w:tc>
        <w:tc>
          <w:tcPr>
            <w:tcW w:w="700" w:type="dxa"/>
            <w:tcMar>
              <w:top w:w="80" w:type="dxa"/>
              <w:left w:w="100" w:type="dxa"/>
              <w:bottom w:w="80" w:type="dxa"/>
              <w:right w:w="100" w:type="dxa"/>
            </w:tcMar>
          </w:tcPr>
          <w:p w14:paraId="550277E8"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5ABED812" w14:textId="77777777" w:rsidR="00847F5A" w:rsidRDefault="00000000">
            <w:pPr>
              <w:spacing w:after="60"/>
            </w:pPr>
            <w:r>
              <w:rPr>
                <w:sz w:val="20"/>
                <w:szCs w:val="20"/>
              </w:rPr>
              <w:t>Bayer digestion/calcination steam boiler</w:t>
            </w:r>
          </w:p>
        </w:tc>
        <w:tc>
          <w:tcPr>
            <w:tcW w:w="3360" w:type="dxa"/>
            <w:tcMar>
              <w:top w:w="80" w:type="dxa"/>
              <w:left w:w="100" w:type="dxa"/>
              <w:bottom w:w="80" w:type="dxa"/>
              <w:right w:w="100" w:type="dxa"/>
            </w:tcMar>
          </w:tcPr>
          <w:p w14:paraId="66740DBE" w14:textId="77777777" w:rsidR="00847F5A" w:rsidRDefault="00000000">
            <w:pPr>
              <w:spacing w:after="60"/>
            </w:pPr>
            <w:r>
              <w:rPr>
                <w:sz w:val="20"/>
                <w:szCs w:val="20"/>
              </w:rPr>
              <w:t>IAI energy data [21]</w:t>
            </w:r>
          </w:p>
        </w:tc>
      </w:tr>
      <w:tr w:rsidR="00847F5A" w14:paraId="0A8382EB" w14:textId="77777777">
        <w:tc>
          <w:tcPr>
            <w:tcW w:w="1900" w:type="dxa"/>
            <w:tcMar>
              <w:top w:w="80" w:type="dxa"/>
              <w:left w:w="100" w:type="dxa"/>
              <w:bottom w:w="80" w:type="dxa"/>
              <w:right w:w="100" w:type="dxa"/>
            </w:tcMar>
          </w:tcPr>
          <w:p w14:paraId="6FE84E5D" w14:textId="77777777" w:rsidR="00847F5A" w:rsidRDefault="00000000">
            <w:pPr>
              <w:spacing w:after="60"/>
            </w:pPr>
            <w:proofErr w:type="spellStart"/>
            <w:r>
              <w:rPr>
                <w:sz w:val="20"/>
                <w:szCs w:val="20"/>
              </w:rPr>
              <w:t>Aluminium</w:t>
            </w:r>
            <w:proofErr w:type="spellEnd"/>
            <w:r>
              <w:rPr>
                <w:sz w:val="20"/>
                <w:szCs w:val="20"/>
              </w:rPr>
              <w:t xml:space="preserve"> — smelting</w:t>
            </w:r>
          </w:p>
        </w:tc>
        <w:tc>
          <w:tcPr>
            <w:tcW w:w="700" w:type="dxa"/>
            <w:tcMar>
              <w:top w:w="80" w:type="dxa"/>
              <w:left w:w="100" w:type="dxa"/>
              <w:bottom w:w="80" w:type="dxa"/>
              <w:right w:w="100" w:type="dxa"/>
            </w:tcMar>
          </w:tcPr>
          <w:p w14:paraId="3E1342D7" w14:textId="77777777" w:rsidR="00847F5A" w:rsidRDefault="00000000">
            <w:pPr>
              <w:spacing w:after="60"/>
            </w:pPr>
            <w:r>
              <w:rPr>
                <w:sz w:val="20"/>
                <w:szCs w:val="20"/>
              </w:rPr>
              <w:t>0.65</w:t>
            </w:r>
          </w:p>
        </w:tc>
        <w:tc>
          <w:tcPr>
            <w:tcW w:w="3400" w:type="dxa"/>
            <w:tcMar>
              <w:top w:w="80" w:type="dxa"/>
              <w:left w:w="100" w:type="dxa"/>
              <w:bottom w:w="80" w:type="dxa"/>
              <w:right w:w="100" w:type="dxa"/>
            </w:tcMar>
          </w:tcPr>
          <w:p w14:paraId="03F81218" w14:textId="77777777" w:rsidR="00847F5A" w:rsidRDefault="00000000">
            <w:pPr>
              <w:spacing w:after="60"/>
            </w:pPr>
            <w:r>
              <w:rPr>
                <w:sz w:val="20"/>
                <w:szCs w:val="20"/>
              </w:rPr>
              <w:t>Anode-bake + cast-house fired furnaces</w:t>
            </w:r>
          </w:p>
        </w:tc>
        <w:tc>
          <w:tcPr>
            <w:tcW w:w="3360" w:type="dxa"/>
            <w:tcMar>
              <w:top w:w="80" w:type="dxa"/>
              <w:left w:w="100" w:type="dxa"/>
              <w:bottom w:w="80" w:type="dxa"/>
              <w:right w:w="100" w:type="dxa"/>
            </w:tcMar>
          </w:tcPr>
          <w:p w14:paraId="5EDAC9FB" w14:textId="77777777" w:rsidR="00847F5A" w:rsidRDefault="00000000">
            <w:pPr>
              <w:spacing w:after="60"/>
            </w:pPr>
            <w:r>
              <w:rPr>
                <w:sz w:val="20"/>
                <w:szCs w:val="20"/>
              </w:rPr>
              <w:t>IAI energy data [21]</w:t>
            </w:r>
          </w:p>
        </w:tc>
      </w:tr>
      <w:tr w:rsidR="00847F5A" w14:paraId="6D4783C9" w14:textId="77777777">
        <w:tc>
          <w:tcPr>
            <w:tcW w:w="1900" w:type="dxa"/>
            <w:tcMar>
              <w:top w:w="80" w:type="dxa"/>
              <w:left w:w="100" w:type="dxa"/>
              <w:bottom w:w="80" w:type="dxa"/>
              <w:right w:w="100" w:type="dxa"/>
            </w:tcMar>
          </w:tcPr>
          <w:p w14:paraId="724237F3" w14:textId="77777777" w:rsidR="00847F5A" w:rsidRDefault="00000000">
            <w:pPr>
              <w:spacing w:after="60"/>
            </w:pPr>
            <w:r>
              <w:rPr>
                <w:sz w:val="20"/>
                <w:szCs w:val="20"/>
              </w:rPr>
              <w:t>Pulp &amp; paper</w:t>
            </w:r>
          </w:p>
        </w:tc>
        <w:tc>
          <w:tcPr>
            <w:tcW w:w="700" w:type="dxa"/>
            <w:tcMar>
              <w:top w:w="80" w:type="dxa"/>
              <w:left w:w="100" w:type="dxa"/>
              <w:bottom w:w="80" w:type="dxa"/>
              <w:right w:w="100" w:type="dxa"/>
            </w:tcMar>
          </w:tcPr>
          <w:p w14:paraId="71696986"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74022A72" w14:textId="77777777" w:rsidR="00847F5A" w:rsidRDefault="00000000">
            <w:pPr>
              <w:spacing w:after="60"/>
            </w:pPr>
            <w:r>
              <w:rPr>
                <w:sz w:val="20"/>
                <w:szCs w:val="20"/>
              </w:rPr>
              <w:t>Steam boiler</w:t>
            </w:r>
          </w:p>
        </w:tc>
        <w:tc>
          <w:tcPr>
            <w:tcW w:w="3360" w:type="dxa"/>
            <w:tcMar>
              <w:top w:w="80" w:type="dxa"/>
              <w:left w:w="100" w:type="dxa"/>
              <w:bottom w:w="80" w:type="dxa"/>
              <w:right w:w="100" w:type="dxa"/>
            </w:tcMar>
          </w:tcPr>
          <w:p w14:paraId="12233F7E" w14:textId="77777777" w:rsidR="00847F5A" w:rsidRDefault="00000000">
            <w:pPr>
              <w:spacing w:after="60"/>
            </w:pPr>
            <w:r>
              <w:rPr>
                <w:sz w:val="20"/>
                <w:szCs w:val="20"/>
              </w:rPr>
              <w:t>US DOE typical industrial steam boiler [22]</w:t>
            </w:r>
          </w:p>
        </w:tc>
      </w:tr>
      <w:tr w:rsidR="00847F5A" w14:paraId="7C1FF1BC" w14:textId="77777777">
        <w:tc>
          <w:tcPr>
            <w:tcW w:w="1900" w:type="dxa"/>
            <w:tcMar>
              <w:top w:w="80" w:type="dxa"/>
              <w:left w:w="100" w:type="dxa"/>
              <w:bottom w:w="80" w:type="dxa"/>
              <w:right w:w="100" w:type="dxa"/>
            </w:tcMar>
          </w:tcPr>
          <w:p w14:paraId="6B97AD01" w14:textId="77777777" w:rsidR="00847F5A" w:rsidRDefault="00000000">
            <w:pPr>
              <w:spacing w:after="60"/>
            </w:pPr>
            <w:r>
              <w:rPr>
                <w:sz w:val="20"/>
                <w:szCs w:val="20"/>
              </w:rPr>
              <w:t>Food &amp; beverage; textiles</w:t>
            </w:r>
          </w:p>
        </w:tc>
        <w:tc>
          <w:tcPr>
            <w:tcW w:w="700" w:type="dxa"/>
            <w:tcMar>
              <w:top w:w="80" w:type="dxa"/>
              <w:left w:w="100" w:type="dxa"/>
              <w:bottom w:w="80" w:type="dxa"/>
              <w:right w:w="100" w:type="dxa"/>
            </w:tcMar>
          </w:tcPr>
          <w:p w14:paraId="34D4EA49"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672CD426" w14:textId="77777777" w:rsidR="00847F5A" w:rsidRDefault="00000000">
            <w:pPr>
              <w:spacing w:after="60"/>
            </w:pPr>
            <w:r>
              <w:rPr>
                <w:sz w:val="20"/>
                <w:szCs w:val="20"/>
              </w:rPr>
              <w:t>Boiler efficiency (emissions-inversion route)</w:t>
            </w:r>
          </w:p>
        </w:tc>
        <w:tc>
          <w:tcPr>
            <w:tcW w:w="3360" w:type="dxa"/>
            <w:tcMar>
              <w:top w:w="80" w:type="dxa"/>
              <w:left w:w="100" w:type="dxa"/>
              <w:bottom w:w="80" w:type="dxa"/>
              <w:right w:w="100" w:type="dxa"/>
            </w:tcMar>
          </w:tcPr>
          <w:p w14:paraId="3DD3A9A5" w14:textId="77777777" w:rsidR="00847F5A" w:rsidRDefault="00000000">
            <w:pPr>
              <w:spacing w:after="60"/>
            </w:pPr>
            <w:r>
              <w:rPr>
                <w:sz w:val="20"/>
                <w:szCs w:val="20"/>
              </w:rPr>
              <w:t>US DOE typical industrial steam boiler [22]</w:t>
            </w:r>
          </w:p>
        </w:tc>
      </w:tr>
    </w:tbl>
    <w:p w14:paraId="7089AE7B" w14:textId="77777777" w:rsidR="00847F5A" w:rsidRDefault="00000000">
      <w:pPr>
        <w:spacing w:after="300" w:line="360" w:lineRule="auto"/>
      </w:pPr>
      <w:r>
        <w:rPr>
          <w:i/>
          <w:iCs/>
          <w:color w:val="C00000"/>
        </w:rPr>
        <w:t>Editorial note: the cement (0.60) and lime (0.65) efficiencies above come from the SEC route (</w:t>
      </w:r>
      <w:proofErr w:type="spellStart"/>
      <w:r>
        <w:rPr>
          <w:i/>
          <w:iCs/>
          <w:color w:val="C00000"/>
        </w:rPr>
        <w:t>Madlool</w:t>
      </w:r>
      <w:proofErr w:type="spellEnd"/>
      <w:r>
        <w:rPr>
          <w:i/>
          <w:iCs/>
          <w:color w:val="C00000"/>
        </w:rPr>
        <w:t xml:space="preserve"> et al.; EU BREF) and are noticeably lower than the ε values used for the same processes in the companion E-PRTR/LCP-based reference table for this project (cement ε ≈ 0.75; lime ε ≈ 0.78, from Saad et al. 2026 / LCP BREF). Reconcile which value is authoritative for this paper — or state explicitly why the two data routes (Climate TRACE/SEC </w:t>
      </w:r>
      <w:r>
        <w:rPr>
          <w:i/>
          <w:iCs/>
          <w:color w:val="C00000"/>
        </w:rPr>
        <w:lastRenderedPageBreak/>
        <w:t>vs. E-PRTR/LCP) justify different point estimates for the same physical process — before submission.</w:t>
      </w:r>
    </w:p>
    <w:p w14:paraId="6CF7A82E" w14:textId="77777777" w:rsidR="00847F5A" w:rsidRDefault="00000000">
      <w:pPr>
        <w:pStyle w:val="Heading2"/>
      </w:pPr>
      <w:r>
        <w:t xml:space="preserve">Table S2. </w:t>
      </w:r>
      <w:proofErr w:type="spellStart"/>
      <w:r>
        <w:t>IndustryHeat</w:t>
      </w:r>
      <w:proofErr w:type="spellEnd"/>
      <w:r>
        <w:t>-EU subsector mapping to Climate TRACE subsector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47F5A" w14:paraId="24F3DF39" w14:textId="77777777">
        <w:trPr>
          <w:tblHeader/>
        </w:trPr>
        <w:tc>
          <w:tcPr>
            <w:tcW w:w="3120" w:type="dxa"/>
            <w:shd w:val="clear" w:color="auto" w:fill="D9E2F3"/>
            <w:tcMar>
              <w:top w:w="80" w:type="dxa"/>
              <w:left w:w="100" w:type="dxa"/>
              <w:bottom w:w="80" w:type="dxa"/>
              <w:right w:w="100" w:type="dxa"/>
            </w:tcMar>
            <w:vAlign w:val="center"/>
          </w:tcPr>
          <w:p w14:paraId="73FBE485" w14:textId="77777777" w:rsidR="00847F5A" w:rsidRDefault="00000000">
            <w:r>
              <w:rPr>
                <w:b/>
                <w:bCs/>
                <w:sz w:val="20"/>
                <w:szCs w:val="20"/>
              </w:rPr>
              <w:t>Climate TRACE subsector</w:t>
            </w:r>
          </w:p>
        </w:tc>
        <w:tc>
          <w:tcPr>
            <w:tcW w:w="3120" w:type="dxa"/>
            <w:shd w:val="clear" w:color="auto" w:fill="D9E2F3"/>
            <w:tcMar>
              <w:top w:w="80" w:type="dxa"/>
              <w:left w:w="100" w:type="dxa"/>
              <w:bottom w:w="80" w:type="dxa"/>
              <w:right w:w="100" w:type="dxa"/>
            </w:tcMar>
            <w:vAlign w:val="center"/>
          </w:tcPr>
          <w:p w14:paraId="217AAD3E" w14:textId="77777777" w:rsidR="00847F5A" w:rsidRDefault="00000000">
            <w:proofErr w:type="spellStart"/>
            <w:r>
              <w:rPr>
                <w:b/>
                <w:bCs/>
                <w:sz w:val="20"/>
                <w:szCs w:val="20"/>
              </w:rPr>
              <w:t>IndustryHeat</w:t>
            </w:r>
            <w:proofErr w:type="spellEnd"/>
            <w:r>
              <w:rPr>
                <w:b/>
                <w:bCs/>
                <w:sz w:val="20"/>
                <w:szCs w:val="20"/>
              </w:rPr>
              <w:t>-EU column</w:t>
            </w:r>
          </w:p>
        </w:tc>
        <w:tc>
          <w:tcPr>
            <w:tcW w:w="3120" w:type="dxa"/>
            <w:shd w:val="clear" w:color="auto" w:fill="D9E2F3"/>
            <w:tcMar>
              <w:top w:w="80" w:type="dxa"/>
              <w:left w:w="100" w:type="dxa"/>
              <w:bottom w:w="80" w:type="dxa"/>
              <w:right w:w="100" w:type="dxa"/>
            </w:tcMar>
            <w:vAlign w:val="center"/>
          </w:tcPr>
          <w:p w14:paraId="7A54DECA" w14:textId="77777777" w:rsidR="00847F5A" w:rsidRDefault="00000000">
            <w:r>
              <w:rPr>
                <w:b/>
                <w:bCs/>
                <w:sz w:val="20"/>
                <w:szCs w:val="20"/>
              </w:rPr>
              <w:t>Grouped label</w:t>
            </w:r>
          </w:p>
        </w:tc>
      </w:tr>
      <w:tr w:rsidR="00847F5A" w14:paraId="77562E45" w14:textId="77777777">
        <w:tc>
          <w:tcPr>
            <w:tcW w:w="3120" w:type="dxa"/>
            <w:tcMar>
              <w:top w:w="80" w:type="dxa"/>
              <w:left w:w="100" w:type="dxa"/>
              <w:bottom w:w="80" w:type="dxa"/>
              <w:right w:w="100" w:type="dxa"/>
            </w:tcMar>
          </w:tcPr>
          <w:p w14:paraId="3AC76081" w14:textId="77777777" w:rsidR="00847F5A" w:rsidRDefault="00000000">
            <w:pPr>
              <w:spacing w:after="60"/>
            </w:pPr>
            <w:r>
              <w:rPr>
                <w:sz w:val="20"/>
                <w:szCs w:val="20"/>
              </w:rPr>
              <w:t>iron-and-steel</w:t>
            </w:r>
          </w:p>
        </w:tc>
        <w:tc>
          <w:tcPr>
            <w:tcW w:w="3120" w:type="dxa"/>
            <w:tcMar>
              <w:top w:w="80" w:type="dxa"/>
              <w:left w:w="100" w:type="dxa"/>
              <w:bottom w:w="80" w:type="dxa"/>
              <w:right w:w="100" w:type="dxa"/>
            </w:tcMar>
          </w:tcPr>
          <w:p w14:paraId="0DCE03B1" w14:textId="77777777" w:rsidR="00847F5A" w:rsidRDefault="00000000">
            <w:pPr>
              <w:spacing w:after="60"/>
            </w:pPr>
            <w:r>
              <w:rPr>
                <w:sz w:val="20"/>
                <w:szCs w:val="20"/>
              </w:rPr>
              <w:t>Primary Steel + Secondary Steel</w:t>
            </w:r>
          </w:p>
        </w:tc>
        <w:tc>
          <w:tcPr>
            <w:tcW w:w="3120" w:type="dxa"/>
            <w:tcMar>
              <w:top w:w="80" w:type="dxa"/>
              <w:left w:w="100" w:type="dxa"/>
              <w:bottom w:w="80" w:type="dxa"/>
              <w:right w:w="100" w:type="dxa"/>
            </w:tcMar>
          </w:tcPr>
          <w:p w14:paraId="33705413" w14:textId="77777777" w:rsidR="00847F5A" w:rsidRDefault="00000000">
            <w:pPr>
              <w:spacing w:after="60"/>
            </w:pPr>
            <w:r>
              <w:rPr>
                <w:sz w:val="20"/>
                <w:szCs w:val="20"/>
              </w:rPr>
              <w:t>Steel</w:t>
            </w:r>
          </w:p>
        </w:tc>
      </w:tr>
      <w:tr w:rsidR="00847F5A" w14:paraId="45C4CB02" w14:textId="77777777">
        <w:tc>
          <w:tcPr>
            <w:tcW w:w="3120" w:type="dxa"/>
            <w:tcMar>
              <w:top w:w="80" w:type="dxa"/>
              <w:left w:w="100" w:type="dxa"/>
              <w:bottom w:w="80" w:type="dxa"/>
              <w:right w:w="100" w:type="dxa"/>
            </w:tcMar>
          </w:tcPr>
          <w:p w14:paraId="403A174F"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0F9D107D"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178E3646" w14:textId="77777777" w:rsidR="00847F5A" w:rsidRDefault="00000000">
            <w:pPr>
              <w:spacing w:after="60"/>
            </w:pPr>
            <w:r>
              <w:rPr>
                <w:sz w:val="20"/>
                <w:szCs w:val="20"/>
              </w:rPr>
              <w:t>Chemicals</w:t>
            </w:r>
          </w:p>
        </w:tc>
      </w:tr>
      <w:tr w:rsidR="00847F5A" w14:paraId="7D94D2EA" w14:textId="77777777">
        <w:tc>
          <w:tcPr>
            <w:tcW w:w="3120" w:type="dxa"/>
            <w:tcMar>
              <w:top w:w="80" w:type="dxa"/>
              <w:left w:w="100" w:type="dxa"/>
              <w:bottom w:w="80" w:type="dxa"/>
              <w:right w:w="100" w:type="dxa"/>
            </w:tcMar>
          </w:tcPr>
          <w:p w14:paraId="29ACF2AE" w14:textId="77777777" w:rsidR="00847F5A" w:rsidRDefault="00000000">
            <w:pPr>
              <w:spacing w:after="60"/>
            </w:pPr>
            <w:r>
              <w:rPr>
                <w:sz w:val="20"/>
                <w:szCs w:val="20"/>
              </w:rPr>
              <w:t>petrochemical-steam-cracking</w:t>
            </w:r>
          </w:p>
        </w:tc>
        <w:tc>
          <w:tcPr>
            <w:tcW w:w="3120" w:type="dxa"/>
            <w:tcMar>
              <w:top w:w="80" w:type="dxa"/>
              <w:left w:w="100" w:type="dxa"/>
              <w:bottom w:w="80" w:type="dxa"/>
              <w:right w:w="100" w:type="dxa"/>
            </w:tcMar>
          </w:tcPr>
          <w:p w14:paraId="6AE6C6B7"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32623B97" w14:textId="77777777" w:rsidR="00847F5A" w:rsidRDefault="00000000">
            <w:pPr>
              <w:spacing w:after="60"/>
            </w:pPr>
            <w:r>
              <w:rPr>
                <w:sz w:val="20"/>
                <w:szCs w:val="20"/>
              </w:rPr>
              <w:t>Chemicals</w:t>
            </w:r>
          </w:p>
        </w:tc>
      </w:tr>
      <w:tr w:rsidR="00847F5A" w14:paraId="712DF6D7" w14:textId="77777777">
        <w:tc>
          <w:tcPr>
            <w:tcW w:w="3120" w:type="dxa"/>
            <w:tcMar>
              <w:top w:w="80" w:type="dxa"/>
              <w:left w:w="100" w:type="dxa"/>
              <w:bottom w:w="80" w:type="dxa"/>
              <w:right w:w="100" w:type="dxa"/>
            </w:tcMar>
          </w:tcPr>
          <w:p w14:paraId="516C4AA6" w14:textId="77777777" w:rsidR="00847F5A" w:rsidRDefault="00000000">
            <w:pPr>
              <w:spacing w:after="60"/>
            </w:pPr>
            <w:r>
              <w:rPr>
                <w:sz w:val="20"/>
                <w:szCs w:val="20"/>
              </w:rPr>
              <w:t>cement</w:t>
            </w:r>
          </w:p>
        </w:tc>
        <w:tc>
          <w:tcPr>
            <w:tcW w:w="3120" w:type="dxa"/>
            <w:tcMar>
              <w:top w:w="80" w:type="dxa"/>
              <w:left w:w="100" w:type="dxa"/>
              <w:bottom w:w="80" w:type="dxa"/>
              <w:right w:w="100" w:type="dxa"/>
            </w:tcMar>
          </w:tcPr>
          <w:p w14:paraId="4278B4DF" w14:textId="77777777" w:rsidR="00847F5A" w:rsidRDefault="00000000">
            <w:pPr>
              <w:spacing w:after="60"/>
            </w:pPr>
            <w:r>
              <w:rPr>
                <w:sz w:val="20"/>
                <w:szCs w:val="20"/>
              </w:rPr>
              <w:t>Cement</w:t>
            </w:r>
          </w:p>
        </w:tc>
        <w:tc>
          <w:tcPr>
            <w:tcW w:w="3120" w:type="dxa"/>
            <w:tcMar>
              <w:top w:w="80" w:type="dxa"/>
              <w:left w:w="100" w:type="dxa"/>
              <w:bottom w:w="80" w:type="dxa"/>
              <w:right w:w="100" w:type="dxa"/>
            </w:tcMar>
          </w:tcPr>
          <w:p w14:paraId="2BBF9E70" w14:textId="77777777" w:rsidR="00847F5A" w:rsidRDefault="00000000">
            <w:pPr>
              <w:spacing w:after="60"/>
            </w:pPr>
            <w:r>
              <w:rPr>
                <w:sz w:val="20"/>
                <w:szCs w:val="20"/>
              </w:rPr>
              <w:t>Cement (+lime)</w:t>
            </w:r>
          </w:p>
        </w:tc>
      </w:tr>
      <w:tr w:rsidR="00847F5A" w14:paraId="6C710AD4" w14:textId="77777777">
        <w:tc>
          <w:tcPr>
            <w:tcW w:w="3120" w:type="dxa"/>
            <w:tcMar>
              <w:top w:w="80" w:type="dxa"/>
              <w:left w:w="100" w:type="dxa"/>
              <w:bottom w:w="80" w:type="dxa"/>
              <w:right w:w="100" w:type="dxa"/>
            </w:tcMar>
          </w:tcPr>
          <w:p w14:paraId="0B63933D" w14:textId="77777777" w:rsidR="00847F5A" w:rsidRDefault="00000000">
            <w:pPr>
              <w:spacing w:after="60"/>
            </w:pPr>
            <w:r>
              <w:rPr>
                <w:sz w:val="20"/>
                <w:szCs w:val="20"/>
              </w:rPr>
              <w:t>lime</w:t>
            </w:r>
          </w:p>
        </w:tc>
        <w:tc>
          <w:tcPr>
            <w:tcW w:w="3120" w:type="dxa"/>
            <w:tcMar>
              <w:top w:w="80" w:type="dxa"/>
              <w:left w:w="100" w:type="dxa"/>
              <w:bottom w:w="80" w:type="dxa"/>
              <w:right w:w="100" w:type="dxa"/>
            </w:tcMar>
          </w:tcPr>
          <w:p w14:paraId="06144BAD" w14:textId="77777777" w:rsidR="00847F5A" w:rsidRDefault="00000000">
            <w:pPr>
              <w:spacing w:after="60"/>
            </w:pPr>
            <w:r>
              <w:rPr>
                <w:sz w:val="20"/>
                <w:szCs w:val="20"/>
              </w:rPr>
              <w:t>Cement (no own column)</w:t>
            </w:r>
          </w:p>
        </w:tc>
        <w:tc>
          <w:tcPr>
            <w:tcW w:w="3120" w:type="dxa"/>
            <w:tcMar>
              <w:top w:w="80" w:type="dxa"/>
              <w:left w:w="100" w:type="dxa"/>
              <w:bottom w:w="80" w:type="dxa"/>
              <w:right w:w="100" w:type="dxa"/>
            </w:tcMar>
          </w:tcPr>
          <w:p w14:paraId="53A7EE62" w14:textId="77777777" w:rsidR="00847F5A" w:rsidRDefault="00000000">
            <w:pPr>
              <w:spacing w:after="60"/>
            </w:pPr>
            <w:r>
              <w:rPr>
                <w:sz w:val="20"/>
                <w:szCs w:val="20"/>
              </w:rPr>
              <w:t>Cement (+lime)</w:t>
            </w:r>
          </w:p>
        </w:tc>
      </w:tr>
      <w:tr w:rsidR="00847F5A" w14:paraId="4D7B310A" w14:textId="77777777">
        <w:tc>
          <w:tcPr>
            <w:tcW w:w="3120" w:type="dxa"/>
            <w:tcMar>
              <w:top w:w="80" w:type="dxa"/>
              <w:left w:w="100" w:type="dxa"/>
              <w:bottom w:w="80" w:type="dxa"/>
              <w:right w:w="100" w:type="dxa"/>
            </w:tcMar>
          </w:tcPr>
          <w:p w14:paraId="47B95011" w14:textId="77777777" w:rsidR="00847F5A" w:rsidRDefault="00000000">
            <w:pPr>
              <w:spacing w:after="60"/>
            </w:pPr>
            <w:r>
              <w:rPr>
                <w:sz w:val="20"/>
                <w:szCs w:val="20"/>
              </w:rPr>
              <w:t>glass</w:t>
            </w:r>
          </w:p>
        </w:tc>
        <w:tc>
          <w:tcPr>
            <w:tcW w:w="3120" w:type="dxa"/>
            <w:tcMar>
              <w:top w:w="80" w:type="dxa"/>
              <w:left w:w="100" w:type="dxa"/>
              <w:bottom w:w="80" w:type="dxa"/>
              <w:right w:w="100" w:type="dxa"/>
            </w:tcMar>
          </w:tcPr>
          <w:p w14:paraId="2B4168FB" w14:textId="77777777" w:rsidR="00847F5A" w:rsidRDefault="00000000">
            <w:pPr>
              <w:spacing w:after="60"/>
            </w:pPr>
            <w:r>
              <w:rPr>
                <w:sz w:val="20"/>
                <w:szCs w:val="20"/>
              </w:rPr>
              <w:t>Ceramics and Glass</w:t>
            </w:r>
          </w:p>
        </w:tc>
        <w:tc>
          <w:tcPr>
            <w:tcW w:w="3120" w:type="dxa"/>
            <w:tcMar>
              <w:top w:w="80" w:type="dxa"/>
              <w:left w:w="100" w:type="dxa"/>
              <w:bottom w:w="80" w:type="dxa"/>
              <w:right w:w="100" w:type="dxa"/>
            </w:tcMar>
          </w:tcPr>
          <w:p w14:paraId="07651FA2" w14:textId="77777777" w:rsidR="00847F5A" w:rsidRDefault="00000000">
            <w:pPr>
              <w:spacing w:after="60"/>
            </w:pPr>
            <w:r>
              <w:rPr>
                <w:sz w:val="20"/>
                <w:szCs w:val="20"/>
              </w:rPr>
              <w:t>Glass</w:t>
            </w:r>
          </w:p>
        </w:tc>
      </w:tr>
      <w:tr w:rsidR="00847F5A" w14:paraId="6D1433C2" w14:textId="77777777">
        <w:tc>
          <w:tcPr>
            <w:tcW w:w="3120" w:type="dxa"/>
            <w:tcMar>
              <w:top w:w="80" w:type="dxa"/>
              <w:left w:w="100" w:type="dxa"/>
              <w:bottom w:w="80" w:type="dxa"/>
              <w:right w:w="100" w:type="dxa"/>
            </w:tcMar>
          </w:tcPr>
          <w:p w14:paraId="0A152667" w14:textId="77777777" w:rsidR="00847F5A" w:rsidRDefault="00000000">
            <w:pPr>
              <w:spacing w:after="60"/>
            </w:pPr>
            <w:r>
              <w:rPr>
                <w:sz w:val="20"/>
                <w:szCs w:val="20"/>
              </w:rPr>
              <w:t>pulp-and-paper</w:t>
            </w:r>
          </w:p>
        </w:tc>
        <w:tc>
          <w:tcPr>
            <w:tcW w:w="3120" w:type="dxa"/>
            <w:tcMar>
              <w:top w:w="80" w:type="dxa"/>
              <w:left w:w="100" w:type="dxa"/>
              <w:bottom w:w="80" w:type="dxa"/>
              <w:right w:w="100" w:type="dxa"/>
            </w:tcMar>
          </w:tcPr>
          <w:p w14:paraId="686EE1C2" w14:textId="77777777" w:rsidR="00847F5A" w:rsidRDefault="00000000">
            <w:pPr>
              <w:spacing w:after="60"/>
            </w:pPr>
            <w:r>
              <w:rPr>
                <w:sz w:val="20"/>
                <w:szCs w:val="20"/>
              </w:rPr>
              <w:t xml:space="preserve">Pulp and </w:t>
            </w:r>
            <w:proofErr w:type="gramStart"/>
            <w:r>
              <w:rPr>
                <w:sz w:val="20"/>
                <w:szCs w:val="20"/>
              </w:rPr>
              <w:t>Paper</w:t>
            </w:r>
            <w:proofErr w:type="gramEnd"/>
          </w:p>
        </w:tc>
        <w:tc>
          <w:tcPr>
            <w:tcW w:w="3120" w:type="dxa"/>
            <w:tcMar>
              <w:top w:w="80" w:type="dxa"/>
              <w:left w:w="100" w:type="dxa"/>
              <w:bottom w:w="80" w:type="dxa"/>
              <w:right w:w="100" w:type="dxa"/>
            </w:tcMar>
          </w:tcPr>
          <w:p w14:paraId="00D7ACFE" w14:textId="77777777" w:rsidR="00847F5A" w:rsidRDefault="00000000">
            <w:pPr>
              <w:spacing w:after="60"/>
            </w:pPr>
            <w:r>
              <w:rPr>
                <w:sz w:val="20"/>
                <w:szCs w:val="20"/>
              </w:rPr>
              <w:t>Pulp &amp; Paper</w:t>
            </w:r>
          </w:p>
        </w:tc>
      </w:tr>
      <w:tr w:rsidR="00847F5A" w14:paraId="5D57B292" w14:textId="77777777">
        <w:tc>
          <w:tcPr>
            <w:tcW w:w="3120" w:type="dxa"/>
            <w:tcMar>
              <w:top w:w="80" w:type="dxa"/>
              <w:left w:w="100" w:type="dxa"/>
              <w:bottom w:w="80" w:type="dxa"/>
              <w:right w:w="100" w:type="dxa"/>
            </w:tcMar>
          </w:tcPr>
          <w:p w14:paraId="3B128F1E" w14:textId="77777777" w:rsidR="00847F5A" w:rsidRDefault="00000000">
            <w:pPr>
              <w:spacing w:after="60"/>
            </w:pPr>
            <w:r>
              <w:rPr>
                <w:sz w:val="20"/>
                <w:szCs w:val="20"/>
              </w:rPr>
              <w:t>food-beverage-tobacco</w:t>
            </w:r>
          </w:p>
        </w:tc>
        <w:tc>
          <w:tcPr>
            <w:tcW w:w="3120" w:type="dxa"/>
            <w:tcMar>
              <w:top w:w="80" w:type="dxa"/>
              <w:left w:w="100" w:type="dxa"/>
              <w:bottom w:w="80" w:type="dxa"/>
              <w:right w:w="100" w:type="dxa"/>
            </w:tcMar>
          </w:tcPr>
          <w:p w14:paraId="520937A8" w14:textId="77777777" w:rsidR="00847F5A" w:rsidRDefault="00000000">
            <w:pPr>
              <w:spacing w:after="60"/>
            </w:pPr>
            <w:r>
              <w:rPr>
                <w:sz w:val="20"/>
                <w:szCs w:val="20"/>
              </w:rPr>
              <w:t>Food, Beverages and Tobacco</w:t>
            </w:r>
          </w:p>
        </w:tc>
        <w:tc>
          <w:tcPr>
            <w:tcW w:w="3120" w:type="dxa"/>
            <w:tcMar>
              <w:top w:w="80" w:type="dxa"/>
              <w:left w:w="100" w:type="dxa"/>
              <w:bottom w:w="80" w:type="dxa"/>
              <w:right w:w="100" w:type="dxa"/>
            </w:tcMar>
          </w:tcPr>
          <w:p w14:paraId="46A905FE" w14:textId="77777777" w:rsidR="00847F5A" w:rsidRDefault="00000000">
            <w:pPr>
              <w:spacing w:after="60"/>
            </w:pPr>
            <w:r>
              <w:rPr>
                <w:sz w:val="20"/>
                <w:szCs w:val="20"/>
              </w:rPr>
              <w:t>Food, Bev. &amp; Tobacco</w:t>
            </w:r>
          </w:p>
        </w:tc>
      </w:tr>
      <w:tr w:rsidR="00847F5A" w14:paraId="57BCD44F" w14:textId="77777777">
        <w:tc>
          <w:tcPr>
            <w:tcW w:w="3120" w:type="dxa"/>
            <w:tcMar>
              <w:top w:w="80" w:type="dxa"/>
              <w:left w:w="100" w:type="dxa"/>
              <w:bottom w:w="80" w:type="dxa"/>
              <w:right w:w="100" w:type="dxa"/>
            </w:tcMar>
          </w:tcPr>
          <w:p w14:paraId="086A67F4" w14:textId="77777777" w:rsidR="00847F5A" w:rsidRDefault="00000000">
            <w:pPr>
              <w:spacing w:after="60"/>
            </w:pPr>
            <w:r>
              <w:rPr>
                <w:sz w:val="20"/>
                <w:szCs w:val="20"/>
              </w:rPr>
              <w:t>textiles-leather-apparel</w:t>
            </w:r>
          </w:p>
        </w:tc>
        <w:tc>
          <w:tcPr>
            <w:tcW w:w="3120" w:type="dxa"/>
            <w:tcMar>
              <w:top w:w="80" w:type="dxa"/>
              <w:left w:w="100" w:type="dxa"/>
              <w:bottom w:w="80" w:type="dxa"/>
              <w:right w:w="100" w:type="dxa"/>
            </w:tcMar>
          </w:tcPr>
          <w:p w14:paraId="7522B81B" w14:textId="77777777" w:rsidR="00847F5A" w:rsidRDefault="00000000">
            <w:pPr>
              <w:spacing w:after="60"/>
            </w:pPr>
            <w:r>
              <w:rPr>
                <w:sz w:val="20"/>
                <w:szCs w:val="20"/>
              </w:rPr>
              <w:t>Textiles and Leather</w:t>
            </w:r>
          </w:p>
        </w:tc>
        <w:tc>
          <w:tcPr>
            <w:tcW w:w="3120" w:type="dxa"/>
            <w:tcMar>
              <w:top w:w="80" w:type="dxa"/>
              <w:left w:w="100" w:type="dxa"/>
              <w:bottom w:w="80" w:type="dxa"/>
              <w:right w:w="100" w:type="dxa"/>
            </w:tcMar>
          </w:tcPr>
          <w:p w14:paraId="4FFDD40D" w14:textId="77777777" w:rsidR="00847F5A" w:rsidRDefault="00000000">
            <w:pPr>
              <w:spacing w:after="60"/>
            </w:pPr>
            <w:r>
              <w:rPr>
                <w:sz w:val="20"/>
                <w:szCs w:val="20"/>
              </w:rPr>
              <w:t>Textiles &amp; Leather</w:t>
            </w:r>
          </w:p>
        </w:tc>
      </w:tr>
      <w:tr w:rsidR="00847F5A" w14:paraId="5ECEABB6" w14:textId="77777777">
        <w:tc>
          <w:tcPr>
            <w:tcW w:w="3120" w:type="dxa"/>
            <w:tcMar>
              <w:top w:w="80" w:type="dxa"/>
              <w:left w:w="100" w:type="dxa"/>
              <w:bottom w:w="80" w:type="dxa"/>
              <w:right w:w="100" w:type="dxa"/>
            </w:tcMar>
          </w:tcPr>
          <w:p w14:paraId="0229AF86" w14:textId="77777777" w:rsidR="00847F5A" w:rsidRDefault="00000000">
            <w:pPr>
              <w:spacing w:after="60"/>
            </w:pPr>
            <w:r>
              <w:rPr>
                <w:sz w:val="20"/>
                <w:szCs w:val="20"/>
              </w:rPr>
              <w:t>aluminum</w:t>
            </w:r>
          </w:p>
        </w:tc>
        <w:tc>
          <w:tcPr>
            <w:tcW w:w="3120" w:type="dxa"/>
            <w:tcMar>
              <w:top w:w="80" w:type="dxa"/>
              <w:left w:w="100" w:type="dxa"/>
              <w:bottom w:w="80" w:type="dxa"/>
              <w:right w:w="100" w:type="dxa"/>
            </w:tcMar>
          </w:tcPr>
          <w:p w14:paraId="143F4C79" w14:textId="77777777" w:rsidR="00847F5A" w:rsidRDefault="00000000">
            <w:pPr>
              <w:spacing w:after="60"/>
            </w:pPr>
            <w:r>
              <w:rPr>
                <w:sz w:val="20"/>
                <w:szCs w:val="20"/>
              </w:rPr>
              <w:t>Non-ferrous Metals</w:t>
            </w:r>
          </w:p>
        </w:tc>
        <w:tc>
          <w:tcPr>
            <w:tcW w:w="3120" w:type="dxa"/>
            <w:tcMar>
              <w:top w:w="80" w:type="dxa"/>
              <w:left w:w="100" w:type="dxa"/>
              <w:bottom w:w="80" w:type="dxa"/>
              <w:right w:w="100" w:type="dxa"/>
            </w:tcMar>
          </w:tcPr>
          <w:p w14:paraId="5B65788D" w14:textId="77777777" w:rsidR="00847F5A" w:rsidRDefault="00000000">
            <w:pPr>
              <w:spacing w:after="60"/>
            </w:pPr>
            <w:r>
              <w:rPr>
                <w:sz w:val="20"/>
                <w:szCs w:val="20"/>
              </w:rPr>
              <w:t>Non-ferrous Metals</w:t>
            </w:r>
          </w:p>
        </w:tc>
      </w:tr>
      <w:tr w:rsidR="00847F5A" w14:paraId="12DA972A" w14:textId="77777777">
        <w:tc>
          <w:tcPr>
            <w:tcW w:w="3120" w:type="dxa"/>
            <w:tcMar>
              <w:top w:w="80" w:type="dxa"/>
              <w:left w:w="100" w:type="dxa"/>
              <w:bottom w:w="80" w:type="dxa"/>
              <w:right w:w="100" w:type="dxa"/>
            </w:tcMar>
          </w:tcPr>
          <w:p w14:paraId="399E53F0" w14:textId="77777777" w:rsidR="00847F5A" w:rsidRDefault="00000000">
            <w:pPr>
              <w:spacing w:after="60"/>
            </w:pPr>
            <w:proofErr w:type="gramStart"/>
            <w:r>
              <w:rPr>
                <w:sz w:val="20"/>
                <w:szCs w:val="20"/>
              </w:rPr>
              <w:t>other-metals</w:t>
            </w:r>
            <w:proofErr w:type="gramEnd"/>
          </w:p>
        </w:tc>
        <w:tc>
          <w:tcPr>
            <w:tcW w:w="3120" w:type="dxa"/>
            <w:tcMar>
              <w:top w:w="80" w:type="dxa"/>
              <w:left w:w="100" w:type="dxa"/>
              <w:bottom w:w="80" w:type="dxa"/>
              <w:right w:w="100" w:type="dxa"/>
            </w:tcMar>
          </w:tcPr>
          <w:p w14:paraId="0A06EA78" w14:textId="77777777" w:rsidR="00847F5A" w:rsidRDefault="00000000">
            <w:pPr>
              <w:spacing w:after="60"/>
            </w:pPr>
            <w:r>
              <w:rPr>
                <w:sz w:val="20"/>
                <w:szCs w:val="20"/>
              </w:rPr>
              <w:t>Non-ferrous Metals</w:t>
            </w:r>
          </w:p>
        </w:tc>
        <w:tc>
          <w:tcPr>
            <w:tcW w:w="3120" w:type="dxa"/>
            <w:tcMar>
              <w:top w:w="80" w:type="dxa"/>
              <w:left w:w="100" w:type="dxa"/>
              <w:bottom w:w="80" w:type="dxa"/>
              <w:right w:w="100" w:type="dxa"/>
            </w:tcMar>
          </w:tcPr>
          <w:p w14:paraId="465DAD9F" w14:textId="77777777" w:rsidR="00847F5A" w:rsidRDefault="00000000">
            <w:pPr>
              <w:spacing w:after="60"/>
            </w:pPr>
            <w:r>
              <w:rPr>
                <w:sz w:val="20"/>
                <w:szCs w:val="20"/>
              </w:rPr>
              <w:t>Non-ferrous Metals</w:t>
            </w:r>
          </w:p>
        </w:tc>
      </w:tr>
    </w:tbl>
    <w:p w14:paraId="66E5D709" w14:textId="77777777" w:rsidR="00847F5A" w:rsidRDefault="00000000">
      <w:pPr>
        <w:pStyle w:val="Heading2"/>
      </w:pPr>
      <w:r>
        <w:t>Pipeline overview</w:t>
      </w:r>
    </w:p>
    <w:p w14:paraId="1A7757A1" w14:textId="77777777" w:rsidR="00847F5A" w:rsidRDefault="00000000">
      <w:pPr>
        <w:spacing w:after="200" w:line="480" w:lineRule="auto"/>
        <w:jc w:val="both"/>
      </w:pPr>
      <w:r>
        <w:t>Upstream stages (heat demand, solar radiation, land availability) each run independently and write facility-level files; a combine step merges them by facility ID into a single site-assessment file, which the multi-band optimization reads together with country technology costs and hourly solar profiles to produce per-facility LCOH, reliability, and sizing outputs.</w:t>
      </w:r>
    </w:p>
    <w:p w14:paraId="6F69696B" w14:textId="77777777" w:rsidR="00847F5A" w:rsidRDefault="00000000">
      <w:r>
        <w:rPr>
          <w:rFonts w:ascii="Courier New" w:eastAsia="Courier New" w:hAnsi="Courier New" w:cs="Courier New"/>
          <w:sz w:val="18"/>
          <w:szCs w:val="18"/>
        </w:rPr>
        <w:t>UPSTREAM STAGES (run independently, each writes files)</w:t>
      </w:r>
    </w:p>
    <w:p w14:paraId="39FE14F9" w14:textId="77777777" w:rsidR="00847F5A" w:rsidRDefault="00000000">
      <w:r>
        <w:rPr>
          <w:rFonts w:ascii="Courier New" w:eastAsia="Courier New" w:hAnsi="Courier New" w:cs="Courier New"/>
          <w:sz w:val="18"/>
          <w:szCs w:val="18"/>
        </w:rPr>
        <w:t xml:space="preserve"> </w:t>
      </w:r>
    </w:p>
    <w:p w14:paraId="63776BE6"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heat_demand</w:t>
      </w:r>
      <w:proofErr w:type="spellEnd"/>
      <w:r>
        <w:rPr>
          <w:rFonts w:ascii="Courier New" w:eastAsia="Courier New" w:hAnsi="Courier New" w:cs="Courier New"/>
          <w:sz w:val="18"/>
          <w:szCs w:val="18"/>
        </w:rPr>
        <w:t>/...                    -&gt; facilities_2024_eu_replaceable.csv</w:t>
      </w:r>
    </w:p>
    <w:p w14:paraId="77732F6B"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replaceable_heat_mwh</w:t>
      </w:r>
      <w:proofErr w:type="spellEnd"/>
      <w:r>
        <w:rPr>
          <w:rFonts w:ascii="Courier New" w:eastAsia="Courier New" w:hAnsi="Courier New" w:cs="Courier New"/>
          <w:sz w:val="18"/>
          <w:szCs w:val="18"/>
        </w:rPr>
        <w:t>)</w:t>
      </w:r>
    </w:p>
    <w:p w14:paraId="18EF060C" w14:textId="77777777" w:rsidR="00847F5A" w:rsidRDefault="00000000">
      <w:r>
        <w:rPr>
          <w:rFonts w:ascii="Courier New" w:eastAsia="Courier New" w:hAnsi="Courier New" w:cs="Courier New"/>
          <w:sz w:val="18"/>
          <w:szCs w:val="18"/>
        </w:rPr>
        <w:t xml:space="preserve">  solar_radiation/pull_pvgis.py      -&gt; </w:t>
      </w:r>
      <w:proofErr w:type="spellStart"/>
      <w:r>
        <w:rPr>
          <w:rFonts w:ascii="Courier New" w:eastAsia="Courier New" w:hAnsi="Courier New" w:cs="Courier New"/>
          <w:sz w:val="18"/>
          <w:szCs w:val="18"/>
        </w:rPr>
        <w:t>hourly_profiles</w:t>
      </w:r>
      <w:proofErr w:type="spellEnd"/>
      <w:r>
        <w:rPr>
          <w:rFonts w:ascii="Courier New" w:eastAsia="Courier New" w:hAnsi="Courier New" w:cs="Courier New"/>
          <w:sz w:val="18"/>
          <w:szCs w:val="18"/>
        </w:rPr>
        <w:t>/*.parquet</w:t>
      </w:r>
    </w:p>
    <w:p w14:paraId="24C7BCAC" w14:textId="77777777" w:rsidR="00847F5A" w:rsidRDefault="00000000">
      <w:r>
        <w:rPr>
          <w:rFonts w:ascii="Courier New" w:eastAsia="Courier New" w:hAnsi="Courier New" w:cs="Courier New"/>
          <w:sz w:val="18"/>
          <w:szCs w:val="18"/>
        </w:rPr>
        <w:t xml:space="preserve">                                         + solar summary</w:t>
      </w:r>
    </w:p>
    <w:p w14:paraId="1D9DE2CF"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land_availability</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GEE+</w:t>
      </w:r>
      <w:proofErr w:type="gramStart"/>
      <w:r>
        <w:rPr>
          <w:rFonts w:ascii="Courier New" w:eastAsia="Courier New" w:hAnsi="Courier New" w:cs="Courier New"/>
          <w:sz w:val="18"/>
          <w:szCs w:val="18"/>
        </w:rPr>
        <w:t>merge</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&gt; land_availability_by_facility.csv</w:t>
      </w:r>
    </w:p>
    <w:p w14:paraId="4D12EE40" w14:textId="77777777" w:rsidR="00847F5A" w:rsidRDefault="00000000">
      <w:r>
        <w:rPr>
          <w:rFonts w:ascii="Courier New" w:eastAsia="Courier New" w:hAnsi="Courier New" w:cs="Courier New"/>
          <w:sz w:val="18"/>
          <w:szCs w:val="18"/>
        </w:rPr>
        <w:t xml:space="preserve"> </w:t>
      </w:r>
    </w:p>
    <w:p w14:paraId="6A4AD8ED" w14:textId="77777777" w:rsidR="00847F5A" w:rsidRDefault="00000000">
      <w:r>
        <w:rPr>
          <w:rFonts w:ascii="Courier New" w:eastAsia="Courier New" w:hAnsi="Courier New" w:cs="Courier New"/>
          <w:sz w:val="18"/>
          <w:szCs w:val="18"/>
        </w:rPr>
        <w:t xml:space="preserve">        |</w:t>
      </w:r>
    </w:p>
    <w:p w14:paraId="5470E778" w14:textId="77777777" w:rsidR="00847F5A" w:rsidRDefault="00000000">
      <w:r>
        <w:rPr>
          <w:rFonts w:ascii="Courier New" w:eastAsia="Courier New" w:hAnsi="Courier New" w:cs="Courier New"/>
          <w:sz w:val="18"/>
          <w:szCs w:val="18"/>
        </w:rPr>
        <w:t xml:space="preserve">        v</w:t>
      </w:r>
    </w:p>
    <w:p w14:paraId="0A6CCB9A" w14:textId="77777777" w:rsidR="00847F5A" w:rsidRDefault="00000000">
      <w:r>
        <w:rPr>
          <w:rFonts w:ascii="Courier New" w:eastAsia="Courier New" w:hAnsi="Courier New" w:cs="Courier New"/>
          <w:sz w:val="18"/>
          <w:szCs w:val="18"/>
        </w:rPr>
        <w:t xml:space="preserve"> </w:t>
      </w:r>
    </w:p>
    <w:p w14:paraId="0ACB80BB" w14:textId="77777777" w:rsidR="00847F5A" w:rsidRDefault="00000000">
      <w:r>
        <w:rPr>
          <w:rFonts w:ascii="Courier New" w:eastAsia="Courier New" w:hAnsi="Courier New" w:cs="Courier New"/>
          <w:sz w:val="18"/>
          <w:szCs w:val="18"/>
        </w:rPr>
        <w:t>COMBINE -- flatblock_optimization/inputs/build_sites_input.py</w:t>
      </w:r>
    </w:p>
    <w:p w14:paraId="3C1638BC" w14:textId="77777777" w:rsidR="00847F5A" w:rsidRDefault="00000000">
      <w:r>
        <w:rPr>
          <w:rFonts w:ascii="Courier New" w:eastAsia="Courier New" w:hAnsi="Courier New" w:cs="Courier New"/>
          <w:sz w:val="18"/>
          <w:szCs w:val="18"/>
        </w:rPr>
        <w:t xml:space="preserve">  merges the three above (by </w:t>
      </w:r>
      <w:proofErr w:type="spellStart"/>
      <w:r>
        <w:rPr>
          <w:rFonts w:ascii="Courier New" w:eastAsia="Courier New" w:hAnsi="Courier New" w:cs="Courier New"/>
          <w:sz w:val="18"/>
          <w:szCs w:val="18"/>
        </w:rPr>
        <w:t>source_id</w:t>
      </w:r>
      <w:proofErr w:type="spellEnd"/>
      <w:r>
        <w:rPr>
          <w:rFonts w:ascii="Courier New" w:eastAsia="Courier New" w:hAnsi="Courier New" w:cs="Courier New"/>
          <w:sz w:val="18"/>
          <w:szCs w:val="18"/>
        </w:rPr>
        <w:t>) into:</w:t>
      </w:r>
    </w:p>
    <w:p w14:paraId="3B8B63FB" w14:textId="77777777" w:rsidR="00847F5A" w:rsidRDefault="00000000">
      <w:r>
        <w:rPr>
          <w:rFonts w:ascii="Courier New" w:eastAsia="Courier New" w:hAnsi="Courier New" w:cs="Courier New"/>
          <w:sz w:val="18"/>
          <w:szCs w:val="18"/>
        </w:rPr>
        <w:lastRenderedPageBreak/>
        <w:t xml:space="preserve">  -&gt; outputs/eu_ihb_site_assessment_2024.csv</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the single "everything" file)</w:t>
      </w:r>
    </w:p>
    <w:p w14:paraId="6D876C4C" w14:textId="77777777" w:rsidR="00847F5A" w:rsidRDefault="00000000">
      <w:r>
        <w:rPr>
          <w:rFonts w:ascii="Courier New" w:eastAsia="Courier New" w:hAnsi="Courier New" w:cs="Courier New"/>
          <w:sz w:val="18"/>
          <w:szCs w:val="18"/>
        </w:rPr>
        <w:t xml:space="preserve"> </w:t>
      </w:r>
    </w:p>
    <w:p w14:paraId="7F5290D3" w14:textId="77777777" w:rsidR="00847F5A" w:rsidRDefault="00000000">
      <w:r>
        <w:rPr>
          <w:rFonts w:ascii="Courier New" w:eastAsia="Courier New" w:hAnsi="Courier New" w:cs="Courier New"/>
          <w:sz w:val="18"/>
          <w:szCs w:val="18"/>
        </w:rPr>
        <w:t xml:space="preserve">        |</w:t>
      </w:r>
    </w:p>
    <w:p w14:paraId="1D8ADA2D" w14:textId="77777777" w:rsidR="00847F5A" w:rsidRDefault="00000000">
      <w:r>
        <w:rPr>
          <w:rFonts w:ascii="Courier New" w:eastAsia="Courier New" w:hAnsi="Courier New" w:cs="Courier New"/>
          <w:sz w:val="18"/>
          <w:szCs w:val="18"/>
        </w:rPr>
        <w:t xml:space="preserve">        v</w:t>
      </w:r>
    </w:p>
    <w:p w14:paraId="72E0BCFF" w14:textId="77777777" w:rsidR="00847F5A" w:rsidRDefault="00000000">
      <w:r>
        <w:rPr>
          <w:rFonts w:ascii="Courier New" w:eastAsia="Courier New" w:hAnsi="Courier New" w:cs="Courier New"/>
          <w:sz w:val="18"/>
          <w:szCs w:val="18"/>
        </w:rPr>
        <w:t xml:space="preserve"> </w:t>
      </w:r>
    </w:p>
    <w:p w14:paraId="32BF7BDF" w14:textId="77777777" w:rsidR="00847F5A" w:rsidRDefault="00000000">
      <w:r>
        <w:rPr>
          <w:rFonts w:ascii="Courier New" w:eastAsia="Courier New" w:hAnsi="Courier New" w:cs="Courier New"/>
          <w:sz w:val="18"/>
          <w:szCs w:val="18"/>
        </w:rPr>
        <w:t>OPTIMIZE -- run_multiband_potential.py</w:t>
      </w:r>
    </w:p>
    <w:p w14:paraId="76FFEFCD" w14:textId="77777777" w:rsidR="00847F5A" w:rsidRDefault="00000000">
      <w:r>
        <w:rPr>
          <w:rFonts w:ascii="Courier New" w:eastAsia="Courier New" w:hAnsi="Courier New" w:cs="Courier New"/>
          <w:sz w:val="18"/>
          <w:szCs w:val="18"/>
        </w:rPr>
        <w:t xml:space="preserve">  (multi-band HP + IHB; also run_ihb_potential.py for single-load TES)</w:t>
      </w:r>
    </w:p>
    <w:p w14:paraId="539F8ADA" w14:textId="77777777" w:rsidR="00847F5A" w:rsidRDefault="00000000">
      <w:r>
        <w:rPr>
          <w:rFonts w:ascii="Courier New" w:eastAsia="Courier New" w:hAnsi="Courier New" w:cs="Courier New"/>
          <w:sz w:val="18"/>
          <w:szCs w:val="18"/>
        </w:rPr>
        <w:t xml:space="preserve">  reads </w:t>
      </w:r>
      <w:proofErr w:type="spellStart"/>
      <w:r>
        <w:rPr>
          <w:rFonts w:ascii="Courier New" w:eastAsia="Courier New" w:hAnsi="Courier New" w:cs="Courier New"/>
          <w:sz w:val="18"/>
          <w:szCs w:val="18"/>
        </w:rPr>
        <w:t>sites_csv</w:t>
      </w:r>
      <w:proofErr w:type="spellEnd"/>
      <w:r>
        <w:rPr>
          <w:rFonts w:ascii="Courier New" w:eastAsia="Courier New" w:hAnsi="Courier New" w:cs="Courier New"/>
          <w:sz w:val="18"/>
          <w:szCs w:val="18"/>
        </w:rPr>
        <w:t xml:space="preserve"> = outputs/eu_ihb_site_assessment_2024.csv</w:t>
      </w:r>
    </w:p>
    <w:p w14:paraId="2A9E9EF2" w14:textId="77777777" w:rsidR="00847F5A" w:rsidRDefault="00000000">
      <w:r>
        <w:rPr>
          <w:rFonts w:ascii="Courier New" w:eastAsia="Courier New" w:hAnsi="Courier New" w:cs="Courier New"/>
          <w:sz w:val="18"/>
          <w:szCs w:val="18"/>
        </w:rPr>
        <w:t xml:space="preserve">       + Input/bnef_country_costs.csv (country tech costs)</w:t>
      </w:r>
    </w:p>
    <w:p w14:paraId="224463E9" w14:textId="77777777" w:rsidR="00847F5A"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flatblock_optimization</w:t>
      </w:r>
      <w:proofErr w:type="spellEnd"/>
      <w:r>
        <w:rPr>
          <w:rFonts w:ascii="Courier New" w:eastAsia="Courier New" w:hAnsi="Courier New" w:cs="Courier New"/>
          <w:sz w:val="18"/>
          <w:szCs w:val="18"/>
        </w:rPr>
        <w:t>/inputs/input_heat_battery_cost.csv</w:t>
      </w:r>
    </w:p>
    <w:p w14:paraId="34B9ABC0" w14:textId="77777777" w:rsidR="00847F5A"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solar_radiation</w:t>
      </w:r>
      <w:proofErr w:type="spellEnd"/>
      <w:r>
        <w:rPr>
          <w:rFonts w:ascii="Courier New" w:eastAsia="Courier New" w:hAnsi="Courier New" w:cs="Courier New"/>
          <w:sz w:val="18"/>
          <w:szCs w:val="18"/>
        </w:rPr>
        <w:t>/outputs/</w:t>
      </w:r>
      <w:proofErr w:type="spellStart"/>
      <w:r>
        <w:rPr>
          <w:rFonts w:ascii="Courier New" w:eastAsia="Courier New" w:hAnsi="Courier New" w:cs="Courier New"/>
          <w:sz w:val="18"/>
          <w:szCs w:val="18"/>
        </w:rPr>
        <w:t>hourly_profiles</w:t>
      </w:r>
      <w:proofErr w:type="spellEnd"/>
      <w:r>
        <w:rPr>
          <w:rFonts w:ascii="Courier New" w:eastAsia="Courier New" w:hAnsi="Courier New" w:cs="Courier New"/>
          <w:sz w:val="18"/>
          <w:szCs w:val="18"/>
        </w:rPr>
        <w:t>/*.parquet (read at runtime)</w:t>
      </w:r>
    </w:p>
    <w:p w14:paraId="51FEB0E0" w14:textId="77777777" w:rsidR="00847F5A" w:rsidRDefault="00000000">
      <w:r>
        <w:rPr>
          <w:rFonts w:ascii="Courier New" w:eastAsia="Courier New" w:hAnsi="Courier New" w:cs="Courier New"/>
          <w:sz w:val="18"/>
          <w:szCs w:val="18"/>
        </w:rPr>
        <w:t xml:space="preserve">  -&gt; outputs/multiband/&lt;scenario&gt;/by_facility.csv</w:t>
      </w:r>
    </w:p>
    <w:p w14:paraId="32D47032" w14:textId="77777777" w:rsidR="00847F5A" w:rsidRDefault="00000000">
      <w:r>
        <w:rPr>
          <w:rFonts w:ascii="Courier New" w:eastAsia="Courier New" w:hAnsi="Courier New" w:cs="Courier New"/>
          <w:sz w:val="18"/>
          <w:szCs w:val="18"/>
        </w:rPr>
        <w:t xml:space="preserve">     (LCOH, reliability, sizing; --heat-case </w:t>
      </w:r>
      <w:proofErr w:type="spellStart"/>
      <w:r>
        <w:rPr>
          <w:rFonts w:ascii="Courier New" w:eastAsia="Courier New" w:hAnsi="Courier New" w:cs="Courier New"/>
          <w:sz w:val="18"/>
          <w:szCs w:val="18"/>
        </w:rPr>
        <w:t>low|base|high</w:t>
      </w:r>
      <w:proofErr w:type="spellEnd"/>
      <w:r>
        <w:rPr>
          <w:rFonts w:ascii="Courier New" w:eastAsia="Courier New" w:hAnsi="Courier New" w:cs="Courier New"/>
          <w:sz w:val="18"/>
          <w:szCs w:val="18"/>
        </w:rPr>
        <w:t>)</w:t>
      </w:r>
    </w:p>
    <w:p w14:paraId="1AE0FA72" w14:textId="77777777" w:rsidR="00847F5A" w:rsidRDefault="00847F5A">
      <w:pPr>
        <w:spacing w:after="300"/>
      </w:pPr>
    </w:p>
    <w:sectPr w:rsidR="00847F5A">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C59824" w14:textId="77777777" w:rsidR="00893EBD" w:rsidRDefault="00893EBD">
      <w:r>
        <w:separator/>
      </w:r>
    </w:p>
  </w:endnote>
  <w:endnote w:type="continuationSeparator" w:id="0">
    <w:p w14:paraId="3D5E89B4" w14:textId="77777777" w:rsidR="00893EBD" w:rsidRDefault="00893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CBCDC" w14:textId="77777777" w:rsidR="00847F5A" w:rsidRDefault="00000000">
    <w:pPr>
      <w:jc w:val="center"/>
    </w:pPr>
    <w:r>
      <w:rPr>
        <w:sz w:val="20"/>
        <w:szCs w:val="20"/>
      </w:rPr>
      <w:fldChar w:fldCharType="begin"/>
    </w:r>
    <w:r>
      <w:rPr>
        <w:sz w:val="20"/>
        <w:szCs w:val="20"/>
      </w:rPr>
      <w:instrText>PAGE</w:instrText>
    </w:r>
    <w:r>
      <w:rPr>
        <w:sz w:val="20"/>
        <w:szCs w:val="20"/>
      </w:rPr>
      <w:fldChar w:fldCharType="separate"/>
    </w:r>
    <w:r w:rsidR="004B61F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94C5F8" w14:textId="77777777" w:rsidR="00893EBD" w:rsidRDefault="00893EBD">
      <w:r>
        <w:separator/>
      </w:r>
    </w:p>
  </w:footnote>
  <w:footnote w:type="continuationSeparator" w:id="0">
    <w:p w14:paraId="154791F4" w14:textId="77777777" w:rsidR="00893EBD" w:rsidRDefault="00893EBD">
      <w:r>
        <w:continuationSeparator/>
      </w:r>
    </w:p>
  </w:footnote>
  <w:footnote w:id="1">
    <w:p w14:paraId="79A81107" w14:textId="1E89CD4C" w:rsidR="003515BB" w:rsidRDefault="003515BB">
      <w:pPr>
        <w:pStyle w:val="FootnoteText"/>
      </w:pPr>
      <w:r>
        <w:rPr>
          <w:rStyle w:val="FootnoteReference"/>
        </w:rPr>
        <w:footnoteRef/>
      </w:r>
      <w:r>
        <w:t xml:space="preserve"> sugar processing plants are assigned to a higher temperature band. As opposed to average all food processing temperatures across other plants that do not require high temperatures.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248B1"/>
    <w:multiLevelType w:val="hybridMultilevel"/>
    <w:tmpl w:val="BF6AD7F0"/>
    <w:lvl w:ilvl="0" w:tplc="BE66DCDA">
      <w:start w:val="1"/>
      <w:numFmt w:val="bullet"/>
      <w:lvlText w:val="●"/>
      <w:lvlJc w:val="left"/>
      <w:pPr>
        <w:ind w:left="720" w:hanging="360"/>
      </w:pPr>
    </w:lvl>
    <w:lvl w:ilvl="1" w:tplc="4D3ED4B2">
      <w:start w:val="1"/>
      <w:numFmt w:val="bullet"/>
      <w:lvlText w:val="○"/>
      <w:lvlJc w:val="left"/>
      <w:pPr>
        <w:ind w:left="1440" w:hanging="360"/>
      </w:pPr>
    </w:lvl>
    <w:lvl w:ilvl="2" w:tplc="4B8E0320">
      <w:start w:val="1"/>
      <w:numFmt w:val="bullet"/>
      <w:lvlText w:val="■"/>
      <w:lvlJc w:val="left"/>
      <w:pPr>
        <w:ind w:left="2160" w:hanging="360"/>
      </w:pPr>
    </w:lvl>
    <w:lvl w:ilvl="3" w:tplc="1F763286">
      <w:start w:val="1"/>
      <w:numFmt w:val="bullet"/>
      <w:lvlText w:val="●"/>
      <w:lvlJc w:val="left"/>
      <w:pPr>
        <w:ind w:left="2880" w:hanging="360"/>
      </w:pPr>
    </w:lvl>
    <w:lvl w:ilvl="4" w:tplc="96B89962">
      <w:start w:val="1"/>
      <w:numFmt w:val="bullet"/>
      <w:lvlText w:val="○"/>
      <w:lvlJc w:val="left"/>
      <w:pPr>
        <w:ind w:left="3600" w:hanging="360"/>
      </w:pPr>
    </w:lvl>
    <w:lvl w:ilvl="5" w:tplc="C548E170">
      <w:start w:val="1"/>
      <w:numFmt w:val="bullet"/>
      <w:lvlText w:val="■"/>
      <w:lvlJc w:val="left"/>
      <w:pPr>
        <w:ind w:left="4320" w:hanging="360"/>
      </w:pPr>
    </w:lvl>
    <w:lvl w:ilvl="6" w:tplc="0EDC725E">
      <w:start w:val="1"/>
      <w:numFmt w:val="bullet"/>
      <w:lvlText w:val="●"/>
      <w:lvlJc w:val="left"/>
      <w:pPr>
        <w:ind w:left="5040" w:hanging="360"/>
      </w:pPr>
    </w:lvl>
    <w:lvl w:ilvl="7" w:tplc="247E7AC8">
      <w:start w:val="1"/>
      <w:numFmt w:val="bullet"/>
      <w:lvlText w:val="●"/>
      <w:lvlJc w:val="left"/>
      <w:pPr>
        <w:ind w:left="5760" w:hanging="360"/>
      </w:pPr>
    </w:lvl>
    <w:lvl w:ilvl="8" w:tplc="EF705D6E">
      <w:start w:val="1"/>
      <w:numFmt w:val="bullet"/>
      <w:lvlText w:val="●"/>
      <w:lvlJc w:val="left"/>
      <w:pPr>
        <w:ind w:left="6480" w:hanging="360"/>
      </w:pPr>
    </w:lvl>
  </w:abstractNum>
  <w:abstractNum w:abstractNumId="1" w15:restartNumberingAfterBreak="0">
    <w:nsid w:val="20DA7F07"/>
    <w:multiLevelType w:val="multilevel"/>
    <w:tmpl w:val="1A5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243335">
    <w:abstractNumId w:val="0"/>
    <w:lvlOverride w:ilvl="0">
      <w:startOverride w:val="1"/>
    </w:lvlOverride>
  </w:num>
  <w:num w:numId="2" w16cid:durableId="8968665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F5A"/>
    <w:rsid w:val="00017EF6"/>
    <w:rsid w:val="00020904"/>
    <w:rsid w:val="00023011"/>
    <w:rsid w:val="000249CE"/>
    <w:rsid w:val="0006121B"/>
    <w:rsid w:val="00067F65"/>
    <w:rsid w:val="000725D5"/>
    <w:rsid w:val="000751C3"/>
    <w:rsid w:val="00084FC5"/>
    <w:rsid w:val="00095DF0"/>
    <w:rsid w:val="000B4B80"/>
    <w:rsid w:val="000B6431"/>
    <w:rsid w:val="000B6ADC"/>
    <w:rsid w:val="000D4C14"/>
    <w:rsid w:val="00100E03"/>
    <w:rsid w:val="00101D94"/>
    <w:rsid w:val="0011577C"/>
    <w:rsid w:val="00117102"/>
    <w:rsid w:val="00143521"/>
    <w:rsid w:val="001470F4"/>
    <w:rsid w:val="00150692"/>
    <w:rsid w:val="001547BE"/>
    <w:rsid w:val="0016029D"/>
    <w:rsid w:val="00171304"/>
    <w:rsid w:val="001809DC"/>
    <w:rsid w:val="00196F9F"/>
    <w:rsid w:val="001A0AA3"/>
    <w:rsid w:val="001A6306"/>
    <w:rsid w:val="001B04F7"/>
    <w:rsid w:val="001B09E0"/>
    <w:rsid w:val="001B1E70"/>
    <w:rsid w:val="001B23F5"/>
    <w:rsid w:val="001B543A"/>
    <w:rsid w:val="001B623E"/>
    <w:rsid w:val="001B7060"/>
    <w:rsid w:val="001B73CC"/>
    <w:rsid w:val="001D266A"/>
    <w:rsid w:val="001D5EC4"/>
    <w:rsid w:val="001D64A8"/>
    <w:rsid w:val="001E2A94"/>
    <w:rsid w:val="001F1B12"/>
    <w:rsid w:val="00201D00"/>
    <w:rsid w:val="002118C1"/>
    <w:rsid w:val="0021754A"/>
    <w:rsid w:val="00220D1C"/>
    <w:rsid w:val="00230212"/>
    <w:rsid w:val="00232CA9"/>
    <w:rsid w:val="002372F3"/>
    <w:rsid w:val="00237C83"/>
    <w:rsid w:val="00244705"/>
    <w:rsid w:val="00255FB4"/>
    <w:rsid w:val="0025674D"/>
    <w:rsid w:val="00260FEF"/>
    <w:rsid w:val="0026161B"/>
    <w:rsid w:val="00261E75"/>
    <w:rsid w:val="00262A96"/>
    <w:rsid w:val="00274909"/>
    <w:rsid w:val="00295414"/>
    <w:rsid w:val="002A2422"/>
    <w:rsid w:val="002A4272"/>
    <w:rsid w:val="002A6D40"/>
    <w:rsid w:val="002B23AB"/>
    <w:rsid w:val="002B331B"/>
    <w:rsid w:val="002B606D"/>
    <w:rsid w:val="002C4E2F"/>
    <w:rsid w:val="002D6E25"/>
    <w:rsid w:val="002E2645"/>
    <w:rsid w:val="002F6DA9"/>
    <w:rsid w:val="00301D71"/>
    <w:rsid w:val="003040D9"/>
    <w:rsid w:val="0031228E"/>
    <w:rsid w:val="00322144"/>
    <w:rsid w:val="0032528A"/>
    <w:rsid w:val="0033314C"/>
    <w:rsid w:val="00340A6E"/>
    <w:rsid w:val="00341C77"/>
    <w:rsid w:val="003461E0"/>
    <w:rsid w:val="003515BB"/>
    <w:rsid w:val="003610D1"/>
    <w:rsid w:val="00362087"/>
    <w:rsid w:val="00362D21"/>
    <w:rsid w:val="0039080B"/>
    <w:rsid w:val="00394C41"/>
    <w:rsid w:val="00397D48"/>
    <w:rsid w:val="003A1ED1"/>
    <w:rsid w:val="003B1749"/>
    <w:rsid w:val="003C6C02"/>
    <w:rsid w:val="003D4F8B"/>
    <w:rsid w:val="003D5D35"/>
    <w:rsid w:val="003E5D1A"/>
    <w:rsid w:val="003F04FA"/>
    <w:rsid w:val="003F470F"/>
    <w:rsid w:val="003F504D"/>
    <w:rsid w:val="004153A8"/>
    <w:rsid w:val="00433643"/>
    <w:rsid w:val="00435541"/>
    <w:rsid w:val="00443BFB"/>
    <w:rsid w:val="00445EA3"/>
    <w:rsid w:val="00461C98"/>
    <w:rsid w:val="00467964"/>
    <w:rsid w:val="00473855"/>
    <w:rsid w:val="00476012"/>
    <w:rsid w:val="00477656"/>
    <w:rsid w:val="00481491"/>
    <w:rsid w:val="00484B2E"/>
    <w:rsid w:val="004941AF"/>
    <w:rsid w:val="0049633A"/>
    <w:rsid w:val="00496A8A"/>
    <w:rsid w:val="0049799A"/>
    <w:rsid w:val="004A35A2"/>
    <w:rsid w:val="004A7C89"/>
    <w:rsid w:val="004B5B55"/>
    <w:rsid w:val="004B61F7"/>
    <w:rsid w:val="004C413B"/>
    <w:rsid w:val="004C6456"/>
    <w:rsid w:val="004C6988"/>
    <w:rsid w:val="004E1693"/>
    <w:rsid w:val="004E1E07"/>
    <w:rsid w:val="004E26C0"/>
    <w:rsid w:val="004E3E62"/>
    <w:rsid w:val="00500101"/>
    <w:rsid w:val="00506F1D"/>
    <w:rsid w:val="00513A57"/>
    <w:rsid w:val="00516483"/>
    <w:rsid w:val="005204EB"/>
    <w:rsid w:val="0053064F"/>
    <w:rsid w:val="00534217"/>
    <w:rsid w:val="005358DF"/>
    <w:rsid w:val="00537D67"/>
    <w:rsid w:val="005447DC"/>
    <w:rsid w:val="00556B9C"/>
    <w:rsid w:val="00556BB1"/>
    <w:rsid w:val="00557F77"/>
    <w:rsid w:val="00561757"/>
    <w:rsid w:val="00576B67"/>
    <w:rsid w:val="00584850"/>
    <w:rsid w:val="00584C70"/>
    <w:rsid w:val="0059228C"/>
    <w:rsid w:val="005A47F7"/>
    <w:rsid w:val="005A49D1"/>
    <w:rsid w:val="005C0EB6"/>
    <w:rsid w:val="005C177D"/>
    <w:rsid w:val="005C1E91"/>
    <w:rsid w:val="005C2603"/>
    <w:rsid w:val="005C26FA"/>
    <w:rsid w:val="005C3132"/>
    <w:rsid w:val="005C4049"/>
    <w:rsid w:val="005D22B6"/>
    <w:rsid w:val="005D3A06"/>
    <w:rsid w:val="005E065A"/>
    <w:rsid w:val="005F0BF1"/>
    <w:rsid w:val="005F3954"/>
    <w:rsid w:val="005F60BE"/>
    <w:rsid w:val="006002E8"/>
    <w:rsid w:val="00601CB9"/>
    <w:rsid w:val="0061060C"/>
    <w:rsid w:val="00617058"/>
    <w:rsid w:val="006179F4"/>
    <w:rsid w:val="00620BAC"/>
    <w:rsid w:val="00622B42"/>
    <w:rsid w:val="006279D7"/>
    <w:rsid w:val="0064027B"/>
    <w:rsid w:val="00642D60"/>
    <w:rsid w:val="00646A55"/>
    <w:rsid w:val="00653C29"/>
    <w:rsid w:val="00673F82"/>
    <w:rsid w:val="006802CB"/>
    <w:rsid w:val="00682A81"/>
    <w:rsid w:val="006A1243"/>
    <w:rsid w:val="006C7C32"/>
    <w:rsid w:val="006D4EAF"/>
    <w:rsid w:val="006D5333"/>
    <w:rsid w:val="006E123C"/>
    <w:rsid w:val="006E35FD"/>
    <w:rsid w:val="006F1D39"/>
    <w:rsid w:val="006F244F"/>
    <w:rsid w:val="006F7291"/>
    <w:rsid w:val="007071DC"/>
    <w:rsid w:val="00737235"/>
    <w:rsid w:val="0075121F"/>
    <w:rsid w:val="00751A35"/>
    <w:rsid w:val="00757C47"/>
    <w:rsid w:val="007625A0"/>
    <w:rsid w:val="00763824"/>
    <w:rsid w:val="0076383E"/>
    <w:rsid w:val="00767D06"/>
    <w:rsid w:val="00772BFE"/>
    <w:rsid w:val="0078245E"/>
    <w:rsid w:val="00785D56"/>
    <w:rsid w:val="007A2EA7"/>
    <w:rsid w:val="007A2F38"/>
    <w:rsid w:val="007B2CF3"/>
    <w:rsid w:val="007B4091"/>
    <w:rsid w:val="007C076B"/>
    <w:rsid w:val="007C2127"/>
    <w:rsid w:val="007C2641"/>
    <w:rsid w:val="007E3F82"/>
    <w:rsid w:val="007E796C"/>
    <w:rsid w:val="007F0B73"/>
    <w:rsid w:val="007F1255"/>
    <w:rsid w:val="007F2B5A"/>
    <w:rsid w:val="00801094"/>
    <w:rsid w:val="008036EA"/>
    <w:rsid w:val="00805EA2"/>
    <w:rsid w:val="0081141B"/>
    <w:rsid w:val="0081239C"/>
    <w:rsid w:val="0081753F"/>
    <w:rsid w:val="00820A36"/>
    <w:rsid w:val="00827E56"/>
    <w:rsid w:val="00830BB7"/>
    <w:rsid w:val="0083227B"/>
    <w:rsid w:val="00832E1F"/>
    <w:rsid w:val="00832F0E"/>
    <w:rsid w:val="0084008F"/>
    <w:rsid w:val="00847F5A"/>
    <w:rsid w:val="0085260A"/>
    <w:rsid w:val="00867568"/>
    <w:rsid w:val="008862B0"/>
    <w:rsid w:val="00887962"/>
    <w:rsid w:val="008918B7"/>
    <w:rsid w:val="00893EBD"/>
    <w:rsid w:val="008A0833"/>
    <w:rsid w:val="008A34B3"/>
    <w:rsid w:val="008C29A5"/>
    <w:rsid w:val="008C31B1"/>
    <w:rsid w:val="008C6CDB"/>
    <w:rsid w:val="008D7715"/>
    <w:rsid w:val="008E0A3C"/>
    <w:rsid w:val="008E45F0"/>
    <w:rsid w:val="00900BB6"/>
    <w:rsid w:val="00910839"/>
    <w:rsid w:val="00915F22"/>
    <w:rsid w:val="00920F59"/>
    <w:rsid w:val="00924906"/>
    <w:rsid w:val="00946E48"/>
    <w:rsid w:val="00955B48"/>
    <w:rsid w:val="0096284A"/>
    <w:rsid w:val="00964F7F"/>
    <w:rsid w:val="00971B49"/>
    <w:rsid w:val="0099031B"/>
    <w:rsid w:val="00992DC5"/>
    <w:rsid w:val="009B2FAC"/>
    <w:rsid w:val="009E137D"/>
    <w:rsid w:val="009E331A"/>
    <w:rsid w:val="009E5E3D"/>
    <w:rsid w:val="00A35C31"/>
    <w:rsid w:val="00A3702C"/>
    <w:rsid w:val="00A371A4"/>
    <w:rsid w:val="00A46B3B"/>
    <w:rsid w:val="00A560A0"/>
    <w:rsid w:val="00A57051"/>
    <w:rsid w:val="00A66336"/>
    <w:rsid w:val="00A75826"/>
    <w:rsid w:val="00A90686"/>
    <w:rsid w:val="00AA4790"/>
    <w:rsid w:val="00AB66CB"/>
    <w:rsid w:val="00AD3A7C"/>
    <w:rsid w:val="00AE019B"/>
    <w:rsid w:val="00AF1D41"/>
    <w:rsid w:val="00B1699C"/>
    <w:rsid w:val="00B46702"/>
    <w:rsid w:val="00B527C8"/>
    <w:rsid w:val="00B52C0B"/>
    <w:rsid w:val="00B54CE8"/>
    <w:rsid w:val="00B5535A"/>
    <w:rsid w:val="00B66B8E"/>
    <w:rsid w:val="00B702BD"/>
    <w:rsid w:val="00B704BE"/>
    <w:rsid w:val="00B73EA3"/>
    <w:rsid w:val="00B73FC2"/>
    <w:rsid w:val="00B76234"/>
    <w:rsid w:val="00B76C05"/>
    <w:rsid w:val="00B87559"/>
    <w:rsid w:val="00B90607"/>
    <w:rsid w:val="00BD6DB8"/>
    <w:rsid w:val="00BE5A4F"/>
    <w:rsid w:val="00BF27CF"/>
    <w:rsid w:val="00BF77C8"/>
    <w:rsid w:val="00C03659"/>
    <w:rsid w:val="00C0490A"/>
    <w:rsid w:val="00C1231A"/>
    <w:rsid w:val="00C1729E"/>
    <w:rsid w:val="00C17FC2"/>
    <w:rsid w:val="00C25CA7"/>
    <w:rsid w:val="00C5505A"/>
    <w:rsid w:val="00C57A75"/>
    <w:rsid w:val="00C77AF7"/>
    <w:rsid w:val="00C907E1"/>
    <w:rsid w:val="00CA2FB4"/>
    <w:rsid w:val="00CD0BA7"/>
    <w:rsid w:val="00CD1D39"/>
    <w:rsid w:val="00CD482B"/>
    <w:rsid w:val="00CE6933"/>
    <w:rsid w:val="00CF608C"/>
    <w:rsid w:val="00CF7715"/>
    <w:rsid w:val="00D0073A"/>
    <w:rsid w:val="00D02996"/>
    <w:rsid w:val="00D04403"/>
    <w:rsid w:val="00D12D6D"/>
    <w:rsid w:val="00D47582"/>
    <w:rsid w:val="00D47655"/>
    <w:rsid w:val="00D53F50"/>
    <w:rsid w:val="00D60966"/>
    <w:rsid w:val="00D62F45"/>
    <w:rsid w:val="00D711CB"/>
    <w:rsid w:val="00D802DF"/>
    <w:rsid w:val="00D92D8F"/>
    <w:rsid w:val="00D96457"/>
    <w:rsid w:val="00DA096E"/>
    <w:rsid w:val="00DA11B8"/>
    <w:rsid w:val="00DB4431"/>
    <w:rsid w:val="00DB5516"/>
    <w:rsid w:val="00DC36BC"/>
    <w:rsid w:val="00DD2C3F"/>
    <w:rsid w:val="00DD4390"/>
    <w:rsid w:val="00DE7B3D"/>
    <w:rsid w:val="00DF0DF8"/>
    <w:rsid w:val="00DF2D42"/>
    <w:rsid w:val="00DF5085"/>
    <w:rsid w:val="00DF63D0"/>
    <w:rsid w:val="00E05A5D"/>
    <w:rsid w:val="00E07B46"/>
    <w:rsid w:val="00E11A06"/>
    <w:rsid w:val="00E23B66"/>
    <w:rsid w:val="00E33567"/>
    <w:rsid w:val="00E342D8"/>
    <w:rsid w:val="00E407FE"/>
    <w:rsid w:val="00E4487A"/>
    <w:rsid w:val="00E533BA"/>
    <w:rsid w:val="00E57002"/>
    <w:rsid w:val="00E74CC6"/>
    <w:rsid w:val="00E8143D"/>
    <w:rsid w:val="00E83D34"/>
    <w:rsid w:val="00EB16F8"/>
    <w:rsid w:val="00EC678F"/>
    <w:rsid w:val="00ED146A"/>
    <w:rsid w:val="00ED4A91"/>
    <w:rsid w:val="00ED59E6"/>
    <w:rsid w:val="00EE57D6"/>
    <w:rsid w:val="00EE5DD7"/>
    <w:rsid w:val="00F21D4E"/>
    <w:rsid w:val="00F2284E"/>
    <w:rsid w:val="00F62EA5"/>
    <w:rsid w:val="00F67A1D"/>
    <w:rsid w:val="00F719E2"/>
    <w:rsid w:val="00F74F81"/>
    <w:rsid w:val="00F87184"/>
    <w:rsid w:val="00FC2108"/>
    <w:rsid w:val="00FC2F84"/>
    <w:rsid w:val="00FD46C0"/>
    <w:rsid w:val="00FD5F01"/>
    <w:rsid w:val="00FD5FB1"/>
    <w:rsid w:val="00FD66C4"/>
    <w:rsid w:val="00FE4079"/>
    <w:rsid w:val="00FF12EA"/>
    <w:rsid w:val="00FF1CFE"/>
    <w:rsid w:val="00FF7ADD"/>
    <w:rsid w:val="00FF7D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45859C2"/>
  <w15:docId w15:val="{58F032A6-0986-9242-AF93-25087B58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6284A"/>
    <w:rPr>
      <w:sz w:val="16"/>
      <w:szCs w:val="16"/>
    </w:rPr>
  </w:style>
  <w:style w:type="paragraph" w:styleId="CommentText">
    <w:name w:val="annotation text"/>
    <w:basedOn w:val="Normal"/>
    <w:link w:val="CommentTextChar"/>
    <w:uiPriority w:val="99"/>
    <w:semiHidden/>
    <w:unhideWhenUsed/>
    <w:rsid w:val="0096284A"/>
    <w:rPr>
      <w:sz w:val="20"/>
      <w:szCs w:val="20"/>
    </w:rPr>
  </w:style>
  <w:style w:type="character" w:customStyle="1" w:styleId="CommentTextChar">
    <w:name w:val="Comment Text Char"/>
    <w:basedOn w:val="DefaultParagraphFont"/>
    <w:link w:val="CommentText"/>
    <w:uiPriority w:val="99"/>
    <w:semiHidden/>
    <w:rsid w:val="0096284A"/>
    <w:rPr>
      <w:sz w:val="20"/>
      <w:szCs w:val="20"/>
    </w:rPr>
  </w:style>
  <w:style w:type="paragraph" w:styleId="CommentSubject">
    <w:name w:val="annotation subject"/>
    <w:basedOn w:val="CommentText"/>
    <w:next w:val="CommentText"/>
    <w:link w:val="CommentSubjectChar"/>
    <w:uiPriority w:val="99"/>
    <w:semiHidden/>
    <w:unhideWhenUsed/>
    <w:rsid w:val="0096284A"/>
    <w:rPr>
      <w:b/>
      <w:bCs/>
    </w:rPr>
  </w:style>
  <w:style w:type="character" w:customStyle="1" w:styleId="CommentSubjectChar">
    <w:name w:val="Comment Subject Char"/>
    <w:basedOn w:val="CommentTextChar"/>
    <w:link w:val="CommentSubject"/>
    <w:uiPriority w:val="99"/>
    <w:semiHidden/>
    <w:rsid w:val="0096284A"/>
    <w:rPr>
      <w:b/>
      <w:bCs/>
      <w:sz w:val="20"/>
      <w:szCs w:val="20"/>
    </w:rPr>
  </w:style>
  <w:style w:type="character" w:customStyle="1" w:styleId="font-semibold">
    <w:name w:val="font-semibold"/>
    <w:basedOn w:val="DefaultParagraphFont"/>
    <w:rsid w:val="00A3702C"/>
  </w:style>
  <w:style w:type="paragraph" w:styleId="NormalWeb">
    <w:name w:val="Normal (Web)"/>
    <w:basedOn w:val="Normal"/>
    <w:uiPriority w:val="99"/>
    <w:unhideWhenUsed/>
    <w:rsid w:val="00EE5DD7"/>
    <w:pPr>
      <w:spacing w:before="100" w:beforeAutospacing="1" w:after="100" w:afterAutospacing="1"/>
    </w:pPr>
  </w:style>
  <w:style w:type="character" w:styleId="Strong">
    <w:name w:val="Strong"/>
    <w:basedOn w:val="DefaultParagraphFont"/>
    <w:uiPriority w:val="22"/>
    <w:qFormat/>
    <w:rsid w:val="00EE5DD7"/>
    <w:rPr>
      <w:b/>
      <w:bCs/>
    </w:rPr>
  </w:style>
  <w:style w:type="character" w:styleId="HTMLCode">
    <w:name w:val="HTML Code"/>
    <w:basedOn w:val="DefaultParagraphFont"/>
    <w:uiPriority w:val="99"/>
    <w:semiHidden/>
    <w:unhideWhenUsed/>
    <w:rsid w:val="00EE5DD7"/>
    <w:rPr>
      <w:rFonts w:ascii="Courier New" w:eastAsia="Times New Roman" w:hAnsi="Courier New" w:cs="Courier New"/>
      <w:sz w:val="20"/>
      <w:szCs w:val="20"/>
    </w:rPr>
  </w:style>
  <w:style w:type="character" w:styleId="Emphasis">
    <w:name w:val="Emphasis"/>
    <w:basedOn w:val="DefaultParagraphFont"/>
    <w:uiPriority w:val="20"/>
    <w:qFormat/>
    <w:rsid w:val="00E342D8"/>
    <w:rPr>
      <w:i/>
      <w:iCs/>
    </w:rPr>
  </w:style>
  <w:style w:type="character" w:styleId="UnresolvedMention">
    <w:name w:val="Unresolved Mention"/>
    <w:basedOn w:val="DefaultParagraphFont"/>
    <w:uiPriority w:val="99"/>
    <w:semiHidden/>
    <w:unhideWhenUsed/>
    <w:rsid w:val="00467964"/>
    <w:rPr>
      <w:color w:val="605E5C"/>
      <w:shd w:val="clear" w:color="auto" w:fill="E1DFDD"/>
    </w:rPr>
  </w:style>
  <w:style w:type="character" w:styleId="FollowedHyperlink">
    <w:name w:val="FollowedHyperlink"/>
    <w:basedOn w:val="DefaultParagraphFont"/>
    <w:uiPriority w:val="99"/>
    <w:semiHidden/>
    <w:unhideWhenUsed/>
    <w:rsid w:val="00B54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3FBA9-14C0-774C-BE33-8692CEF2D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32</Pages>
  <Words>10451</Words>
  <Characters>59577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Yuen</cp:lastModifiedBy>
  <cp:revision>119</cp:revision>
  <dcterms:created xsi:type="dcterms:W3CDTF">2026-07-25T02:16:00Z</dcterms:created>
  <dcterms:modified xsi:type="dcterms:W3CDTF">2026-08-03T20:39:00Z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id="FeVGOc4N"/&gt;&lt;style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