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7793FF" w14:textId="77777777" w:rsidR="00166951" w:rsidRDefault="00166951" w:rsidP="00CF532B">
      <w:pPr>
        <w:pStyle w:val="PaperTitle"/>
        <w:spacing w:after="0"/>
        <w:rPr>
          <w:i/>
        </w:rPr>
      </w:pPr>
      <w:r w:rsidRPr="00166951">
        <w:t>FACILITY-LEVEL TECHNO-ECONOMIC POTENTIAL OF ELECTRIFIED INDUSTRIAL PROCESS HEAT IN EUROPEAN MANUFACTURING</w:t>
      </w:r>
    </w:p>
    <w:p w14:paraId="5F92DFE2" w14:textId="0D8CA99B" w:rsidR="00FF39E7" w:rsidRPr="00846584" w:rsidRDefault="00775901" w:rsidP="00CA55E6">
      <w:pPr>
        <w:pStyle w:val="PaperAuthor"/>
      </w:pPr>
      <w:r>
        <w:t>Anna Yuen</w:t>
      </w:r>
      <w:r>
        <w:rPr>
          <w:vertAlign w:val="superscript"/>
        </w:rPr>
        <w:t>1</w:t>
      </w:r>
      <w:r w:rsidR="00166951">
        <w:rPr>
          <w:vertAlign w:val="superscript"/>
        </w:rPr>
        <w:t>,</w:t>
      </w:r>
      <w:r>
        <w:rPr>
          <w:vertAlign w:val="superscript"/>
        </w:rPr>
        <w:t xml:space="preserve"> </w:t>
      </w:r>
      <w:r w:rsidR="00166951">
        <w:rPr>
          <w:vertAlign w:val="superscript"/>
        </w:rPr>
        <w:t>2</w:t>
      </w:r>
      <w:r>
        <w:rPr>
          <w:vertAlign w:val="superscript"/>
        </w:rPr>
        <w:t xml:space="preserve"> *</w:t>
      </w:r>
      <w:r>
        <w:t>, Amol Phadke</w:t>
      </w:r>
      <w:r>
        <w:rPr>
          <w:vertAlign w:val="superscript"/>
        </w:rPr>
        <w:t>2</w:t>
      </w:r>
    </w:p>
    <w:p w14:paraId="20A3B8FF" w14:textId="6E5933DE" w:rsidR="00FF39E7" w:rsidRPr="00846584" w:rsidRDefault="00FF39E7" w:rsidP="00CA55E6">
      <w:pPr>
        <w:pStyle w:val="PaperAffiliations"/>
        <w:spacing w:after="0"/>
      </w:pPr>
      <w:r>
        <w:rPr>
          <w:vertAlign w:val="superscript"/>
        </w:rPr>
        <w:t>1</w:t>
      </w:r>
      <w:r>
        <w:t>Energy and Resources Group, University of California, Berkeley</w:t>
      </w:r>
      <w:r w:rsidR="00166951">
        <w:t>, United States</w:t>
      </w:r>
      <w:r>
        <w:br/>
      </w:r>
      <w:r>
        <w:rPr>
          <w:vertAlign w:val="superscript"/>
        </w:rPr>
        <w:t>2</w:t>
      </w:r>
      <w:r>
        <w:t>Goldman School of Public Policy, University of California, Berkeley</w:t>
      </w:r>
      <w:r w:rsidR="00166951">
        <w:t>, United States</w:t>
      </w:r>
      <w:r>
        <w:br/>
        <w:t>*Corresponding author. Email: anna_yuen@berkeley.edu</w:t>
      </w:r>
    </w:p>
    <w:p w14:paraId="43FCC496" w14:textId="77777777" w:rsidR="00B91C50" w:rsidRPr="00846584" w:rsidRDefault="00B91C50" w:rsidP="00832424">
      <w:pPr>
        <w:pStyle w:val="PaperAffiliations"/>
        <w:jc w:val="both"/>
        <w:rPr>
          <w:i w:val="0"/>
        </w:rPr>
      </w:pPr>
    </w:p>
    <w:p w14:paraId="530E7FF0" w14:textId="5A81B82F" w:rsidR="00FF39E7" w:rsidRPr="00846584" w:rsidRDefault="00FF39E7" w:rsidP="00832424">
      <w:pPr>
        <w:pStyle w:val="PaperParagraphs"/>
      </w:pPr>
      <w:r>
        <w:rPr>
          <w:b/>
        </w:rPr>
        <w:t>Keywords</w:t>
      </w:r>
      <w:r>
        <w:t xml:space="preserve">: </w:t>
      </w:r>
      <w:r w:rsidR="00E36775" w:rsidRPr="00E36775">
        <w:t>INDUSTRIAL DECARBONISATION, HEAT PUMPS, HEAT BATTERIES, OFF-GRID SOLAR PV, TECHNO-ECONOMIC ANALYSIS</w:t>
      </w:r>
    </w:p>
    <w:p w14:paraId="6E4F0508" w14:textId="77777777" w:rsidR="00B91C50" w:rsidRPr="00846584" w:rsidRDefault="00B91C50" w:rsidP="00832424">
      <w:pPr>
        <w:pStyle w:val="PaperHeading"/>
        <w:sectPr w:rsidR="00B91C50" w:rsidRPr="00846584" w:rsidSect="00EC323B">
          <w:headerReference w:type="default" r:id="rId8"/>
          <w:footerReference w:type="default" r:id="rId9"/>
          <w:pgSz w:w="11906" w:h="16838"/>
          <w:pgMar w:top="1440" w:right="1440" w:bottom="1440" w:left="1440" w:header="708" w:footer="708" w:gutter="0"/>
          <w:cols w:space="708"/>
          <w:docGrid w:linePitch="360"/>
        </w:sectPr>
      </w:pPr>
    </w:p>
    <w:p w14:paraId="688104DB" w14:textId="77777777" w:rsidR="00FF39E7" w:rsidRPr="00846584" w:rsidRDefault="00FF39E7" w:rsidP="00832424">
      <w:pPr>
        <w:pStyle w:val="PaperHeading"/>
      </w:pPr>
      <w:r>
        <w:t>Abstract</w:t>
      </w:r>
    </w:p>
    <w:p w14:paraId="38A436A0" w14:textId="74CF42EA" w:rsidR="0076740D" w:rsidRPr="00F7426E" w:rsidRDefault="00AF2B2C" w:rsidP="00832424">
      <w:pPr>
        <w:spacing w:after="200"/>
        <w:jc w:val="both"/>
        <w:rPr>
          <w:sz w:val="20"/>
          <w:szCs w:val="20"/>
        </w:rPr>
      </w:pPr>
      <w:r>
        <w:rPr>
          <w:sz w:val="20"/>
          <w:szCs w:val="20"/>
        </w:rPr>
        <w:t xml:space="preserve">Industrial process heat </w:t>
      </w:r>
      <w:r w:rsidR="00CC186F">
        <w:rPr>
          <w:sz w:val="20"/>
          <w:szCs w:val="20"/>
        </w:rPr>
        <w:t>dominates</w:t>
      </w:r>
      <w:r>
        <w:rPr>
          <w:sz w:val="20"/>
          <w:szCs w:val="20"/>
        </w:rPr>
        <w:t xml:space="preserve"> manufacturing emissions in the EU. Yet, there are readily available solutions that can</w:t>
      </w:r>
      <w:r w:rsidR="00280F51">
        <w:rPr>
          <w:sz w:val="20"/>
          <w:szCs w:val="20"/>
        </w:rPr>
        <w:t xml:space="preserve"> continuously</w:t>
      </w:r>
      <w:r>
        <w:rPr>
          <w:sz w:val="20"/>
          <w:szCs w:val="20"/>
        </w:rPr>
        <w:t xml:space="preserve"> generate</w:t>
      </w:r>
      <w:r w:rsidR="00280F51">
        <w:rPr>
          <w:sz w:val="20"/>
          <w:szCs w:val="20"/>
        </w:rPr>
        <w:t xml:space="preserve"> </w:t>
      </w:r>
      <w:r>
        <w:rPr>
          <w:sz w:val="20"/>
          <w:szCs w:val="20"/>
        </w:rPr>
        <w:t>process heat. Industrial heat pumps and heat batteries paired with on-site solar PV can be a solution</w:t>
      </w:r>
      <w:r w:rsidR="00730495">
        <w:rPr>
          <w:sz w:val="20"/>
          <w:szCs w:val="20"/>
        </w:rPr>
        <w:t xml:space="preserve"> to bring power to heat generation quickly</w:t>
      </w:r>
      <w:r w:rsidR="004A3B78">
        <w:rPr>
          <w:sz w:val="20"/>
          <w:szCs w:val="20"/>
        </w:rPr>
        <w:t xml:space="preserve"> and cost competitively</w:t>
      </w:r>
      <w:r w:rsidR="00AE7981">
        <w:rPr>
          <w:sz w:val="20"/>
          <w:szCs w:val="20"/>
        </w:rPr>
        <w:t xml:space="preserve"> with natural gas</w:t>
      </w:r>
      <w:r>
        <w:rPr>
          <w:sz w:val="20"/>
          <w:szCs w:val="20"/>
        </w:rPr>
        <w:t xml:space="preserve">. Using </w:t>
      </w:r>
      <w:r w:rsidR="00DD0191">
        <w:rPr>
          <w:sz w:val="20"/>
          <w:szCs w:val="20"/>
        </w:rPr>
        <w:t xml:space="preserve">a dataset of </w:t>
      </w:r>
      <w:r>
        <w:rPr>
          <w:sz w:val="20"/>
          <w:szCs w:val="20"/>
        </w:rPr>
        <w:t>2,192 facilit</w:t>
      </w:r>
      <w:r w:rsidR="00DD0191">
        <w:rPr>
          <w:sz w:val="20"/>
          <w:szCs w:val="20"/>
        </w:rPr>
        <w:t xml:space="preserve">ies </w:t>
      </w:r>
      <w:r>
        <w:rPr>
          <w:sz w:val="20"/>
          <w:szCs w:val="20"/>
        </w:rPr>
        <w:t>of different manufacturing sectors from Climate TRACE, each facility is modelled with co-located, off-grid solar PV with industrial heat pumps and batteries installed in 2030. Under this modelled configuration, 5</w:t>
      </w:r>
      <w:r w:rsidR="001743E0">
        <w:rPr>
          <w:sz w:val="20"/>
          <w:szCs w:val="20"/>
        </w:rPr>
        <w:t>8.8</w:t>
      </w:r>
      <w:r>
        <w:rPr>
          <w:sz w:val="20"/>
          <w:szCs w:val="20"/>
        </w:rPr>
        <w:t xml:space="preserve">% of </w:t>
      </w:r>
      <w:r w:rsidR="00B34CE1">
        <w:rPr>
          <w:sz w:val="20"/>
          <w:szCs w:val="20"/>
        </w:rPr>
        <w:t>fossil-fuel</w:t>
      </w:r>
      <w:r w:rsidR="00E06697">
        <w:rPr>
          <w:sz w:val="20"/>
          <w:szCs w:val="20"/>
        </w:rPr>
        <w:t>l</w:t>
      </w:r>
      <w:r w:rsidR="00B34CE1">
        <w:rPr>
          <w:sz w:val="20"/>
          <w:szCs w:val="20"/>
        </w:rPr>
        <w:t xml:space="preserve">ed </w:t>
      </w:r>
      <w:r w:rsidR="00514511">
        <w:rPr>
          <w:sz w:val="20"/>
          <w:szCs w:val="20"/>
        </w:rPr>
        <w:t>process</w:t>
      </w:r>
      <w:r>
        <w:rPr>
          <w:sz w:val="20"/>
          <w:szCs w:val="20"/>
        </w:rPr>
        <w:t xml:space="preserve"> heat can be </w:t>
      </w:r>
      <w:r w:rsidR="00A66837">
        <w:rPr>
          <w:sz w:val="20"/>
          <w:szCs w:val="20"/>
        </w:rPr>
        <w:t>decarbonis</w:t>
      </w:r>
      <w:r>
        <w:rPr>
          <w:sz w:val="20"/>
          <w:szCs w:val="20"/>
        </w:rPr>
        <w:t xml:space="preserve">ed using solar PV within a </w:t>
      </w:r>
      <w:r w:rsidR="0091773C">
        <w:rPr>
          <w:sz w:val="20"/>
          <w:szCs w:val="20"/>
        </w:rPr>
        <w:t>5 km</w:t>
      </w:r>
      <w:r>
        <w:rPr>
          <w:sz w:val="20"/>
          <w:szCs w:val="20"/>
        </w:rPr>
        <w:t xml:space="preserve"> buffer zone around each facility site at an average </w:t>
      </w:r>
      <w:r w:rsidR="00767239">
        <w:rPr>
          <w:sz w:val="20"/>
          <w:szCs w:val="20"/>
        </w:rPr>
        <w:t>levelis</w:t>
      </w:r>
      <w:r>
        <w:rPr>
          <w:sz w:val="20"/>
          <w:szCs w:val="20"/>
        </w:rPr>
        <w:t xml:space="preserve">ed cost of heat </w:t>
      </w:r>
      <w:r w:rsidR="00157258">
        <w:rPr>
          <w:sz w:val="20"/>
          <w:szCs w:val="20"/>
        </w:rPr>
        <w:t>of</w:t>
      </w:r>
      <w:r>
        <w:rPr>
          <w:sz w:val="20"/>
          <w:szCs w:val="20"/>
        </w:rPr>
        <w:t xml:space="preserve"> €</w:t>
      </w:r>
      <w:r w:rsidR="0076260B">
        <w:rPr>
          <w:sz w:val="20"/>
          <w:szCs w:val="20"/>
        </w:rPr>
        <w:t>55</w:t>
      </w:r>
      <w:r>
        <w:rPr>
          <w:sz w:val="20"/>
          <w:szCs w:val="20"/>
        </w:rPr>
        <w:t>/MWh. After expanding the buffer zone to 1</w:t>
      </w:r>
      <w:r w:rsidR="0091773C">
        <w:rPr>
          <w:sz w:val="20"/>
          <w:szCs w:val="20"/>
        </w:rPr>
        <w:t>5 km</w:t>
      </w:r>
      <w:r>
        <w:rPr>
          <w:sz w:val="20"/>
          <w:szCs w:val="20"/>
        </w:rPr>
        <w:t xml:space="preserve">, the share of possible </w:t>
      </w:r>
      <w:r w:rsidR="00A66837">
        <w:rPr>
          <w:sz w:val="20"/>
          <w:szCs w:val="20"/>
        </w:rPr>
        <w:t>decarbonis</w:t>
      </w:r>
      <w:r>
        <w:rPr>
          <w:sz w:val="20"/>
          <w:szCs w:val="20"/>
        </w:rPr>
        <w:t xml:space="preserve">ed heat </w:t>
      </w:r>
      <w:r w:rsidR="00B62EA2">
        <w:rPr>
          <w:sz w:val="20"/>
          <w:szCs w:val="20"/>
        </w:rPr>
        <w:t>rises</w:t>
      </w:r>
      <w:r>
        <w:rPr>
          <w:sz w:val="20"/>
          <w:szCs w:val="20"/>
        </w:rPr>
        <w:t xml:space="preserve"> to 8</w:t>
      </w:r>
      <w:r w:rsidR="00E927D8">
        <w:rPr>
          <w:sz w:val="20"/>
          <w:szCs w:val="20"/>
        </w:rPr>
        <w:t>4.4</w:t>
      </w:r>
      <w:r>
        <w:rPr>
          <w:sz w:val="20"/>
          <w:szCs w:val="20"/>
        </w:rPr>
        <w:t>% of process heat at €6</w:t>
      </w:r>
      <w:r w:rsidR="0072486B">
        <w:rPr>
          <w:sz w:val="20"/>
          <w:szCs w:val="20"/>
        </w:rPr>
        <w:t>2</w:t>
      </w:r>
      <w:r>
        <w:rPr>
          <w:sz w:val="20"/>
          <w:szCs w:val="20"/>
        </w:rPr>
        <w:t>/MWh</w:t>
      </w:r>
      <w:r w:rsidR="00205DAB" w:rsidRPr="00205DAB">
        <w:t xml:space="preserve"> </w:t>
      </w:r>
      <w:r w:rsidR="00205DAB" w:rsidRPr="00205DAB">
        <w:rPr>
          <w:sz w:val="20"/>
          <w:szCs w:val="20"/>
        </w:rPr>
        <w:t>against an EU average gas-heat cost of €93/MWh</w:t>
      </w:r>
      <w:r>
        <w:rPr>
          <w:sz w:val="20"/>
          <w:szCs w:val="20"/>
        </w:rPr>
        <w:t xml:space="preserve">. </w:t>
      </w:r>
      <w:r w:rsidR="006258C7" w:rsidRPr="006258C7">
        <w:rPr>
          <w:sz w:val="20"/>
          <w:szCs w:val="20"/>
        </w:rPr>
        <w:t xml:space="preserve">Each facility is optimised to provide the highest availability </w:t>
      </w:r>
      <w:r w:rsidR="006258C7">
        <w:rPr>
          <w:sz w:val="20"/>
          <w:szCs w:val="20"/>
        </w:rPr>
        <w:t xml:space="preserve">and highest savings </w:t>
      </w:r>
      <w:r w:rsidR="006258C7" w:rsidRPr="006258C7">
        <w:rPr>
          <w:sz w:val="20"/>
          <w:szCs w:val="20"/>
        </w:rPr>
        <w:t xml:space="preserve">under its country's gas </w:t>
      </w:r>
      <w:r w:rsidR="00A521C1">
        <w:rPr>
          <w:sz w:val="20"/>
          <w:szCs w:val="20"/>
        </w:rPr>
        <w:t>costs.</w:t>
      </w:r>
      <w:r w:rsidR="006258C7">
        <w:rPr>
          <w:sz w:val="20"/>
          <w:szCs w:val="20"/>
        </w:rPr>
        <w:t xml:space="preserve"> </w:t>
      </w:r>
      <w:r>
        <w:rPr>
          <w:sz w:val="20"/>
          <w:szCs w:val="20"/>
        </w:rPr>
        <w:t xml:space="preserve">These results </w:t>
      </w:r>
      <w:r w:rsidR="0046405B">
        <w:rPr>
          <w:sz w:val="20"/>
          <w:szCs w:val="20"/>
        </w:rPr>
        <w:t xml:space="preserve">show that Southern Europe </w:t>
      </w:r>
      <w:r w:rsidR="00D8544A">
        <w:rPr>
          <w:sz w:val="20"/>
          <w:szCs w:val="20"/>
        </w:rPr>
        <w:t>can cost</w:t>
      </w:r>
      <w:r w:rsidR="00DF4E94">
        <w:rPr>
          <w:sz w:val="20"/>
          <w:szCs w:val="20"/>
        </w:rPr>
        <w:t>-competitively</w:t>
      </w:r>
      <w:r w:rsidR="0046405B">
        <w:rPr>
          <w:sz w:val="20"/>
          <w:szCs w:val="20"/>
        </w:rPr>
        <w:t xml:space="preserve"> </w:t>
      </w:r>
      <w:r w:rsidR="00A66837">
        <w:rPr>
          <w:sz w:val="20"/>
          <w:szCs w:val="20"/>
        </w:rPr>
        <w:t>decarbonis</w:t>
      </w:r>
      <w:r w:rsidR="0046405B">
        <w:rPr>
          <w:sz w:val="20"/>
          <w:szCs w:val="20"/>
        </w:rPr>
        <w:t xml:space="preserve">e </w:t>
      </w:r>
      <w:r w:rsidR="0098072B">
        <w:rPr>
          <w:sz w:val="20"/>
          <w:szCs w:val="20"/>
        </w:rPr>
        <w:t>over 95% of</w:t>
      </w:r>
      <w:r w:rsidR="0046405B">
        <w:rPr>
          <w:sz w:val="20"/>
          <w:szCs w:val="20"/>
        </w:rPr>
        <w:t xml:space="preserve"> its </w:t>
      </w:r>
      <w:r w:rsidR="00035B58">
        <w:rPr>
          <w:sz w:val="20"/>
          <w:szCs w:val="20"/>
        </w:rPr>
        <w:t>heat demand</w:t>
      </w:r>
      <w:r w:rsidR="0046405B">
        <w:rPr>
          <w:sz w:val="20"/>
          <w:szCs w:val="20"/>
        </w:rPr>
        <w:t>. Central Europe (Rhine-Meuse Region), where most of the large, heat intensive sources are located, c</w:t>
      </w:r>
      <w:r w:rsidR="004E588B" w:rsidRPr="004E588B">
        <w:rPr>
          <w:sz w:val="20"/>
          <w:szCs w:val="20"/>
        </w:rPr>
        <w:t>an decarbonise over 70% of its heat demand using on-site solar plus storage</w:t>
      </w:r>
      <w:r>
        <w:rPr>
          <w:sz w:val="20"/>
          <w:szCs w:val="20"/>
        </w:rPr>
        <w:t xml:space="preserve">. </w:t>
      </w:r>
    </w:p>
    <w:p w14:paraId="0ED075A4" w14:textId="77777777" w:rsidR="00C71337" w:rsidRDefault="00C71337" w:rsidP="00832424">
      <w:pPr>
        <w:pStyle w:val="PaperHeading"/>
        <w:sectPr w:rsidR="00C71337" w:rsidSect="00EC323B">
          <w:type w:val="continuous"/>
          <w:pgSz w:w="11906" w:h="16838"/>
          <w:pgMar w:top="1440" w:right="851" w:bottom="1440" w:left="851" w:header="709" w:footer="709" w:gutter="57"/>
          <w:cols w:space="227"/>
          <w:docGrid w:linePitch="360"/>
        </w:sectPr>
      </w:pPr>
    </w:p>
    <w:p w14:paraId="6E3DBC10" w14:textId="77777777" w:rsidR="00FF39E7" w:rsidRPr="00184E8E" w:rsidRDefault="00FF39E7" w:rsidP="00832424">
      <w:pPr>
        <w:pStyle w:val="PaperHeading"/>
        <w:rPr>
          <w:color w:val="000000" w:themeColor="text1"/>
        </w:rPr>
      </w:pPr>
      <w:r>
        <w:rPr>
          <w:color w:val="000000" w:themeColor="text1"/>
        </w:rPr>
        <w:t>1</w:t>
      </w:r>
      <w:r>
        <w:rPr>
          <w:color w:val="000000" w:themeColor="text1"/>
        </w:rPr>
        <w:tab/>
        <w:t>Introduction</w:t>
      </w:r>
    </w:p>
    <w:p w14:paraId="1A62EEF2" w14:textId="47BCC995" w:rsidR="00854697" w:rsidRDefault="000B2A9C" w:rsidP="0024023B">
      <w:pPr>
        <w:spacing w:after="240"/>
        <w:jc w:val="both"/>
        <w:rPr>
          <w:rFonts w:eastAsia="SimSun"/>
          <w:color w:val="000000" w:themeColor="text1"/>
          <w:sz w:val="20"/>
          <w:szCs w:val="20"/>
          <w:lang w:val="en-AU" w:eastAsia="zh-CN"/>
        </w:rPr>
      </w:pPr>
      <w:r>
        <w:rPr>
          <w:rFonts w:eastAsia="SimSun"/>
          <w:color w:val="000000" w:themeColor="text1"/>
          <w:sz w:val="20"/>
          <w:szCs w:val="20"/>
          <w:lang w:val="en-AU" w:eastAsia="zh-CN"/>
        </w:rPr>
        <w:t>Industrial process heat accounts for three quarters of industrial greenhouse-gas emissions in the European Union (EU)</w:t>
      </w:r>
      <w:r w:rsidR="00F26E1B" w:rsidRPr="00F26E1B">
        <w:rPr>
          <w:rFonts w:eastAsia="SimSun"/>
          <w:color w:val="000000" w:themeColor="text1"/>
          <w:sz w:val="20"/>
          <w:szCs w:val="20"/>
          <w:lang w:val="en-AU" w:eastAsia="zh-CN"/>
        </w:rPr>
        <w:t xml:space="preserve"> </w:t>
      </w:r>
      <w:r w:rsidR="00F26E1B">
        <w:rPr>
          <w:rFonts w:eastAsia="SimSun"/>
          <w:color w:val="000000" w:themeColor="text1"/>
          <w:sz w:val="20"/>
          <w:szCs w:val="20"/>
          <w:lang w:val="en-AU" w:eastAsia="zh-CN"/>
        </w:rPr>
        <w:fldChar w:fldCharType="begin"/>
      </w:r>
      <w:r w:rsidR="00F26E1B">
        <w:rPr>
          <w:rFonts w:eastAsia="SimSun"/>
          <w:color w:val="000000" w:themeColor="text1"/>
          <w:sz w:val="20"/>
          <w:szCs w:val="20"/>
          <w:lang w:val="en-AU" w:eastAsia="zh-CN"/>
        </w:rPr>
        <w:instrText xml:space="preserve"> ADDIN ZOTERO_ITEM CSL_CITATION {"citationID":"9OY7IZzu","properties":{"unsorted":false,"formattedCitation":"[1]","plainCitation":"[1]","noteIndex":0},"citationItems":[{"id":344,"uris":["http://zotero.org/users/20280584/items/93PZ6R3K"],"itemData":{"id":344,"type":"report","citation-key":"DirectelectrificationofindustrialprocessheatAnassessmentoftechnologiespotentialsandfutureprospectsfortheEUpdf","publisher":"Fraunhofer ISI","title":"Direct electrification of industrial process heat. An assessment of technologies, potentials and future prospects for the EU","URL":"https://energyinnovation.org/wp-content/uploads/Direct-electrification-of-industrial-process-heat.-An-assessment-of-technologies-potentials-and-future-prospects-for-the-EU.pdf","author":[{"literal":"Matthias Rehfeldt"},{"literal":"Simon Bußmann"},{"literal":"Tobias Fleiter"},{"literal":"Jeffrey Rissman"}],"accessed":{"date-parts":[["2026",7,27]]},"issued":{"date-parts":[["2024"]]}}}],"schema":"https://github.com/citation-style-language/schema/raw/master/csl-citation.json"} </w:instrText>
      </w:r>
      <w:r w:rsidR="00F26E1B">
        <w:rPr>
          <w:rFonts w:eastAsia="SimSun"/>
          <w:color w:val="000000" w:themeColor="text1"/>
          <w:sz w:val="20"/>
          <w:szCs w:val="20"/>
          <w:lang w:val="en-AU" w:eastAsia="zh-CN"/>
        </w:rPr>
        <w:fldChar w:fldCharType="separate"/>
      </w:r>
      <w:r w:rsidR="00CE4290">
        <w:rPr>
          <w:rFonts w:eastAsia="SimSun"/>
          <w:noProof/>
          <w:color w:val="000000" w:themeColor="text1"/>
          <w:sz w:val="20"/>
          <w:szCs w:val="20"/>
          <w:lang w:val="en-AU" w:eastAsia="zh-CN"/>
        </w:rPr>
        <w:t>[1]</w:t>
      </w:r>
      <w:r w:rsidR="00F26E1B">
        <w:rPr>
          <w:rFonts w:eastAsia="SimSun"/>
          <w:color w:val="000000" w:themeColor="text1"/>
          <w:sz w:val="20"/>
          <w:szCs w:val="20"/>
          <w:lang w:val="en-AU" w:eastAsia="zh-CN"/>
        </w:rPr>
        <w:fldChar w:fldCharType="end"/>
      </w:r>
      <w:r>
        <w:rPr>
          <w:rFonts w:eastAsia="SimSun"/>
          <w:color w:val="000000" w:themeColor="text1"/>
          <w:sz w:val="20"/>
          <w:szCs w:val="20"/>
          <w:lang w:val="en-AU" w:eastAsia="zh-CN"/>
        </w:rPr>
        <w:t xml:space="preserve"> and </w:t>
      </w:r>
      <w:r w:rsidR="004850B4">
        <w:rPr>
          <w:rFonts w:eastAsia="SimSun"/>
          <w:color w:val="000000" w:themeColor="text1"/>
          <w:sz w:val="20"/>
          <w:szCs w:val="20"/>
          <w:lang w:val="en-AU" w:eastAsia="zh-CN"/>
        </w:rPr>
        <w:t xml:space="preserve">is </w:t>
      </w:r>
      <w:r w:rsidR="00CD076C">
        <w:rPr>
          <w:rFonts w:eastAsia="SimSun"/>
          <w:color w:val="000000" w:themeColor="text1"/>
          <w:sz w:val="20"/>
          <w:szCs w:val="20"/>
          <w:lang w:val="en-AU" w:eastAsia="zh-CN"/>
        </w:rPr>
        <w:t>an essential part of the climate change mitigation strategy</w:t>
      </w:r>
      <w:r w:rsidR="00056CA6">
        <w:rPr>
          <w:rFonts w:eastAsia="SimSun"/>
          <w:color w:val="000000" w:themeColor="text1"/>
          <w:sz w:val="20"/>
          <w:szCs w:val="20"/>
          <w:lang w:val="en-AU" w:eastAsia="zh-CN"/>
        </w:rPr>
        <w:t xml:space="preserve"> </w:t>
      </w:r>
      <w:r w:rsidR="00CD076C">
        <w:rPr>
          <w:rFonts w:eastAsia="SimSun"/>
          <w:color w:val="000000" w:themeColor="text1"/>
          <w:sz w:val="20"/>
          <w:szCs w:val="20"/>
          <w:lang w:val="en-AU" w:eastAsia="zh-CN"/>
        </w:rPr>
        <w:fldChar w:fldCharType="begin"/>
      </w:r>
      <w:r w:rsidR="00CD076C">
        <w:rPr>
          <w:rFonts w:eastAsia="SimSun"/>
          <w:color w:val="000000" w:themeColor="text1"/>
          <w:sz w:val="20"/>
          <w:szCs w:val="20"/>
          <w:lang w:val="en-AU" w:eastAsia="zh-CN"/>
        </w:rPr>
        <w:instrText xml:space="preserve"> ADDIN ZOTERO_ITEM CSL_CITATION {"citationID":"PooizgC0","properties":{"unsorted":false,"formattedCitation":"[2]","plainCitation":"[2]","noteIndex":0},"citationItems":[{"id":374,"uris":["http://zotero.org/users/20280584/items/6EJ24FRZ"],"itemData":{"id":374,"type":"article-journal","abstract":"The decarbonisation of industry is a bottleneck for the EU’s 2050 target of climate neutrality. Replacing fossil fuels with low-carbon electricity is at the core of this challenge; however, the aggregate electrification potential and resulting system-wide CO2 reductions for diverse industrial processes are unknown. Here, we present the results from a comprehensive bottom-up analysis of the energy use in 11 industrial sectors (accounting for 92% of Europe’s industry CO2 emissions), and estimate the technological potential for industry electrification in three stages. Seventy-eight per cent of the energy demand is electrifiable with technologies that are already established, while 99% electrification can be achieved with the addition of technologies currently under development. Such a deep electrification reduces CO2 emissions already based on the carbon intensity of today’s electricity (</w:instrText>
      </w:r>
      <w:r w:rsidR="00CD076C">
        <w:rPr>
          <w:rFonts w:ascii="Cambria Math" w:eastAsia="SimSun" w:hAnsi="Cambria Math" w:cs="Cambria Math"/>
          <w:color w:val="000000" w:themeColor="text1"/>
          <w:sz w:val="20"/>
          <w:szCs w:val="20"/>
          <w:lang w:val="en-AU" w:eastAsia="zh-CN"/>
        </w:rPr>
        <w:instrText>∼</w:instrText>
      </w:r>
      <w:r w:rsidR="00CD076C">
        <w:rPr>
          <w:rFonts w:eastAsia="SimSun"/>
          <w:color w:val="000000" w:themeColor="text1"/>
          <w:sz w:val="20"/>
          <w:szCs w:val="20"/>
          <w:lang w:val="en-AU" w:eastAsia="zh-CN"/>
        </w:rPr>
        <w:instrText xml:space="preserve">300 gCO2 kWhel−1). With an increasing decarbonisation of the power sector IEA: 12 gCO2 kWhel−1 in 2050), electrification could cut CO2 emissions by 78%, and almost entirely abate the energy-related CO2 emissions, reducing the industry bottleneck to only residual process emissions. Despite its decarbonisation potential, the extent to which direct electrification will be deployed in industry remains uncertain and depends on the relative cost of electric technologies compared to other low-carbon options.","citation-key":"madedduCO2ReductionPotential2020","container-title":"Environmental Research Letters","DOI":"10.1088/1748-9326/abbd02","ISSN":"1748-9326","issue":"12","journalAbbreviation":"Environ. Res. Lett.","language":"en","page":"124004","publisher":"IOP Publishing","source":"Institute of Physics","title":"The CO2 reduction potential for the European industry via direct electrification of heat supply (power-to-heat)","volume":"15","author":[{"family":"Madeddu","given":"Silvia"},{"family":"Ueckerdt","given":"Falko"},{"family":"Pehl","given":"Michaja"},{"family":"Peterseim","given":"Juergen"},{"family":"Lord","given":"Michael"},{"family":"Kumar","given":"Karthik Ajith"},{"family":"Krüger","given":"Christoph"},{"family":"Luderer","given":"Gunnar"}],"issued":{"date-parts":[["2020",11]]}}}],"schema":"https://github.com/citation-style-language/schema/raw/master/csl-citation.json"} </w:instrText>
      </w:r>
      <w:r w:rsidR="00CD076C">
        <w:rPr>
          <w:rFonts w:eastAsia="SimSun"/>
          <w:color w:val="000000" w:themeColor="text1"/>
          <w:sz w:val="20"/>
          <w:szCs w:val="20"/>
          <w:lang w:val="en-AU" w:eastAsia="zh-CN"/>
        </w:rPr>
        <w:fldChar w:fldCharType="separate"/>
      </w:r>
      <w:r w:rsidR="00CE4290">
        <w:rPr>
          <w:rFonts w:eastAsia="SimSun"/>
          <w:noProof/>
          <w:color w:val="000000" w:themeColor="text1"/>
          <w:sz w:val="20"/>
          <w:szCs w:val="20"/>
          <w:lang w:val="en-AU" w:eastAsia="zh-CN"/>
        </w:rPr>
        <w:t>[2]</w:t>
      </w:r>
      <w:r w:rsidR="00CD076C">
        <w:rPr>
          <w:rFonts w:eastAsia="SimSun"/>
          <w:color w:val="000000" w:themeColor="text1"/>
          <w:sz w:val="20"/>
          <w:szCs w:val="20"/>
          <w:lang w:val="en-AU" w:eastAsia="zh-CN"/>
        </w:rPr>
        <w:fldChar w:fldCharType="end"/>
      </w:r>
      <w:r>
        <w:rPr>
          <w:rFonts w:eastAsia="SimSun"/>
          <w:color w:val="000000" w:themeColor="text1"/>
          <w:sz w:val="20"/>
          <w:szCs w:val="20"/>
          <w:lang w:val="en-AU" w:eastAsia="zh-CN"/>
        </w:rPr>
        <w:t xml:space="preserve">. </w:t>
      </w:r>
      <w:r w:rsidR="00DA771B" w:rsidRPr="00DA771B">
        <w:rPr>
          <w:rFonts w:eastAsia="SimSun"/>
          <w:color w:val="000000" w:themeColor="text1"/>
          <w:sz w:val="20"/>
          <w:szCs w:val="20"/>
          <w:lang w:val="en-AU" w:eastAsia="zh-CN"/>
        </w:rPr>
        <w:t>The majority of industrial process heat demand is concentrated in the iron and steel, chemicals, and non-metallic minerals sectors, which also require the highest process temperatures, typically exceeding 1,000°C</w:t>
      </w:r>
      <w:r w:rsidR="00167AF9">
        <w:rPr>
          <w:rFonts w:eastAsia="SimSun"/>
          <w:color w:val="000000" w:themeColor="text1"/>
          <w:sz w:val="20"/>
          <w:szCs w:val="20"/>
          <w:lang w:val="en-AU" w:eastAsia="zh-CN"/>
        </w:rPr>
        <w:t xml:space="preserve"> </w:t>
      </w:r>
      <w:r w:rsidR="00400C45">
        <w:rPr>
          <w:rFonts w:eastAsia="SimSun"/>
          <w:color w:val="000000" w:themeColor="text1"/>
          <w:sz w:val="20"/>
          <w:szCs w:val="20"/>
          <w:lang w:val="en-AU" w:eastAsia="zh-CN"/>
        </w:rPr>
        <w:fldChar w:fldCharType="begin"/>
      </w:r>
      <w:r w:rsidR="00400C45">
        <w:rPr>
          <w:rFonts w:eastAsia="SimSun"/>
          <w:color w:val="000000" w:themeColor="text1"/>
          <w:sz w:val="20"/>
          <w:szCs w:val="20"/>
          <w:lang w:val="en-AU" w:eastAsia="zh-CN"/>
        </w:rPr>
        <w:instrText xml:space="preserve"> ADDIN ZOTERO_ITEM CSL_CITATION {"citationID":"yoMbzjGk","properties":{"unsorted":false,"formattedCitation":"[1]","plainCitation":"[1]","noteIndex":0},"citationItems":[{"id":344,"uris":["http://zotero.org/users/20280584/items/93PZ6R3K"],"itemData":{"id":344,"type":"report","citation-key":"DirectelectrificationofindustrialprocessheatAnassessmentoftechnologiespotentialsandfutureprospectsfortheEUpdf","publisher":"Fraunhofer ISI","title":"Direct electrification of industrial process heat. An assessment of technologies, potentials and future prospects for the EU","URL":"https://energyinnovation.org/wp-content/uploads/Direct-electrification-of-industrial-process-heat.-An-assessment-of-technologies-potentials-and-future-prospects-for-the-EU.pdf","author":[{"literal":"Matthias Rehfeldt"},{"literal":"Simon Bußmann"},{"literal":"Tobias Fleiter"},{"literal":"Jeffrey Rissman"}],"accessed":{"date-parts":[["2026",7,27]]},"issued":{"date-parts":[["2024"]]}}}],"schema":"https://github.com/citation-style-language/schema/raw/master/csl-citation.json"} </w:instrText>
      </w:r>
      <w:r w:rsidR="00400C45">
        <w:rPr>
          <w:rFonts w:eastAsia="SimSun"/>
          <w:color w:val="000000" w:themeColor="text1"/>
          <w:sz w:val="20"/>
          <w:szCs w:val="20"/>
          <w:lang w:val="en-AU" w:eastAsia="zh-CN"/>
        </w:rPr>
        <w:fldChar w:fldCharType="separate"/>
      </w:r>
      <w:r w:rsidR="00CE4290">
        <w:rPr>
          <w:rFonts w:eastAsia="SimSun"/>
          <w:noProof/>
          <w:color w:val="000000" w:themeColor="text1"/>
          <w:sz w:val="20"/>
          <w:szCs w:val="20"/>
          <w:lang w:val="en-AU" w:eastAsia="zh-CN"/>
        </w:rPr>
        <w:t>[1]</w:t>
      </w:r>
      <w:r w:rsidR="00400C45">
        <w:rPr>
          <w:rFonts w:eastAsia="SimSun"/>
          <w:color w:val="000000" w:themeColor="text1"/>
          <w:sz w:val="20"/>
          <w:szCs w:val="20"/>
          <w:lang w:val="en-AU" w:eastAsia="zh-CN"/>
        </w:rPr>
        <w:fldChar w:fldCharType="end"/>
      </w:r>
      <w:r w:rsidR="00400C45">
        <w:rPr>
          <w:rFonts w:eastAsia="SimSun"/>
          <w:color w:val="000000" w:themeColor="text1"/>
          <w:sz w:val="20"/>
          <w:szCs w:val="20"/>
          <w:lang w:val="en-AU" w:eastAsia="zh-CN"/>
        </w:rPr>
        <w:t>.</w:t>
      </w:r>
    </w:p>
    <w:p w14:paraId="20B31506" w14:textId="5E7FD9E2" w:rsidR="00862A0A" w:rsidRDefault="000B2A9C" w:rsidP="0024023B">
      <w:pPr>
        <w:spacing w:after="240"/>
        <w:jc w:val="both"/>
        <w:rPr>
          <w:rFonts w:eastAsia="SimSun"/>
          <w:color w:val="000000" w:themeColor="text1"/>
          <w:sz w:val="20"/>
          <w:szCs w:val="20"/>
          <w:lang w:val="en-AU" w:eastAsia="zh-CN"/>
        </w:rPr>
      </w:pPr>
      <w:r>
        <w:rPr>
          <w:rFonts w:eastAsia="SimSun"/>
          <w:color w:val="000000" w:themeColor="text1"/>
          <w:sz w:val="20"/>
          <w:szCs w:val="20"/>
          <w:lang w:val="en-AU" w:eastAsia="zh-CN"/>
        </w:rPr>
        <w:t xml:space="preserve">Different technologies are already available to electrify process heat </w:t>
      </w:r>
      <w:r w:rsidR="00FF3837">
        <w:rPr>
          <w:rFonts w:eastAsia="SimSun"/>
          <w:color w:val="000000" w:themeColor="text1"/>
          <w:sz w:val="20"/>
          <w:szCs w:val="20"/>
          <w:lang w:val="en-AU" w:eastAsia="zh-CN"/>
        </w:rPr>
        <w:t>across</w:t>
      </w:r>
      <w:r>
        <w:rPr>
          <w:rFonts w:eastAsia="SimSun"/>
          <w:color w:val="000000" w:themeColor="text1"/>
          <w:sz w:val="20"/>
          <w:szCs w:val="20"/>
          <w:lang w:val="en-AU" w:eastAsia="zh-CN"/>
        </w:rPr>
        <w:t xml:space="preserve"> different temperature heat bands such as heat pumps, industrial heat batteries, electric boilers, </w:t>
      </w:r>
      <w:r w:rsidR="00297134">
        <w:rPr>
          <w:rFonts w:eastAsia="SimSun"/>
          <w:color w:val="000000" w:themeColor="text1"/>
          <w:sz w:val="20"/>
          <w:szCs w:val="20"/>
          <w:lang w:val="en-AU" w:eastAsia="zh-CN"/>
        </w:rPr>
        <w:t xml:space="preserve">and </w:t>
      </w:r>
      <w:r>
        <w:rPr>
          <w:rFonts w:eastAsia="SimSun"/>
          <w:color w:val="000000" w:themeColor="text1"/>
          <w:sz w:val="20"/>
          <w:szCs w:val="20"/>
          <w:lang w:val="en-AU" w:eastAsia="zh-CN"/>
        </w:rPr>
        <w:t xml:space="preserve">electric arc furnaces. </w:t>
      </w:r>
      <w:r w:rsidR="00031E53">
        <w:rPr>
          <w:rFonts w:eastAsia="SimSun"/>
          <w:color w:val="000000" w:themeColor="text1"/>
          <w:sz w:val="20"/>
          <w:szCs w:val="20"/>
          <w:lang w:val="en-AU" w:eastAsia="zh-CN"/>
        </w:rPr>
        <w:t>While industrial heat pumps are commercially available</w:t>
      </w:r>
      <w:r w:rsidR="009D0BE5">
        <w:rPr>
          <w:rFonts w:eastAsia="SimSun"/>
          <w:color w:val="000000" w:themeColor="text1"/>
          <w:sz w:val="20"/>
          <w:szCs w:val="20"/>
          <w:lang w:val="en-AU" w:eastAsia="zh-CN"/>
        </w:rPr>
        <w:t xml:space="preserve"> and highly efficient</w:t>
      </w:r>
      <w:r w:rsidR="00031E53">
        <w:rPr>
          <w:rFonts w:eastAsia="SimSun"/>
          <w:color w:val="000000" w:themeColor="text1"/>
          <w:sz w:val="20"/>
          <w:szCs w:val="20"/>
          <w:lang w:val="en-AU" w:eastAsia="zh-CN"/>
        </w:rPr>
        <w:t>,</w:t>
      </w:r>
      <w:r w:rsidR="00F66D09">
        <w:rPr>
          <w:rFonts w:eastAsia="SimSun"/>
          <w:color w:val="000000" w:themeColor="text1"/>
          <w:sz w:val="20"/>
          <w:szCs w:val="20"/>
          <w:lang w:val="en-AU" w:eastAsia="zh-CN"/>
        </w:rPr>
        <w:t xml:space="preserve"> </w:t>
      </w:r>
      <w:r w:rsidR="00182912">
        <w:rPr>
          <w:rFonts w:eastAsia="SimSun"/>
          <w:color w:val="000000" w:themeColor="text1"/>
          <w:sz w:val="20"/>
          <w:szCs w:val="20"/>
          <w:lang w:val="en-AU" w:eastAsia="zh-CN"/>
        </w:rPr>
        <w:t>they</w:t>
      </w:r>
      <w:r w:rsidR="00031E53">
        <w:rPr>
          <w:rFonts w:eastAsia="SimSun"/>
          <w:color w:val="000000" w:themeColor="text1"/>
          <w:sz w:val="20"/>
          <w:szCs w:val="20"/>
          <w:lang w:val="en-AU" w:eastAsia="zh-CN"/>
        </w:rPr>
        <w:t xml:space="preserve"> can only provide heat up to 200°C</w:t>
      </w:r>
      <w:r w:rsidR="00056CA6">
        <w:rPr>
          <w:rFonts w:eastAsia="SimSun"/>
          <w:color w:val="000000" w:themeColor="text1"/>
          <w:sz w:val="20"/>
          <w:szCs w:val="20"/>
          <w:lang w:val="en-AU" w:eastAsia="zh-CN"/>
        </w:rPr>
        <w:t xml:space="preserve"> </w:t>
      </w:r>
      <w:r w:rsidR="001B7BB8">
        <w:rPr>
          <w:rFonts w:eastAsia="SimSun"/>
          <w:color w:val="000000" w:themeColor="text1"/>
          <w:sz w:val="20"/>
          <w:szCs w:val="20"/>
          <w:lang w:val="en-AU" w:eastAsia="zh-CN"/>
        </w:rPr>
        <w:fldChar w:fldCharType="begin"/>
      </w:r>
      <w:r w:rsidR="001B7BB8">
        <w:rPr>
          <w:rFonts w:eastAsia="SimSun"/>
          <w:color w:val="000000" w:themeColor="text1"/>
          <w:sz w:val="20"/>
          <w:szCs w:val="20"/>
          <w:lang w:val="en-AU" w:eastAsia="zh-CN"/>
        </w:rPr>
        <w:instrText xml:space="preserve"> ADDIN ZOTERO_ITEM CSL_CITATION {"citationID":"UMDGlPQG","properties":{"unsorted":false,"formattedCitation":"[3]","plainCitation":"[3]","noteIndex":0},"citationItems":[{"id":376,"uris":["http://zotero.org/users/20280584/items/FZF3XFIV"],"itemData":{"id":376,"type":"webpage","abstract":"Renewables for Industry - Analysis and key findings. A report by the International Energy Agency.","citation-key":"ExecutiveSummaryRenewables","container-title":"IEA","language":"en-GB","title":"Executive summary – Renewables for Industry – Analysis","URL":"https://www.iea.org/reports/renewables-for-industry/executive-summary","accessed":{"date-parts":[["2026",8,10]]}}}],"schema":"https://github.com/citation-style-language/schema/raw/master/csl-citation.json"} </w:instrText>
      </w:r>
      <w:r w:rsidR="001B7BB8">
        <w:rPr>
          <w:rFonts w:eastAsia="SimSun"/>
          <w:color w:val="000000" w:themeColor="text1"/>
          <w:sz w:val="20"/>
          <w:szCs w:val="20"/>
          <w:lang w:val="en-AU" w:eastAsia="zh-CN"/>
        </w:rPr>
        <w:fldChar w:fldCharType="separate"/>
      </w:r>
      <w:r w:rsidR="00CE4290">
        <w:rPr>
          <w:rFonts w:eastAsia="SimSun"/>
          <w:noProof/>
          <w:color w:val="000000" w:themeColor="text1"/>
          <w:sz w:val="20"/>
          <w:szCs w:val="20"/>
          <w:lang w:val="en-AU" w:eastAsia="zh-CN"/>
        </w:rPr>
        <w:t>[3]</w:t>
      </w:r>
      <w:r w:rsidR="001B7BB8">
        <w:rPr>
          <w:rFonts w:eastAsia="SimSun"/>
          <w:color w:val="000000" w:themeColor="text1"/>
          <w:sz w:val="20"/>
          <w:szCs w:val="20"/>
          <w:lang w:val="en-AU" w:eastAsia="zh-CN"/>
        </w:rPr>
        <w:fldChar w:fldCharType="end"/>
      </w:r>
      <w:r w:rsidR="00031E53">
        <w:rPr>
          <w:rFonts w:eastAsia="SimSun"/>
          <w:color w:val="000000" w:themeColor="text1"/>
          <w:sz w:val="20"/>
          <w:szCs w:val="20"/>
          <w:lang w:val="en-AU" w:eastAsia="zh-CN"/>
        </w:rPr>
        <w:t>. Heat batteries</w:t>
      </w:r>
      <w:r w:rsidR="00734076">
        <w:rPr>
          <w:rFonts w:eastAsia="SimSun"/>
          <w:color w:val="000000" w:themeColor="text1"/>
          <w:sz w:val="20"/>
          <w:szCs w:val="20"/>
          <w:lang w:val="en-AU" w:eastAsia="zh-CN"/>
        </w:rPr>
        <w:t xml:space="preserve"> </w:t>
      </w:r>
      <w:r w:rsidR="004866F7">
        <w:rPr>
          <w:rFonts w:eastAsia="SimSun"/>
          <w:color w:val="000000" w:themeColor="text1"/>
          <w:sz w:val="20"/>
          <w:szCs w:val="20"/>
          <w:lang w:val="en-AU" w:eastAsia="zh-CN"/>
        </w:rPr>
        <w:t>(</w:t>
      </w:r>
      <w:r w:rsidR="00031E53">
        <w:rPr>
          <w:rFonts w:eastAsia="SimSun"/>
          <w:color w:val="000000" w:themeColor="text1"/>
          <w:sz w:val="20"/>
          <w:szCs w:val="20"/>
          <w:lang w:val="en-AU" w:eastAsia="zh-CN"/>
        </w:rPr>
        <w:t>thermal storage</w:t>
      </w:r>
      <w:r w:rsidR="004866F7">
        <w:rPr>
          <w:rFonts w:eastAsia="SimSun"/>
          <w:color w:val="000000" w:themeColor="text1"/>
          <w:sz w:val="20"/>
          <w:szCs w:val="20"/>
          <w:lang w:val="en-AU" w:eastAsia="zh-CN"/>
        </w:rPr>
        <w:t>) are</w:t>
      </w:r>
      <w:r w:rsidR="00031E53">
        <w:rPr>
          <w:rFonts w:eastAsia="SimSun"/>
          <w:color w:val="000000" w:themeColor="text1"/>
          <w:sz w:val="20"/>
          <w:szCs w:val="20"/>
          <w:lang w:val="en-AU" w:eastAsia="zh-CN"/>
        </w:rPr>
        <w:t xml:space="preserve"> a recent technology that </w:t>
      </w:r>
      <w:r w:rsidR="00EA1657">
        <w:rPr>
          <w:rFonts w:eastAsia="SimSun"/>
          <w:color w:val="000000" w:themeColor="text1"/>
          <w:sz w:val="20"/>
          <w:szCs w:val="20"/>
          <w:lang w:val="en-AU" w:eastAsia="zh-CN"/>
        </w:rPr>
        <w:t xml:space="preserve">are specified to </w:t>
      </w:r>
      <w:r w:rsidR="00031E53">
        <w:rPr>
          <w:rFonts w:eastAsia="SimSun"/>
          <w:color w:val="000000" w:themeColor="text1"/>
          <w:sz w:val="20"/>
          <w:szCs w:val="20"/>
          <w:lang w:val="en-AU" w:eastAsia="zh-CN"/>
        </w:rPr>
        <w:t>provide heat up to 1</w:t>
      </w:r>
      <w:r w:rsidR="008A443E">
        <w:rPr>
          <w:rFonts w:eastAsia="SimSun"/>
          <w:color w:val="000000" w:themeColor="text1"/>
          <w:sz w:val="20"/>
          <w:szCs w:val="20"/>
          <w:lang w:val="en-AU" w:eastAsia="zh-CN"/>
        </w:rPr>
        <w:t>5</w:t>
      </w:r>
      <w:r w:rsidR="00031E53">
        <w:rPr>
          <w:rFonts w:eastAsia="SimSun"/>
          <w:color w:val="000000" w:themeColor="text1"/>
          <w:sz w:val="20"/>
          <w:szCs w:val="20"/>
          <w:lang w:val="en-AU" w:eastAsia="zh-CN"/>
        </w:rPr>
        <w:t xml:space="preserve">00°C, reaching temperatures needed for </w:t>
      </w:r>
      <w:r w:rsidR="00013A13">
        <w:rPr>
          <w:rFonts w:eastAsia="SimSun"/>
          <w:color w:val="000000" w:themeColor="text1"/>
          <w:sz w:val="20"/>
          <w:szCs w:val="20"/>
          <w:lang w:val="en-AU" w:eastAsia="zh-CN"/>
        </w:rPr>
        <w:t xml:space="preserve">hard to abate industries such as </w:t>
      </w:r>
      <w:r w:rsidR="00031E53">
        <w:rPr>
          <w:rFonts w:eastAsia="SimSun"/>
          <w:color w:val="000000" w:themeColor="text1"/>
          <w:sz w:val="20"/>
          <w:szCs w:val="20"/>
          <w:lang w:val="en-AU" w:eastAsia="zh-CN"/>
        </w:rPr>
        <w:t xml:space="preserve">iron and steel and </w:t>
      </w:r>
      <w:r w:rsidR="00E72981">
        <w:rPr>
          <w:rFonts w:eastAsia="SimSun"/>
          <w:color w:val="000000" w:themeColor="text1"/>
          <w:sz w:val="20"/>
          <w:szCs w:val="20"/>
          <w:lang w:val="en-AU" w:eastAsia="zh-CN"/>
        </w:rPr>
        <w:t xml:space="preserve">the </w:t>
      </w:r>
      <w:r w:rsidR="00031E53">
        <w:rPr>
          <w:rFonts w:eastAsia="SimSun"/>
          <w:color w:val="000000" w:themeColor="text1"/>
          <w:sz w:val="20"/>
          <w:szCs w:val="20"/>
          <w:lang w:val="en-AU" w:eastAsia="zh-CN"/>
        </w:rPr>
        <w:t>chemical sectors</w:t>
      </w:r>
      <w:r w:rsidR="00B527D4">
        <w:rPr>
          <w:rFonts w:eastAsia="SimSun"/>
          <w:color w:val="000000" w:themeColor="text1"/>
          <w:sz w:val="20"/>
          <w:szCs w:val="20"/>
          <w:lang w:val="en-AU" w:eastAsia="zh-CN"/>
        </w:rPr>
        <w:t xml:space="preserve"> </w:t>
      </w:r>
      <w:r w:rsidR="008A443E">
        <w:rPr>
          <w:rFonts w:eastAsia="SimSun"/>
          <w:color w:val="000000" w:themeColor="text1"/>
          <w:sz w:val="20"/>
          <w:szCs w:val="20"/>
          <w:lang w:val="en-AU" w:eastAsia="zh-CN"/>
        </w:rPr>
        <w:fldChar w:fldCharType="begin"/>
      </w:r>
      <w:r w:rsidR="008A443E">
        <w:rPr>
          <w:rFonts w:eastAsia="SimSun"/>
          <w:color w:val="000000" w:themeColor="text1"/>
          <w:sz w:val="20"/>
          <w:szCs w:val="20"/>
          <w:lang w:val="en-AU" w:eastAsia="zh-CN"/>
        </w:rPr>
        <w:instrText xml:space="preserve"> ADDIN ZOTERO_ITEM CSL_CITATION {"citationID":"wCnUeD0t","properties":{"unsorted":false,"formattedCitation":"[4]","plainCitation":"[4]","noteIndex":0},"citationItems":[{"id":345,"uris":["http://zotero.org/users/20280584/items/7UQ9VA2J"],"itemData":{"id":345,"type":"webpage","abstract":"Low-cost, zero-emission industrial heat and power. The Rondo Heat Battery uses electric heating elements, like those in a toaster or oven, to turn power when it’s available into high-temperature heat.","citation-key":"HowItWorks","language":"en","title":"How It Works - Rondo Energy","URL":"https://www.rondo.com/how-it-works","accessed":{"date-parts":[["2026",7,27]]}}}],"schema":"https://github.com/citation-style-language/schema/raw/master/csl-citation.json"} </w:instrText>
      </w:r>
      <w:r w:rsidR="008A443E">
        <w:rPr>
          <w:rFonts w:eastAsia="SimSun"/>
          <w:color w:val="000000" w:themeColor="text1"/>
          <w:sz w:val="20"/>
          <w:szCs w:val="20"/>
          <w:lang w:val="en-AU" w:eastAsia="zh-CN"/>
        </w:rPr>
        <w:fldChar w:fldCharType="separate"/>
      </w:r>
      <w:r w:rsidR="008A443E">
        <w:rPr>
          <w:rFonts w:eastAsia="SimSun"/>
          <w:noProof/>
          <w:color w:val="000000" w:themeColor="text1"/>
          <w:sz w:val="20"/>
          <w:szCs w:val="20"/>
          <w:lang w:val="en-AU" w:eastAsia="zh-CN"/>
        </w:rPr>
        <w:t>[4]</w:t>
      </w:r>
      <w:r w:rsidR="008A443E">
        <w:rPr>
          <w:rFonts w:eastAsia="SimSun"/>
          <w:color w:val="000000" w:themeColor="text1"/>
          <w:sz w:val="20"/>
          <w:szCs w:val="20"/>
          <w:lang w:val="en-AU" w:eastAsia="zh-CN"/>
        </w:rPr>
        <w:fldChar w:fldCharType="end"/>
      </w:r>
      <w:r w:rsidR="00031E53">
        <w:rPr>
          <w:rFonts w:eastAsia="SimSun"/>
          <w:color w:val="000000" w:themeColor="text1"/>
          <w:sz w:val="20"/>
          <w:szCs w:val="20"/>
          <w:lang w:val="en-AU" w:eastAsia="zh-CN"/>
        </w:rPr>
        <w:t xml:space="preserve">. </w:t>
      </w:r>
      <w:r w:rsidR="004F16CE">
        <w:rPr>
          <w:rFonts w:eastAsia="SimSun"/>
          <w:color w:val="000000" w:themeColor="text1"/>
          <w:sz w:val="20"/>
          <w:szCs w:val="20"/>
          <w:lang w:val="en-AU" w:eastAsia="zh-CN"/>
        </w:rPr>
        <w:t xml:space="preserve">Renewable generation </w:t>
      </w:r>
      <w:r w:rsidR="009523B6">
        <w:rPr>
          <w:rFonts w:eastAsia="SimSun"/>
          <w:color w:val="000000" w:themeColor="text1"/>
          <w:sz w:val="20"/>
          <w:szCs w:val="20"/>
          <w:lang w:val="en-AU" w:eastAsia="zh-CN"/>
        </w:rPr>
        <w:t xml:space="preserve">using solar panels </w:t>
      </w:r>
      <w:r w:rsidR="004F16CE">
        <w:rPr>
          <w:rFonts w:eastAsia="SimSun"/>
          <w:color w:val="000000" w:themeColor="text1"/>
          <w:sz w:val="20"/>
          <w:szCs w:val="20"/>
          <w:lang w:val="en-AU" w:eastAsia="zh-CN"/>
        </w:rPr>
        <w:t xml:space="preserve">paired with </w:t>
      </w:r>
      <w:r w:rsidR="00862A0A">
        <w:rPr>
          <w:rFonts w:eastAsia="SimSun"/>
          <w:color w:val="000000" w:themeColor="text1"/>
          <w:sz w:val="20"/>
          <w:szCs w:val="20"/>
          <w:lang w:val="en-AU" w:eastAsia="zh-CN"/>
        </w:rPr>
        <w:t>heat pump and heat battery</w:t>
      </w:r>
      <w:r>
        <w:rPr>
          <w:rFonts w:eastAsia="SimSun"/>
          <w:color w:val="000000" w:themeColor="text1"/>
          <w:sz w:val="20"/>
          <w:szCs w:val="20"/>
          <w:lang w:val="en-AU" w:eastAsia="zh-CN"/>
        </w:rPr>
        <w:t xml:space="preserve"> is </w:t>
      </w:r>
      <w:r w:rsidR="008610F8">
        <w:rPr>
          <w:rFonts w:eastAsia="SimSun"/>
          <w:color w:val="000000" w:themeColor="text1"/>
          <w:sz w:val="20"/>
          <w:szCs w:val="20"/>
          <w:lang w:val="en-AU" w:eastAsia="zh-CN"/>
        </w:rPr>
        <w:t>a potential</w:t>
      </w:r>
      <w:r>
        <w:rPr>
          <w:rFonts w:eastAsia="SimSun"/>
          <w:color w:val="000000" w:themeColor="text1"/>
          <w:sz w:val="20"/>
          <w:szCs w:val="20"/>
          <w:lang w:val="en-AU" w:eastAsia="zh-CN"/>
        </w:rPr>
        <w:t xml:space="preserve"> pathway to reduce carbon emissions and increase efficiency</w:t>
      </w:r>
      <w:r w:rsidR="00056CA6">
        <w:rPr>
          <w:rFonts w:eastAsia="SimSun"/>
          <w:color w:val="000000" w:themeColor="text1"/>
          <w:sz w:val="20"/>
          <w:szCs w:val="20"/>
          <w:lang w:val="en-AU" w:eastAsia="zh-CN"/>
        </w:rPr>
        <w:t xml:space="preserve"> </w:t>
      </w:r>
      <w:r w:rsidR="00862A0A">
        <w:rPr>
          <w:rFonts w:eastAsia="SimSun"/>
          <w:color w:val="000000" w:themeColor="text1"/>
          <w:sz w:val="20"/>
          <w:szCs w:val="20"/>
          <w:lang w:val="en-AU" w:eastAsia="zh-CN"/>
        </w:rPr>
        <w:fldChar w:fldCharType="begin"/>
      </w:r>
      <w:r w:rsidR="008A443E">
        <w:rPr>
          <w:rFonts w:eastAsia="SimSun"/>
          <w:color w:val="000000" w:themeColor="text1"/>
          <w:sz w:val="20"/>
          <w:szCs w:val="20"/>
          <w:lang w:val="en-AU" w:eastAsia="zh-CN"/>
        </w:rPr>
        <w:instrText xml:space="preserve"> ADDIN ZOTERO_ITEM CSL_CITATION {"citationID":"0aXFamLF","properties":{"unsorted":false,"formattedCitation":"[5]","plainCitation":"[5]","noteIndex":0},"citationItems":[{"id":378,"uris":["http://zotero.org/users/20280584/items/HISGJ5P7"],"itemData":{"id":378,"type":"article-journal","abstract":"Process heat accounts for roughly half of industrial energy demand, and currently 95 % of process heat is derived from the combustion of natural gas, oil, and coal. Electrification of industrial heating could be an alternative, potentially expanding locations suitable for manufacturing; however, industrial facility owners may desire energy storage to stabilize energy costs. In this work, the economic benefits of pairing thermal storage with electrified process heat to reduce the average price paid for energy are analyzed. Cost savings focus on energy arbitrage, or leveraging flexible energy pricing schemes, alone. The cost of natural gas combustion across decades (2019–2060) is compared to the costs of electricity and thermal energy storage in four United States Independent System Operator (ISO) regions. Systems installed today may not yield positive net present value (NPV) compared to the use of natural gas. However, using estimated electricity prices, systems installed in 2030 using arbitrage alone could be profitable when compared to natural gas in some regions of the U.S. Furthermore, if capital expenditures could be reduced by 50 % for sensible thermal storage systems by 2030, profitable systems are found across all regions. This implies that electrification of industrial process heat, when paired with inexpensive thermal energy storage systems, could be less expensive than brownfield natural gas systems, using arbitrage as the only source of revenue and without a dependency on any future policy drivers such as pricing externalities that could further incentivize the electrification of industrial process heat.","citation-key":"wikoffBenchmarkingThermalEnergy2025","container-title":"Applied Energy","DOI":"10.1016/j.apenergy.2025.126873","ISSN":"0306-2619","journalAbbreviation":"Applied Energy","page":"126873","source":"ScienceDirect","title":"Benchmarking thermal energy storage cost for industrial process heat","volume":"402","author":[{"family":"Wikoff","given":"Hope M."},{"family":"Garfield","given":"David"},{"family":"Hwang","given":"Shannon"},{"family":"Ribo","given":"Macarena Mendez"},{"family":"Ruth","given":"Mark"},{"family":"Reese","given":"Samantha B."}],"issued":{"date-parts":[["2025",12,15]]}}}],"schema":"https://github.com/citation-style-language/schema/raw/master/csl-citation.json"} </w:instrText>
      </w:r>
      <w:r w:rsidR="00862A0A">
        <w:rPr>
          <w:rFonts w:eastAsia="SimSun"/>
          <w:color w:val="000000" w:themeColor="text1"/>
          <w:sz w:val="20"/>
          <w:szCs w:val="20"/>
          <w:lang w:val="en-AU" w:eastAsia="zh-CN"/>
        </w:rPr>
        <w:fldChar w:fldCharType="separate"/>
      </w:r>
      <w:r w:rsidR="008A443E">
        <w:rPr>
          <w:rFonts w:eastAsia="SimSun"/>
          <w:noProof/>
          <w:color w:val="000000" w:themeColor="text1"/>
          <w:sz w:val="20"/>
          <w:szCs w:val="20"/>
          <w:lang w:val="en-AU" w:eastAsia="zh-CN"/>
        </w:rPr>
        <w:t>[5]</w:t>
      </w:r>
      <w:r w:rsidR="00862A0A">
        <w:rPr>
          <w:rFonts w:eastAsia="SimSun"/>
          <w:color w:val="000000" w:themeColor="text1"/>
          <w:sz w:val="20"/>
          <w:szCs w:val="20"/>
          <w:lang w:val="en-AU" w:eastAsia="zh-CN"/>
        </w:rPr>
        <w:fldChar w:fldCharType="end"/>
      </w:r>
      <w:r w:rsidR="00862A0A">
        <w:rPr>
          <w:rFonts w:eastAsia="SimSun"/>
          <w:color w:val="000000" w:themeColor="text1"/>
          <w:sz w:val="20"/>
          <w:szCs w:val="20"/>
          <w:lang w:val="en-AU" w:eastAsia="zh-CN"/>
        </w:rPr>
        <w:t>.</w:t>
      </w:r>
      <w:r>
        <w:rPr>
          <w:rFonts w:eastAsia="SimSun"/>
          <w:color w:val="000000" w:themeColor="text1"/>
          <w:sz w:val="20"/>
          <w:szCs w:val="20"/>
          <w:lang w:val="en-AU" w:eastAsia="zh-CN"/>
        </w:rPr>
        <w:t xml:space="preserve"> </w:t>
      </w:r>
      <w:r w:rsidR="00CE37B6">
        <w:rPr>
          <w:rFonts w:eastAsia="SimSun"/>
          <w:color w:val="000000" w:themeColor="text1"/>
          <w:sz w:val="20"/>
          <w:szCs w:val="20"/>
          <w:lang w:val="en-AU" w:eastAsia="zh-CN"/>
        </w:rPr>
        <w:t>These technologies can generate replaceable process heat</w:t>
      </w:r>
      <w:r w:rsidR="00627748">
        <w:rPr>
          <w:rFonts w:eastAsia="SimSun"/>
          <w:color w:val="000000" w:themeColor="text1"/>
          <w:sz w:val="20"/>
          <w:szCs w:val="20"/>
          <w:lang w:val="en-AU" w:eastAsia="zh-CN"/>
        </w:rPr>
        <w:t>,</w:t>
      </w:r>
      <w:r w:rsidR="00CE37B6">
        <w:rPr>
          <w:rFonts w:eastAsia="SimSun"/>
          <w:color w:val="000000" w:themeColor="text1"/>
          <w:sz w:val="20"/>
          <w:szCs w:val="20"/>
          <w:lang w:val="en-AU" w:eastAsia="zh-CN"/>
        </w:rPr>
        <w:t xml:space="preserve"> heat that is generated with </w:t>
      </w:r>
      <w:r w:rsidR="007E64E7">
        <w:rPr>
          <w:rFonts w:eastAsia="SimSun"/>
          <w:color w:val="000000" w:themeColor="text1"/>
          <w:sz w:val="20"/>
          <w:szCs w:val="20"/>
          <w:lang w:val="en-AU" w:eastAsia="zh-CN"/>
        </w:rPr>
        <w:t xml:space="preserve">fossil fuel. </w:t>
      </w:r>
    </w:p>
    <w:p w14:paraId="3D1BDCD2" w14:textId="24321690" w:rsidR="007A5B34" w:rsidRPr="00862A0A" w:rsidRDefault="006B67D5" w:rsidP="0024023B">
      <w:pPr>
        <w:spacing w:after="240"/>
        <w:jc w:val="both"/>
        <w:rPr>
          <w:rFonts w:eastAsia="SimSun"/>
          <w:color w:val="000000" w:themeColor="text1"/>
          <w:sz w:val="20"/>
          <w:szCs w:val="20"/>
          <w:lang w:val="en-AU" w:eastAsia="zh-CN"/>
        </w:rPr>
      </w:pPr>
      <w:r>
        <w:rPr>
          <w:color w:val="000000" w:themeColor="text1"/>
          <w:sz w:val="20"/>
          <w:szCs w:val="20"/>
        </w:rPr>
        <w:t>Europe is facing challenges in energy security due to the reliance o</w:t>
      </w:r>
      <w:r w:rsidR="00927CF2">
        <w:rPr>
          <w:color w:val="000000" w:themeColor="text1"/>
          <w:sz w:val="20"/>
          <w:szCs w:val="20"/>
        </w:rPr>
        <w:t>n</w:t>
      </w:r>
      <w:r>
        <w:rPr>
          <w:color w:val="000000" w:themeColor="text1"/>
          <w:sz w:val="20"/>
          <w:szCs w:val="20"/>
        </w:rPr>
        <w:t xml:space="preserve"> international gas imports</w:t>
      </w:r>
      <w:r w:rsidR="00056CA6">
        <w:rPr>
          <w:color w:val="000000" w:themeColor="text1"/>
          <w:sz w:val="20"/>
          <w:szCs w:val="20"/>
        </w:rPr>
        <w:t xml:space="preserve"> </w:t>
      </w:r>
      <w:r w:rsidR="00A57A5B">
        <w:rPr>
          <w:color w:val="000000" w:themeColor="text1"/>
          <w:sz w:val="20"/>
          <w:szCs w:val="20"/>
        </w:rPr>
        <w:fldChar w:fldCharType="begin"/>
      </w:r>
      <w:r w:rsidR="00A4256E">
        <w:rPr>
          <w:color w:val="000000" w:themeColor="text1"/>
          <w:sz w:val="20"/>
          <w:szCs w:val="20"/>
        </w:rPr>
        <w:instrText xml:space="preserve"> ADDIN ZOTERO_ITEM CSL_CITATION {"citationID":"2izbBkV9","properties":{"unsorted":false,"formattedCitation":"[6]","plainCitation":"[6]","noteIndex":0},"citationItems":[{"id":326,"uris":["http://zotero.org/users/20280584/items/G3VNLW6N"],"itemData":{"id":326,"type":"article-journal","citation-key":"rosenowOpportunitiesHeatElectrification","container-title":"Nature Reviews Clean Technology","DOI":"10.1038/s44359-025-00091-9","ISSN":"3005-0685","issue":"10","journalAbbreviation":"Nature Reviews Clean Technology","language":"en","page":"671-672","source":"Zotero","title":"Opportunities for heat electrification and energy efficiency in European industry","volume":"1","author":[{"family":"Rosenow","given":"Jan"},{"family":"Oxenaar","given":"Sem"}],"issued":{"date-parts":[["2025",10,1]]}}}],"schema":"https://github.com/citation-style-language/schema/raw/master/csl-citation.json"} </w:instrText>
      </w:r>
      <w:r w:rsidR="00A57A5B">
        <w:rPr>
          <w:color w:val="000000" w:themeColor="text1"/>
          <w:sz w:val="20"/>
          <w:szCs w:val="20"/>
        </w:rPr>
        <w:fldChar w:fldCharType="separate"/>
      </w:r>
      <w:r w:rsidR="00A4256E">
        <w:rPr>
          <w:noProof/>
          <w:color w:val="000000" w:themeColor="text1"/>
          <w:sz w:val="20"/>
          <w:szCs w:val="20"/>
        </w:rPr>
        <w:t>[6]</w:t>
      </w:r>
      <w:r w:rsidR="00A57A5B">
        <w:rPr>
          <w:color w:val="000000" w:themeColor="text1"/>
          <w:sz w:val="20"/>
          <w:szCs w:val="20"/>
        </w:rPr>
        <w:fldChar w:fldCharType="end"/>
      </w:r>
      <w:r>
        <w:rPr>
          <w:color w:val="000000" w:themeColor="text1"/>
          <w:sz w:val="20"/>
          <w:szCs w:val="20"/>
        </w:rPr>
        <w:t xml:space="preserve">. Diversifying energy sources and </w:t>
      </w:r>
      <w:r w:rsidR="0000008E">
        <w:rPr>
          <w:color w:val="000000" w:themeColor="text1"/>
          <w:sz w:val="20"/>
          <w:szCs w:val="20"/>
        </w:rPr>
        <w:t>utilising</w:t>
      </w:r>
      <w:r>
        <w:rPr>
          <w:color w:val="000000" w:themeColor="text1"/>
          <w:sz w:val="20"/>
          <w:szCs w:val="20"/>
        </w:rPr>
        <w:t xml:space="preserve"> renewable resources</w:t>
      </w:r>
      <w:r w:rsidR="00CC43E8">
        <w:rPr>
          <w:color w:val="000000" w:themeColor="text1"/>
          <w:sz w:val="20"/>
          <w:szCs w:val="20"/>
        </w:rPr>
        <w:t xml:space="preserve"> </w:t>
      </w:r>
      <w:r w:rsidR="006A46F2" w:rsidRPr="006A46F2">
        <w:rPr>
          <w:color w:val="000000" w:themeColor="text1"/>
          <w:sz w:val="20"/>
          <w:szCs w:val="20"/>
        </w:rPr>
        <w:t>can not only reduce dependence on gas imports but also allow</w:t>
      </w:r>
      <w:r>
        <w:rPr>
          <w:color w:val="000000" w:themeColor="text1"/>
          <w:sz w:val="20"/>
          <w:szCs w:val="20"/>
        </w:rPr>
        <w:t xml:space="preserve"> for quicker </w:t>
      </w:r>
      <w:r w:rsidR="00A66837">
        <w:rPr>
          <w:color w:val="000000" w:themeColor="text1"/>
          <w:sz w:val="20"/>
          <w:szCs w:val="20"/>
        </w:rPr>
        <w:t>decarbonis</w:t>
      </w:r>
      <w:r>
        <w:rPr>
          <w:color w:val="000000" w:themeColor="text1"/>
          <w:sz w:val="20"/>
          <w:szCs w:val="20"/>
        </w:rPr>
        <w:t xml:space="preserve">ation through electrification to meet EU climate goals. </w:t>
      </w:r>
    </w:p>
    <w:p w14:paraId="5288630C" w14:textId="7713A669" w:rsidR="000254D5" w:rsidRDefault="000B2A9C" w:rsidP="0024023B">
      <w:pPr>
        <w:spacing w:after="240"/>
        <w:jc w:val="both"/>
        <w:rPr>
          <w:rFonts w:eastAsia="SimSun"/>
          <w:color w:val="000000" w:themeColor="text1"/>
          <w:sz w:val="20"/>
          <w:szCs w:val="20"/>
          <w:lang w:val="en-AU" w:eastAsia="zh-CN"/>
        </w:rPr>
      </w:pPr>
      <w:r>
        <w:rPr>
          <w:rFonts w:eastAsia="SimSun"/>
          <w:color w:val="000000" w:themeColor="text1"/>
          <w:sz w:val="20"/>
          <w:szCs w:val="20"/>
          <w:lang w:val="en-AU" w:eastAsia="zh-CN"/>
        </w:rPr>
        <w:t xml:space="preserve">However, the progress to electrify process heat has been falling behind other sectors </w:t>
      </w:r>
      <w:r>
        <w:rPr>
          <w:rFonts w:eastAsia="SimSun"/>
          <w:color w:val="000000" w:themeColor="text1"/>
          <w:sz w:val="20"/>
          <w:szCs w:val="20"/>
          <w:lang w:val="en-AU" w:eastAsia="zh-CN"/>
        </w:rPr>
        <w:fldChar w:fldCharType="begin"/>
      </w:r>
      <w:r w:rsidR="00A4256E">
        <w:rPr>
          <w:rFonts w:eastAsia="SimSun"/>
          <w:color w:val="000000" w:themeColor="text1"/>
          <w:sz w:val="20"/>
          <w:szCs w:val="20"/>
          <w:lang w:val="en-AU" w:eastAsia="zh-CN"/>
        </w:rPr>
        <w:instrText xml:space="preserve"> ADDIN ZOTERO_ITEM CSL_CITATION {"citationID":"yahR8faS","properties":{"unsorted":false,"formattedCitation":"[7]","plainCitation":"[7]","noteIndex":0},"citationItems":[{"id":342,"uris":["http://zotero.org/users/20280584/items/H4BSST7L"],"itemData":{"id":342,"type":"article-journal","abstract":"Industrial electrification is vital for achieving net-zero climate targets due to its dual benefits: decarbonising energy use and improving energy efficiency. While sectors like transportation and space heating have seen substantial policy-driven progress, industrial electrification is lagging behind, with so far minimal uptake in process heating. Barriers such as economic, technical, knowledge and infrastructural challenges hinder broader adoption. This paper addresses the gap in research on industrial electrification policy by categorising instruments and analysing their implementation across 10 European nations. The study uses a mixed-methods approach, including a literature review and an expert survey. The research highlights an insufficient regulatory framework to drive industrial electrification and limited policymaker prioritisation of electrification of industry. While some countries have implemented comprehensive industrial electrification policies, including innovative instruments, most of the countries studied do not have a sufficiently robust policy framework.","citation-key":"rosenowHeatPolicySolutions2025","container-title":"Energy Research &amp; Social Science","DOI":"10.1016/j.erss.2025.104227","ISSN":"22146296","journalAbbreviation":"Energy Research &amp; Social Science","language":"en","page":"104227","source":"DOI.org (Crossref)","title":"The heat is on: Policy solutions for industrial electrification","title-short":"The heat is on","volume":"127","author":[{"family":"Rosenow","given":"Jan"},{"family":"Arpagaus","given":"Cordin"},{"family":"Lechtenböhmer","given":"Stefan"},{"family":"Oxenaar","given":"Sem"},{"family":"Pusceddu","given":"Elian"}],"issued":{"date-parts":[["2025",9]]}}}],"schema":"https://github.com/citation-style-language/schema/raw/master/csl-citation.json"} </w:instrText>
      </w:r>
      <w:r>
        <w:rPr>
          <w:rFonts w:eastAsia="SimSun"/>
          <w:color w:val="000000" w:themeColor="text1"/>
          <w:sz w:val="20"/>
          <w:szCs w:val="20"/>
          <w:lang w:val="en-AU" w:eastAsia="zh-CN"/>
        </w:rPr>
        <w:fldChar w:fldCharType="separate"/>
      </w:r>
      <w:r w:rsidR="00A4256E">
        <w:rPr>
          <w:rFonts w:eastAsia="SimSun"/>
          <w:noProof/>
          <w:color w:val="000000" w:themeColor="text1"/>
          <w:sz w:val="20"/>
          <w:szCs w:val="20"/>
          <w:lang w:val="en-AU" w:eastAsia="zh-CN"/>
        </w:rPr>
        <w:t>[7]</w:t>
      </w:r>
      <w:r>
        <w:rPr>
          <w:rFonts w:eastAsia="SimSun"/>
          <w:color w:val="000000" w:themeColor="text1"/>
          <w:sz w:val="20"/>
          <w:szCs w:val="20"/>
          <w:lang w:val="en-AU" w:eastAsia="zh-CN"/>
        </w:rPr>
        <w:fldChar w:fldCharType="end"/>
      </w:r>
      <w:r>
        <w:rPr>
          <w:rFonts w:eastAsia="SimSun"/>
          <w:color w:val="000000" w:themeColor="text1"/>
          <w:sz w:val="20"/>
          <w:szCs w:val="20"/>
          <w:lang w:val="en-AU" w:eastAsia="zh-CN"/>
        </w:rPr>
        <w:t xml:space="preserve">. Critical barriers to electrifying industrial heat include high electricity grid prices relative to gas </w:t>
      </w:r>
      <w:r>
        <w:rPr>
          <w:rFonts w:eastAsia="SimSun"/>
          <w:color w:val="000000" w:themeColor="text1"/>
          <w:sz w:val="20"/>
          <w:szCs w:val="20"/>
          <w:lang w:val="en-AU" w:eastAsia="zh-CN"/>
        </w:rPr>
        <w:fldChar w:fldCharType="begin"/>
      </w:r>
      <w:r w:rsidR="00A4256E">
        <w:rPr>
          <w:rFonts w:eastAsia="SimSun"/>
          <w:color w:val="000000" w:themeColor="text1"/>
          <w:sz w:val="20"/>
          <w:szCs w:val="20"/>
          <w:lang w:val="en-AU" w:eastAsia="zh-CN"/>
        </w:rPr>
        <w:instrText xml:space="preserve"> ADDIN ZOTERO_ITEM CSL_CITATION {"citationID":"6kDgvjgb","properties":{"unsorted":false,"formattedCitation":"[7]","plainCitation":"[7]","noteIndex":0},"citationItems":[{"id":342,"uris":["http://zotero.org/users/20280584/items/H4BSST7L"],"itemData":{"id":342,"type":"article-journal","abstract":"Industrial electrification is vital for achieving net-zero climate targets due to its dual benefits: decarbonising energy use and improving energy efficiency. While sectors like transportation and space heating have seen substantial policy-driven progress, industrial electrification is lagging behind, with so far minimal uptake in process heating. Barriers such as economic, technical, knowledge and infrastructural challenges hinder broader adoption. This paper addresses the gap in research on industrial electrification policy by categorising instruments and analysing their implementation across 10 European nations. The study uses a mixed-methods approach, including a literature review and an expert survey. The research highlights an insufficient regulatory framework to drive industrial electrification and limited policymaker prioritisation of electrification of industry. While some countries have implemented comprehensive industrial electrification policies, including innovative instruments, most of the countries studied do not have a sufficiently robust policy framework.","citation-key":"rosenowHeatPolicySolutions2025","container-title":"Energy Research &amp; Social Science","DOI":"10.1016/j.erss.2025.104227","ISSN":"22146296","journalAbbreviation":"Energy Research &amp; Social Science","language":"en","page":"104227","source":"DOI.org (Crossref)","title":"The heat is on: Policy solutions for industrial electrification","title-short":"The heat is on","volume":"127","author":[{"family":"Rosenow","given":"Jan"},{"family":"Arpagaus","given":"Cordin"},{"family":"Lechtenböhmer","given":"Stefan"},{"family":"Oxenaar","given":"Sem"},{"family":"Pusceddu","given":"Elian"}],"issued":{"date-parts":[["2025",9]]}}}],"schema":"https://github.com/citation-style-language/schema/raw/master/csl-citation.json"} </w:instrText>
      </w:r>
      <w:r>
        <w:rPr>
          <w:rFonts w:eastAsia="SimSun"/>
          <w:color w:val="000000" w:themeColor="text1"/>
          <w:sz w:val="20"/>
          <w:szCs w:val="20"/>
          <w:lang w:val="en-AU" w:eastAsia="zh-CN"/>
        </w:rPr>
        <w:fldChar w:fldCharType="separate"/>
      </w:r>
      <w:r w:rsidR="00A4256E">
        <w:rPr>
          <w:rFonts w:eastAsia="SimSun"/>
          <w:noProof/>
          <w:color w:val="000000" w:themeColor="text1"/>
          <w:sz w:val="20"/>
          <w:szCs w:val="20"/>
          <w:lang w:val="en-AU" w:eastAsia="zh-CN"/>
        </w:rPr>
        <w:t>[7]</w:t>
      </w:r>
      <w:r>
        <w:rPr>
          <w:rFonts w:eastAsia="SimSun"/>
          <w:color w:val="000000" w:themeColor="text1"/>
          <w:sz w:val="20"/>
          <w:szCs w:val="20"/>
          <w:lang w:val="en-AU" w:eastAsia="zh-CN"/>
        </w:rPr>
        <w:fldChar w:fldCharType="end"/>
      </w:r>
      <w:r>
        <w:rPr>
          <w:rFonts w:eastAsia="SimSun"/>
          <w:color w:val="000000" w:themeColor="text1"/>
          <w:sz w:val="20"/>
          <w:szCs w:val="20"/>
          <w:lang w:val="en-AU" w:eastAsia="zh-CN"/>
        </w:rPr>
        <w:t xml:space="preserve"> and long lead times to connect to the electricity grid</w:t>
      </w:r>
      <w:r w:rsidR="00056CA6">
        <w:rPr>
          <w:rFonts w:eastAsia="SimSun"/>
          <w:color w:val="000000" w:themeColor="text1"/>
          <w:sz w:val="20"/>
          <w:szCs w:val="20"/>
          <w:lang w:val="en-AU" w:eastAsia="zh-CN"/>
        </w:rPr>
        <w:t xml:space="preserve"> </w:t>
      </w:r>
      <w:r w:rsidR="00580A29">
        <w:rPr>
          <w:rFonts w:eastAsia="SimSun"/>
          <w:color w:val="000000" w:themeColor="text1"/>
          <w:sz w:val="20"/>
          <w:szCs w:val="20"/>
          <w:lang w:val="en-AU" w:eastAsia="zh-CN"/>
        </w:rPr>
        <w:fldChar w:fldCharType="begin"/>
      </w:r>
      <w:r w:rsidR="008A443E">
        <w:rPr>
          <w:rFonts w:eastAsia="SimSun"/>
          <w:color w:val="000000" w:themeColor="text1"/>
          <w:sz w:val="20"/>
          <w:szCs w:val="20"/>
          <w:lang w:val="en-AU" w:eastAsia="zh-CN"/>
        </w:rPr>
        <w:instrText xml:space="preserve"> ADDIN ZOTERO_ITEM CSL_CITATION {"citationID":"nWzFMKKW","properties":{"unsorted":false,"formattedCitation":"[9, 10]","plainCitation":"[9, 10]","dontUpdate":true,"noteIndex":0},"citationItems":[{"id":386,"uris":["http://zotero.org/users/20280584/items/SHEIV3NI"],"itemData":{"id":386,"type":"article-journal","abstract":"Industrial heat is a major source of U.S. emissions and is challenging to decarbonize due to the availability of low-cost natural gas keeping fossil fuel heating highly competitive. Emerging lowcost and efficient options such as thermal electric storage and industrial heat pumps offer a promising alternative when combined with local low-cost solar and wind power.","citation-key":"dominguezUSCanCostEffectively","language":"en","publisher":"India Energy and Climate Center, Goldman School of Public Policy, University of California, Berkeley","source":"Zotero","title":"U.S. Can Cost-Effectively Supply One Third of Industrial Heat Demand Using Off-Grid Electric Thermal Storage and Heat Pumps","URL":"https://gspp.berkeley.edu/assets/uploads/page/Integrating_Renewable_Energy_with_Industrial_Heat_Demand_(VF).pdf","author":[{"family":"Dominguez","given":"Jose"},{"family":"Paliwal","given":"Umed"},{"family":"Phadke","given":"Amol"}],"issued":{"date-parts":[["2026",4,1]]}}},{"id":363,"uris":["http://zotero.org/users/20280584/items/53DSS7K6"],"itemData":{"id":363,"type":"article-journal","abstract":"Data centers and large electricity loads are power hungry, raising concerns about higher electricity costs, increased emissions, and reliability risks. We show that co-locating solar+storage systems with underutilized natural gas plants offers a practical, near-term pathway for reliable, low-cost industrial power. Using eight years of hourly weather data, we co-optimize load and hybrid solar+storage+gas configurations at 68 existing plants near data center developments, meeting over 95% of demand with solar+storage. Across these sites, levelized costs range from $60-138/MWh, competitive with data centers’ recent contract prices for 24/7 clean power. Conflict analysis indicates minimal overlap between solar+storage backup needs and grid stress across most regions of the United States today, allowing gas units to provide dual roles: facilitating large load integration while supporting grid reliability. By optimizing existing infrastructure, this approach offers a scalable pathway to serve large loads, though realizing these benefits will require careful coordination amongst stakeholders.","citation-key":"chojkiewiczUtilizingNoncoincidentNeeds","language":"en","source":"Zotero","title":"Utilizing Noncoincident Needs to Site Data Centers with Solar+Storage at Existing Gas Plants","URL":"https://escholarship.org/uc/item/4kf8w5pc","author":[{"family":"Chojkiewicz","given":"Emilia"},{"family":"Manocha","given":"Aneesha"},{"family":"Paliwal","given":"Umed"},{"family":"Callaway","given":"Duncan"},{"family":"Phadke","given":"Amol"}],"issued":{"date-parts":[["2026",2,1]]}}}],"schema":"https://github.com/citation-style-language/schema/raw/master/csl-citation.json"} </w:instrText>
      </w:r>
      <w:r w:rsidR="00580A29">
        <w:rPr>
          <w:rFonts w:eastAsia="SimSun"/>
          <w:color w:val="000000" w:themeColor="text1"/>
          <w:sz w:val="20"/>
          <w:szCs w:val="20"/>
          <w:lang w:val="en-AU" w:eastAsia="zh-CN"/>
        </w:rPr>
        <w:fldChar w:fldCharType="separate"/>
      </w:r>
      <w:r w:rsidR="00CE4290">
        <w:rPr>
          <w:rFonts w:eastAsia="SimSun"/>
          <w:noProof/>
          <w:color w:val="000000" w:themeColor="text1"/>
          <w:sz w:val="20"/>
          <w:szCs w:val="20"/>
          <w:lang w:val="en-AU" w:eastAsia="zh-CN"/>
        </w:rPr>
        <w:t>[9</w:t>
      </w:r>
      <w:r w:rsidR="0054669B">
        <w:rPr>
          <w:rFonts w:eastAsia="SimSun"/>
          <w:noProof/>
          <w:color w:val="000000" w:themeColor="text1"/>
          <w:sz w:val="20"/>
          <w:szCs w:val="20"/>
          <w:lang w:val="en-AU" w:eastAsia="zh-CN"/>
        </w:rPr>
        <w:t>]</w:t>
      </w:r>
      <w:r w:rsidR="00CE4290">
        <w:rPr>
          <w:rFonts w:eastAsia="SimSun"/>
          <w:noProof/>
          <w:color w:val="000000" w:themeColor="text1"/>
          <w:sz w:val="20"/>
          <w:szCs w:val="20"/>
          <w:lang w:val="en-AU" w:eastAsia="zh-CN"/>
        </w:rPr>
        <w:t>,</w:t>
      </w:r>
      <w:r w:rsidR="0054669B">
        <w:rPr>
          <w:rFonts w:eastAsia="SimSun"/>
          <w:noProof/>
          <w:color w:val="000000" w:themeColor="text1"/>
          <w:sz w:val="20"/>
          <w:szCs w:val="20"/>
          <w:lang w:val="en-AU" w:eastAsia="zh-CN"/>
        </w:rPr>
        <w:t xml:space="preserve"> [</w:t>
      </w:r>
      <w:r w:rsidR="00CE4290">
        <w:rPr>
          <w:rFonts w:eastAsia="SimSun"/>
          <w:noProof/>
          <w:color w:val="000000" w:themeColor="text1"/>
          <w:sz w:val="20"/>
          <w:szCs w:val="20"/>
          <w:lang w:val="en-AU" w:eastAsia="zh-CN"/>
        </w:rPr>
        <w:t>10]</w:t>
      </w:r>
      <w:r w:rsidR="00580A29">
        <w:rPr>
          <w:rFonts w:eastAsia="SimSun"/>
          <w:color w:val="000000" w:themeColor="text1"/>
          <w:sz w:val="20"/>
          <w:szCs w:val="20"/>
          <w:lang w:val="en-AU" w:eastAsia="zh-CN"/>
        </w:rPr>
        <w:fldChar w:fldCharType="end"/>
      </w:r>
      <w:r>
        <w:rPr>
          <w:rFonts w:eastAsia="SimSun"/>
          <w:color w:val="000000" w:themeColor="text1"/>
          <w:sz w:val="20"/>
          <w:szCs w:val="20"/>
          <w:lang w:val="en-AU" w:eastAsia="zh-CN"/>
        </w:rPr>
        <w:t xml:space="preserve">. </w:t>
      </w:r>
      <w:r w:rsidR="00FE7EE6">
        <w:rPr>
          <w:rFonts w:eastAsia="SimSun"/>
          <w:color w:val="000000" w:themeColor="text1"/>
          <w:sz w:val="20"/>
          <w:szCs w:val="20"/>
          <w:lang w:val="en-AU" w:eastAsia="zh-CN"/>
        </w:rPr>
        <w:t>O</w:t>
      </w:r>
      <w:r w:rsidR="00A20DCD">
        <w:rPr>
          <w:rFonts w:eastAsia="SimSun"/>
          <w:color w:val="000000" w:themeColor="text1"/>
          <w:sz w:val="20"/>
          <w:szCs w:val="20"/>
          <w:lang w:val="en-AU" w:eastAsia="zh-CN"/>
        </w:rPr>
        <w:t>ff</w:t>
      </w:r>
      <w:r w:rsidR="00FE7EE6">
        <w:rPr>
          <w:rFonts w:eastAsia="SimSun"/>
          <w:color w:val="000000" w:themeColor="text1"/>
          <w:sz w:val="20"/>
          <w:szCs w:val="20"/>
          <w:lang w:val="en-AU" w:eastAsia="zh-CN"/>
        </w:rPr>
        <w:t>-</w:t>
      </w:r>
      <w:r w:rsidR="000254D5">
        <w:rPr>
          <w:rFonts w:eastAsia="SimSun"/>
          <w:color w:val="000000" w:themeColor="text1"/>
          <w:sz w:val="20"/>
          <w:szCs w:val="20"/>
          <w:lang w:val="en-AU" w:eastAsia="zh-CN"/>
        </w:rPr>
        <w:t>grid</w:t>
      </w:r>
      <w:r w:rsidR="00FE7EE6">
        <w:rPr>
          <w:rFonts w:eastAsia="SimSun"/>
          <w:color w:val="000000" w:themeColor="text1"/>
          <w:sz w:val="20"/>
          <w:szCs w:val="20"/>
          <w:lang w:val="en-AU" w:eastAsia="zh-CN"/>
        </w:rPr>
        <w:t xml:space="preserve"> renewable solutions can decrease reliance on </w:t>
      </w:r>
      <w:r w:rsidR="00E924B8">
        <w:rPr>
          <w:rFonts w:eastAsia="SimSun"/>
          <w:color w:val="000000" w:themeColor="text1"/>
          <w:sz w:val="20"/>
          <w:szCs w:val="20"/>
          <w:lang w:val="en-AU" w:eastAsia="zh-CN"/>
        </w:rPr>
        <w:t>imported gas</w:t>
      </w:r>
      <w:r w:rsidR="00056CA6">
        <w:rPr>
          <w:rFonts w:eastAsia="SimSun"/>
          <w:color w:val="000000" w:themeColor="text1"/>
          <w:sz w:val="20"/>
          <w:szCs w:val="20"/>
          <w:lang w:val="en-AU" w:eastAsia="zh-CN"/>
        </w:rPr>
        <w:t xml:space="preserve"> </w:t>
      </w:r>
      <w:r w:rsidR="00F610F6">
        <w:rPr>
          <w:rFonts w:eastAsia="SimSun"/>
          <w:color w:val="000000" w:themeColor="text1"/>
          <w:sz w:val="20"/>
          <w:szCs w:val="20"/>
          <w:lang w:val="en-AU" w:eastAsia="zh-CN"/>
        </w:rPr>
        <w:fldChar w:fldCharType="begin"/>
      </w:r>
      <w:r w:rsidR="00A4256E">
        <w:rPr>
          <w:rFonts w:eastAsia="SimSun"/>
          <w:color w:val="000000" w:themeColor="text1"/>
          <w:sz w:val="20"/>
          <w:szCs w:val="20"/>
          <w:lang w:val="en-AU" w:eastAsia="zh-CN"/>
        </w:rPr>
        <w:instrText xml:space="preserve"> ADDIN ZOTERO_ITEM CSL_CITATION {"citationID":"BzsVMPKo","properties":{"unsorted":false,"formattedCitation":"[10]","plainCitation":"[10]","noteIndex":0},"citationItems":[{"id":387,"uris":["http://zotero.org/users/20280584/items/KEA7LGWA"],"itemData":{"id":387,"type":"post-weblog","abstract":"The EU faces a structural energy security challenge, yet a credible pathway out is now within reach: electrification.","citation-key":"baselovicCredibleGasEndgame2026","container-title":"Strategic Perspectives","language":"en-GB","title":"A credible gas endgame for Europe","URL":"https://strategicperspectives.eu/a-credible-gas-endgame-for-europe-electrification-and-regional-partnerships/","author":[{"family":"Baselovic","given":"Mirta"}],"accessed":{"date-parts":[["2026",8,10]]},"issued":{"date-parts":[["2026",2,10]]}}}],"schema":"https://github.com/citation-style-language/schema/raw/master/csl-citation.json"} </w:instrText>
      </w:r>
      <w:r w:rsidR="00F610F6">
        <w:rPr>
          <w:rFonts w:eastAsia="SimSun"/>
          <w:color w:val="000000" w:themeColor="text1"/>
          <w:sz w:val="20"/>
          <w:szCs w:val="20"/>
          <w:lang w:val="en-AU" w:eastAsia="zh-CN"/>
        </w:rPr>
        <w:fldChar w:fldCharType="separate"/>
      </w:r>
      <w:r w:rsidR="00A4256E">
        <w:rPr>
          <w:rFonts w:eastAsia="SimSun"/>
          <w:noProof/>
          <w:color w:val="000000" w:themeColor="text1"/>
          <w:sz w:val="20"/>
          <w:szCs w:val="20"/>
          <w:lang w:val="en-AU" w:eastAsia="zh-CN"/>
        </w:rPr>
        <w:t>[10]</w:t>
      </w:r>
      <w:r w:rsidR="00F610F6">
        <w:rPr>
          <w:rFonts w:eastAsia="SimSun"/>
          <w:color w:val="000000" w:themeColor="text1"/>
          <w:sz w:val="20"/>
          <w:szCs w:val="20"/>
          <w:lang w:val="en-AU" w:eastAsia="zh-CN"/>
        </w:rPr>
        <w:fldChar w:fldCharType="end"/>
      </w:r>
      <w:r w:rsidR="00E924B8">
        <w:rPr>
          <w:rFonts w:eastAsia="SimSun"/>
          <w:color w:val="000000" w:themeColor="text1"/>
          <w:sz w:val="20"/>
          <w:szCs w:val="20"/>
          <w:lang w:val="en-AU" w:eastAsia="zh-CN"/>
        </w:rPr>
        <w:t xml:space="preserve"> and </w:t>
      </w:r>
      <w:r w:rsidR="00F610F6">
        <w:rPr>
          <w:rFonts w:eastAsia="SimSun"/>
          <w:color w:val="000000" w:themeColor="text1"/>
          <w:sz w:val="20"/>
          <w:szCs w:val="20"/>
          <w:lang w:val="en-AU" w:eastAsia="zh-CN"/>
        </w:rPr>
        <w:t>avoid the multi-year grid interconnection timeline</w:t>
      </w:r>
      <w:r w:rsidR="00056CA6">
        <w:rPr>
          <w:rFonts w:eastAsia="SimSun"/>
          <w:color w:val="000000" w:themeColor="text1"/>
          <w:sz w:val="20"/>
          <w:szCs w:val="20"/>
          <w:lang w:val="en-AU" w:eastAsia="zh-CN"/>
        </w:rPr>
        <w:t xml:space="preserve"> </w:t>
      </w:r>
      <w:r w:rsidR="00F610F6">
        <w:rPr>
          <w:rFonts w:eastAsia="SimSun"/>
          <w:color w:val="000000" w:themeColor="text1"/>
          <w:sz w:val="20"/>
          <w:szCs w:val="20"/>
          <w:lang w:val="en-AU" w:eastAsia="zh-CN"/>
        </w:rPr>
        <w:fldChar w:fldCharType="begin"/>
      </w:r>
      <w:r w:rsidR="00A4256E">
        <w:rPr>
          <w:rFonts w:eastAsia="SimSun"/>
          <w:color w:val="000000" w:themeColor="text1"/>
          <w:sz w:val="20"/>
          <w:szCs w:val="20"/>
          <w:lang w:val="en-AU" w:eastAsia="zh-CN"/>
        </w:rPr>
        <w:instrText xml:space="preserve"> ADDIN ZOTERO_ITEM CSL_CITATION {"citationID":"m61rTrm8","properties":{"unsorted":false,"formattedCitation":"[11]","plainCitation":"[11]","noteIndex":0},"citationItems":[{"id":389,"uris":["http://zotero.org/users/20280584/items/C5VT5L3V"],"itemData":{"id":389,"type":"post-weblog","abstract":"Europe's energy security depends on rapidly scaling up renewables, but limited grid capacity risks leaving new projects stuck in connection queues. Immediate action can be taken to unblock this barrier.","citation-key":"CrossedWiresGrid","container-title":"Ember","language":"en-US","title":"Crossed wires꞉ Grid capacity could block EU energy security","URL":"https://ember-energy.org/latest-insights/crossed-wires-grid-capacity-could-block-eu-energy-security","accessed":{"date-parts":[["2026",8,10]]}}}],"schema":"https://github.com/citation-style-language/schema/raw/master/csl-citation.json"} </w:instrText>
      </w:r>
      <w:r w:rsidR="00F610F6">
        <w:rPr>
          <w:rFonts w:eastAsia="SimSun"/>
          <w:color w:val="000000" w:themeColor="text1"/>
          <w:sz w:val="20"/>
          <w:szCs w:val="20"/>
          <w:lang w:val="en-AU" w:eastAsia="zh-CN"/>
        </w:rPr>
        <w:fldChar w:fldCharType="separate"/>
      </w:r>
      <w:r w:rsidR="00A4256E">
        <w:rPr>
          <w:rFonts w:eastAsia="SimSun"/>
          <w:noProof/>
          <w:color w:val="000000" w:themeColor="text1"/>
          <w:sz w:val="20"/>
          <w:szCs w:val="20"/>
          <w:lang w:val="en-AU" w:eastAsia="zh-CN"/>
        </w:rPr>
        <w:t>[11]</w:t>
      </w:r>
      <w:r w:rsidR="00F610F6">
        <w:rPr>
          <w:rFonts w:eastAsia="SimSun"/>
          <w:color w:val="000000" w:themeColor="text1"/>
          <w:sz w:val="20"/>
          <w:szCs w:val="20"/>
          <w:lang w:val="en-AU" w:eastAsia="zh-CN"/>
        </w:rPr>
        <w:fldChar w:fldCharType="end"/>
      </w:r>
      <w:r w:rsidR="00E924B8">
        <w:rPr>
          <w:rFonts w:eastAsia="SimSun"/>
          <w:color w:val="000000" w:themeColor="text1"/>
          <w:sz w:val="20"/>
          <w:szCs w:val="20"/>
          <w:lang w:val="en-AU" w:eastAsia="zh-CN"/>
        </w:rPr>
        <w:t xml:space="preserve">. </w:t>
      </w:r>
      <w:r w:rsidR="00593131">
        <w:rPr>
          <w:rFonts w:eastAsia="SimSun"/>
          <w:color w:val="000000" w:themeColor="text1"/>
          <w:sz w:val="20"/>
          <w:szCs w:val="20"/>
          <w:lang w:val="en-AU" w:eastAsia="zh-CN"/>
        </w:rPr>
        <w:t xml:space="preserve">With enough land available, solar plus storage systems can provide heat without incurring the cost of expensive transmission infrastructure or </w:t>
      </w:r>
      <w:r w:rsidR="00CE101B">
        <w:rPr>
          <w:rFonts w:eastAsia="SimSun"/>
          <w:color w:val="000000" w:themeColor="text1"/>
          <w:sz w:val="20"/>
          <w:szCs w:val="20"/>
          <w:lang w:val="en-AU" w:eastAsia="zh-CN"/>
        </w:rPr>
        <w:t>long interconnection queue wait times</w:t>
      </w:r>
      <w:r w:rsidR="00056CA6">
        <w:rPr>
          <w:rFonts w:eastAsia="SimSun"/>
          <w:color w:val="000000" w:themeColor="text1"/>
          <w:sz w:val="20"/>
          <w:szCs w:val="20"/>
          <w:lang w:val="en-AU" w:eastAsia="zh-CN"/>
        </w:rPr>
        <w:t xml:space="preserve"> </w:t>
      </w:r>
      <w:r w:rsidR="00180ABE">
        <w:rPr>
          <w:rFonts w:eastAsia="SimSun"/>
          <w:color w:val="000000" w:themeColor="text1"/>
          <w:sz w:val="20"/>
          <w:szCs w:val="20"/>
          <w:lang w:val="en-AU" w:eastAsia="zh-CN"/>
        </w:rPr>
        <w:fldChar w:fldCharType="begin"/>
      </w:r>
      <w:r w:rsidR="00A4256E">
        <w:rPr>
          <w:rFonts w:eastAsia="SimSun"/>
          <w:color w:val="000000" w:themeColor="text1"/>
          <w:sz w:val="20"/>
          <w:szCs w:val="20"/>
          <w:lang w:val="en-AU" w:eastAsia="zh-CN"/>
        </w:rPr>
        <w:instrText xml:space="preserve"> ADDIN ZOTERO_ITEM CSL_CITATION {"citationID":"ojNJXW9e","properties":{"unsorted":false,"formattedCitation":"[8]","plainCitation":"[8]","noteIndex":0},"citationItems":[{"id":386,"uris":["http://zotero.org/users/20280584/items/SHEIV3NI"],"itemData":{"id":386,"type":"article-journal","abstract":"Industrial heat is a major source of U.S. emissions and is challenging to decarbonize due to the availability of low-cost natural gas keeping fossil fuel heating highly competitive. Emerging lowcost and efficient options such as thermal electric storage and industrial heat pumps offer a promising alternative when combined with local low-cost solar and wind power.","citation-key":"dominguezUSCanCostEffectively","language":"en","publisher":"India Energy and Climate Center, Goldman School of Public Policy, University of California, Berkeley","source":"Zotero","title":"U.S. Can Cost-Effectively Supply One Third of Industrial Heat Demand Using Off-Grid Electric Thermal Storage and Heat Pumps","URL":"https://gspp.berkeley.edu/assets/uploads/page/Integrating_Renewable_Energy_with_Industrial_Heat_Demand_(VF).pdf","author":[{"family":"Dominguez","given":"Jose"},{"family":"Paliwal","given":"Umed"},{"family":"Phadke","given":"Amol"}],"issued":{"date-parts":[["2026",4,1]]}}}],"schema":"https://github.com/citation-style-language/schema/raw/master/csl-citation.json"} </w:instrText>
      </w:r>
      <w:r w:rsidR="00180ABE">
        <w:rPr>
          <w:rFonts w:eastAsia="SimSun"/>
          <w:color w:val="000000" w:themeColor="text1"/>
          <w:sz w:val="20"/>
          <w:szCs w:val="20"/>
          <w:lang w:val="en-AU" w:eastAsia="zh-CN"/>
        </w:rPr>
        <w:fldChar w:fldCharType="separate"/>
      </w:r>
      <w:r w:rsidR="00A4256E">
        <w:rPr>
          <w:rFonts w:eastAsia="SimSun"/>
          <w:noProof/>
          <w:color w:val="000000" w:themeColor="text1"/>
          <w:sz w:val="20"/>
          <w:szCs w:val="20"/>
          <w:lang w:val="en-AU" w:eastAsia="zh-CN"/>
        </w:rPr>
        <w:t>[8]</w:t>
      </w:r>
      <w:r w:rsidR="00180ABE">
        <w:rPr>
          <w:rFonts w:eastAsia="SimSun"/>
          <w:color w:val="000000" w:themeColor="text1"/>
          <w:sz w:val="20"/>
          <w:szCs w:val="20"/>
          <w:lang w:val="en-AU" w:eastAsia="zh-CN"/>
        </w:rPr>
        <w:fldChar w:fldCharType="end"/>
      </w:r>
      <w:r w:rsidR="00CE101B">
        <w:rPr>
          <w:rFonts w:eastAsia="SimSun"/>
          <w:color w:val="000000" w:themeColor="text1"/>
          <w:sz w:val="20"/>
          <w:szCs w:val="20"/>
          <w:lang w:val="en-AU" w:eastAsia="zh-CN"/>
        </w:rPr>
        <w:t>.</w:t>
      </w:r>
      <w:r w:rsidR="00593131">
        <w:rPr>
          <w:rFonts w:eastAsia="SimSun"/>
          <w:color w:val="000000" w:themeColor="text1"/>
          <w:sz w:val="20"/>
          <w:szCs w:val="20"/>
          <w:lang w:val="en-AU" w:eastAsia="zh-CN"/>
        </w:rPr>
        <w:t xml:space="preserve"> </w:t>
      </w:r>
    </w:p>
    <w:p w14:paraId="32D43396" w14:textId="77288B62" w:rsidR="000254D5" w:rsidRPr="00F50040" w:rsidRDefault="00315A61" w:rsidP="00832424">
      <w:pPr>
        <w:spacing w:after="200"/>
        <w:jc w:val="both"/>
        <w:rPr>
          <w:color w:val="000000" w:themeColor="text1"/>
          <w:sz w:val="20"/>
          <w:szCs w:val="20"/>
        </w:rPr>
      </w:pPr>
      <w:r w:rsidRPr="006C286C">
        <w:rPr>
          <w:color w:val="000000" w:themeColor="text1"/>
          <w:sz w:val="20"/>
          <w:szCs w:val="20"/>
        </w:rPr>
        <w:t xml:space="preserve">Prior work analyses industrial </w:t>
      </w:r>
      <w:r w:rsidR="00A66837">
        <w:rPr>
          <w:color w:val="000000" w:themeColor="text1"/>
          <w:sz w:val="20"/>
          <w:szCs w:val="20"/>
        </w:rPr>
        <w:t>decarbonis</w:t>
      </w:r>
      <w:r w:rsidRPr="006C286C">
        <w:rPr>
          <w:color w:val="000000" w:themeColor="text1"/>
          <w:sz w:val="20"/>
          <w:szCs w:val="20"/>
        </w:rPr>
        <w:t>ation at a sector level or country level</w:t>
      </w:r>
      <w:r w:rsidR="00056CA6">
        <w:rPr>
          <w:color w:val="000000" w:themeColor="text1"/>
          <w:sz w:val="20"/>
          <w:szCs w:val="20"/>
        </w:rPr>
        <w:t xml:space="preserve"> </w:t>
      </w:r>
      <w:r w:rsidR="00766744">
        <w:rPr>
          <w:color w:val="000000" w:themeColor="text1"/>
          <w:sz w:val="20"/>
          <w:szCs w:val="20"/>
        </w:rPr>
        <w:fldChar w:fldCharType="begin"/>
      </w:r>
      <w:r w:rsidR="00C5333C">
        <w:rPr>
          <w:color w:val="000000" w:themeColor="text1"/>
          <w:sz w:val="20"/>
          <w:szCs w:val="20"/>
        </w:rPr>
        <w:instrText xml:space="preserve"> ADDIN ZOTERO_ITEM CSL_CITATION {"citationID":"CA2AsG20","properties":{"unsorted":false,"formattedCitation":"[6, 13]","plainCitation":"[6, 13]","dontUpdate":true,"noteIndex":0},"citationItems":[{"id":326,"uris":["http://zotero.org/users/20280584/items/G3VNLW6N"],"itemData":{"id":326,"type":"article-journal","citation-key":"rosenowOpportunitiesHeatElectrification","container-title":"Nature Reviews Clean Technology","DOI":"10.1038/s44359-025-00091-9","ISSN":"3005-0685","issue":"10","journalAbbreviation":"Nature Reviews Clean Technology","language":"en","page":"671-672","source":"Zotero","title":"Opportunities for heat electrification and energy efficiency in European industry","volume":"1","author":[{"family":"Rosenow","given":"Jan"},{"family":"Oxenaar","given":"Sem"}],"issued":{"date-parts":[["2025",10,1]]}}},{"id":322,"uris":["http://zotero.org/users/20280584/items/WP7IM342"],"itemData":{"id":322,"type":"report","citation-key":"The business case for electrifying industrial heat","publisher":"Agora Industry, Agora Energiewende, Fraunhofer ISI, ECCO Think Tank and Reform Institu","title":"The business case for electrifying industrial heat","URL":"https://www.agora-industry.org/fileadmin/Projekte/2023/2023-36_IND_Electrification_low_heat/A-IND_396_The_business_case_for_electrifying_industrial_heat_WEB.pdf","accessed":{"date-parts":[["2026",7,22]]},"issued":{"date-parts":[["2026"]]}}}],"schema":"https://github.com/citation-style-language/schema/raw/master/csl-citation.json"} </w:instrText>
      </w:r>
      <w:r w:rsidR="00766744">
        <w:rPr>
          <w:color w:val="000000" w:themeColor="text1"/>
          <w:sz w:val="20"/>
          <w:szCs w:val="20"/>
        </w:rPr>
        <w:fldChar w:fldCharType="separate"/>
      </w:r>
      <w:r w:rsidR="00CE4290">
        <w:rPr>
          <w:noProof/>
          <w:color w:val="000000" w:themeColor="text1"/>
          <w:sz w:val="20"/>
          <w:szCs w:val="20"/>
        </w:rPr>
        <w:t>[6</w:t>
      </w:r>
      <w:r w:rsidR="00FF02FB">
        <w:rPr>
          <w:noProof/>
          <w:color w:val="000000" w:themeColor="text1"/>
          <w:sz w:val="20"/>
          <w:szCs w:val="20"/>
        </w:rPr>
        <w:t>]</w:t>
      </w:r>
      <w:r w:rsidR="00CE4290">
        <w:rPr>
          <w:noProof/>
          <w:color w:val="000000" w:themeColor="text1"/>
          <w:sz w:val="20"/>
          <w:szCs w:val="20"/>
        </w:rPr>
        <w:t xml:space="preserve">, </w:t>
      </w:r>
      <w:r w:rsidR="00FF02FB">
        <w:rPr>
          <w:noProof/>
          <w:color w:val="000000" w:themeColor="text1"/>
          <w:sz w:val="20"/>
          <w:szCs w:val="20"/>
        </w:rPr>
        <w:t>[</w:t>
      </w:r>
      <w:r w:rsidR="00CE4290">
        <w:rPr>
          <w:noProof/>
          <w:color w:val="000000" w:themeColor="text1"/>
          <w:sz w:val="20"/>
          <w:szCs w:val="20"/>
        </w:rPr>
        <w:t>1</w:t>
      </w:r>
      <w:r w:rsidR="00A4256E">
        <w:rPr>
          <w:noProof/>
          <w:color w:val="000000" w:themeColor="text1"/>
          <w:sz w:val="20"/>
          <w:szCs w:val="20"/>
        </w:rPr>
        <w:t>2</w:t>
      </w:r>
      <w:r w:rsidR="00CE4290">
        <w:rPr>
          <w:noProof/>
          <w:color w:val="000000" w:themeColor="text1"/>
          <w:sz w:val="20"/>
          <w:szCs w:val="20"/>
        </w:rPr>
        <w:t>]</w:t>
      </w:r>
      <w:r w:rsidR="00766744">
        <w:rPr>
          <w:color w:val="000000" w:themeColor="text1"/>
          <w:sz w:val="20"/>
          <w:szCs w:val="20"/>
        </w:rPr>
        <w:fldChar w:fldCharType="end"/>
      </w:r>
      <w:r w:rsidR="0079041B">
        <w:rPr>
          <w:color w:val="000000" w:themeColor="text1"/>
          <w:sz w:val="20"/>
          <w:szCs w:val="20"/>
        </w:rPr>
        <w:t>. Facility level anal</w:t>
      </w:r>
      <w:r w:rsidR="0027732B">
        <w:rPr>
          <w:color w:val="000000" w:themeColor="text1"/>
          <w:sz w:val="20"/>
          <w:szCs w:val="20"/>
        </w:rPr>
        <w:t>ysis</w:t>
      </w:r>
      <w:r w:rsidR="0079041B">
        <w:rPr>
          <w:color w:val="000000" w:themeColor="text1"/>
          <w:sz w:val="20"/>
          <w:szCs w:val="20"/>
        </w:rPr>
        <w:t xml:space="preserve"> </w:t>
      </w:r>
      <w:r w:rsidR="00C24091">
        <w:rPr>
          <w:color w:val="000000" w:themeColor="text1"/>
          <w:sz w:val="20"/>
          <w:szCs w:val="20"/>
        </w:rPr>
        <w:t>has</w:t>
      </w:r>
      <w:r w:rsidR="0079041B">
        <w:rPr>
          <w:color w:val="000000" w:themeColor="text1"/>
          <w:sz w:val="20"/>
          <w:szCs w:val="20"/>
        </w:rPr>
        <w:t xml:space="preserve"> been conducted but not for co-located off-grid solar plus storage in the EU</w:t>
      </w:r>
      <w:r w:rsidR="002408F4">
        <w:rPr>
          <w:color w:val="000000" w:themeColor="text1"/>
          <w:sz w:val="20"/>
          <w:szCs w:val="20"/>
        </w:rPr>
        <w:t xml:space="preserve"> with country specific costs and gas benchmarks</w:t>
      </w:r>
      <w:r w:rsidR="00C24091">
        <w:rPr>
          <w:color w:val="000000" w:themeColor="text1"/>
          <w:sz w:val="20"/>
          <w:szCs w:val="20"/>
        </w:rPr>
        <w:t xml:space="preserve"> </w:t>
      </w:r>
      <w:r w:rsidR="00C24091">
        <w:rPr>
          <w:color w:val="000000" w:themeColor="text1"/>
          <w:sz w:val="20"/>
          <w:szCs w:val="20"/>
        </w:rPr>
        <w:fldChar w:fldCharType="begin"/>
      </w:r>
      <w:r w:rsidR="008A443E">
        <w:rPr>
          <w:color w:val="000000" w:themeColor="text1"/>
          <w:sz w:val="20"/>
          <w:szCs w:val="20"/>
        </w:rPr>
        <w:instrText xml:space="preserve"> ADDIN ZOTERO_ITEM CSL_CITATION {"citationID":"I2wyxUZm","properties":{"unsorted":false,"formattedCitation":"[9, 14]","plainCitation":"[9, 14]","dontUpdate":true,"noteIndex":0},"citationItems":[{"id":386,"uris":["http://zotero.org/users/20280584/items/SHEIV3NI"],"itemData":{"id":386,"type":"article-journal","abstract":"Industrial heat is a major source of U.S. emissions and is challenging to decarbonize due to the availability of low-cost natural gas keeping fossil fuel heating highly competitive. Emerging lowcost and efficient options such as thermal electric storage and industrial heat pumps offer a promising alternative when combined with local low-cost solar and wind power.","citation-key":"dominguezUSCanCostEffectively","language":"en","publisher":"India Energy and Climate Center, Goldman School of Public Policy, University of California, Berkeley","source":"Zotero","title":"U.S. Can Cost-Effectively Supply One Third of Industrial Heat Demand Using Off-Grid Electric Thermal Storage and Heat Pumps","URL":"https://gspp.berkeley.edu/assets/uploads/page/Integrating_Renewable_Energy_with_Industrial_Heat_Demand_(VF).pdf","author":[{"family":"Dominguez","given":"Jose"},{"family":"Paliwal","given":"Umed"},{"family":"Phadke","given":"Amol"}],"issued":{"date-parts":[["2026",4,1]]}}},{"id":394,"uris":["http://zotero.org/users/20280584/items/J7SMF7KW"],"itemData":{"id":394,"type":"article-journal","abstract":"The transition towards climate-neutral industry is a challenge, particularly for heavy industries like steel and basic chemicals. Existing models for assessing industrial transformation often lack spatial resolution and fail to capture individual investment decisions. Consequently, the spatial interplay between industry transformation, energy availability, infrastructure availability, and the dynamics of discrete investments is inadequately addressed. Here we present a site-specific approach that considers individual industrial sites to simulate discrete investment decisions. The investment decision is modelled as a discrete choice among alternative technologies with their total cost of ownership as the main decision criterion. Process costs depend on the scenario-specific assumptions, such as energy carrier prices, policy instruments and local infrastructures. The age of production units and their reinvestment cycles are considered the main restrictions on the dynamics of the transition. The results provide high spatial resolution to capture the spatial and temporal dynamics of industry transition under varying process and policy assumptions. The presented model and its results can be coupled with energy system models to assess the implications of site-specific industry transition on energy system related research questions. We conduct an exemplary case study for a transformation pathway of the European primary steel production.","citation-key":"neuwirthModellingTransformationEnergyintensive2024","container-title":"Scientific Reports","DOI":"10.1038/s41598-024-78881-7","ISSN":"2045-2322","issue":"1","journalAbbreviation":"Sci Rep","language":"en","license":"2024 The Author(s)","page":"30552","publisher":"Nature Publishing Group","source":"www.nature.com","title":"Modelling the transformation of energy-intensive industries based on site-specific investment decisions","volume":"14","author":[{"family":"Neuwirth","given":"Marius"},{"family":"Fleiter","given":"Tobias"},{"family":"Hofmann","given":"René"}],"issued":{"date-parts":[["2024",12,18]]}}}],"schema":"https://github.com/citation-style-language/schema/raw/master/csl-citation.json"} </w:instrText>
      </w:r>
      <w:r w:rsidR="00C24091">
        <w:rPr>
          <w:color w:val="000000" w:themeColor="text1"/>
          <w:sz w:val="20"/>
          <w:szCs w:val="20"/>
        </w:rPr>
        <w:fldChar w:fldCharType="separate"/>
      </w:r>
      <w:r w:rsidR="00C24091">
        <w:rPr>
          <w:noProof/>
          <w:color w:val="000000" w:themeColor="text1"/>
          <w:sz w:val="20"/>
          <w:szCs w:val="20"/>
        </w:rPr>
        <w:t>[9], [14]</w:t>
      </w:r>
      <w:r w:rsidR="00C24091">
        <w:rPr>
          <w:color w:val="000000" w:themeColor="text1"/>
          <w:sz w:val="20"/>
          <w:szCs w:val="20"/>
        </w:rPr>
        <w:fldChar w:fldCharType="end"/>
      </w:r>
      <w:r w:rsidR="0079041B">
        <w:rPr>
          <w:color w:val="000000" w:themeColor="text1"/>
          <w:sz w:val="20"/>
          <w:szCs w:val="20"/>
        </w:rPr>
        <w:t>.</w:t>
      </w:r>
      <w:r w:rsidR="00766744" w:rsidRPr="006C286C">
        <w:rPr>
          <w:color w:val="000000" w:themeColor="text1"/>
          <w:sz w:val="20"/>
          <w:szCs w:val="20"/>
        </w:rPr>
        <w:t xml:space="preserve"> </w:t>
      </w:r>
      <w:r w:rsidR="00AA1865">
        <w:rPr>
          <w:color w:val="000000" w:themeColor="text1"/>
          <w:sz w:val="20"/>
          <w:szCs w:val="20"/>
        </w:rPr>
        <w:t xml:space="preserve">For on-site solar resources, the capacity factor and costs can differ greatly within a country or region. </w:t>
      </w:r>
      <w:r w:rsidR="005100C2">
        <w:rPr>
          <w:color w:val="000000" w:themeColor="text1"/>
          <w:sz w:val="20"/>
          <w:szCs w:val="20"/>
        </w:rPr>
        <w:t>Facility</w:t>
      </w:r>
      <w:r w:rsidR="00DF27BF">
        <w:rPr>
          <w:color w:val="000000" w:themeColor="text1"/>
          <w:sz w:val="20"/>
          <w:szCs w:val="20"/>
        </w:rPr>
        <w:t>-</w:t>
      </w:r>
      <w:r w:rsidR="005100C2">
        <w:rPr>
          <w:color w:val="000000" w:themeColor="text1"/>
          <w:sz w:val="20"/>
          <w:szCs w:val="20"/>
        </w:rPr>
        <w:t>level bottom-up analysis can tackle those gaps</w:t>
      </w:r>
      <w:r w:rsidR="00580A29">
        <w:rPr>
          <w:color w:val="000000" w:themeColor="text1"/>
          <w:sz w:val="20"/>
          <w:szCs w:val="20"/>
        </w:rPr>
        <w:t xml:space="preserve"> </w:t>
      </w:r>
      <w:r w:rsidR="00580A29">
        <w:rPr>
          <w:color w:val="000000" w:themeColor="text1"/>
          <w:sz w:val="20"/>
          <w:szCs w:val="20"/>
        </w:rPr>
        <w:fldChar w:fldCharType="begin"/>
      </w:r>
      <w:r w:rsidR="00A4256E">
        <w:rPr>
          <w:color w:val="000000" w:themeColor="text1"/>
          <w:sz w:val="20"/>
          <w:szCs w:val="20"/>
        </w:rPr>
        <w:instrText xml:space="preserve"> ADDIN ZOTERO_ITEM CSL_CITATION {"citationID":"fKJTcn0W","properties":{"unsorted":false,"formattedCitation":"[13]","plainCitation":"[13]","noteIndex":0},"citationItems":[{"id":394,"uris":["http://zotero.org/users/20280584/items/J7SMF7KW"],"itemData":{"id":394,"type":"article-journal","abstract":"The transition towards climate-neutral industry is a challenge, particularly for heavy industries like steel and basic chemicals. Existing models for assessing industrial transformation often lack spatial resolution and fail to capture individual investment decisions. Consequently, the spatial interplay between industry transformation, energy availability, infrastructure availability, and the dynamics of discrete investments is inadequately addressed. Here we present a site-specific approach that considers individual industrial sites to simulate discrete investment decisions. The investment decision is modelled as a discrete choice among alternative technologies with their total cost of ownership as the main decision criterion. Process costs depend on the scenario-specific assumptions, such as energy carrier prices, policy instruments and local infrastructures. The age of production units and their reinvestment cycles are considered the main restrictions on the dynamics of the transition. The results provide high spatial resolution to capture the spatial and temporal dynamics of industry transition under varying process and policy assumptions. The presented model and its results can be coupled with energy system models to assess the implications of site-specific industry transition on energy system related research questions. We conduct an exemplary case study for a transformation pathway of the European primary steel production.","citation-key":"neuwirthModellingTransformationEnergyintensive2024","container-title":"Scientific Reports","DOI":"10.1038/s41598-024-78881-7","ISSN":"2045-2322","issue":"1","journalAbbreviation":"Sci Rep","language":"en","license":"2024 The Author(s)","page":"30552","publisher":"Nature Publishing Group","source":"www.nature.com","title":"Modelling the transformation of energy-intensive industries based on site-specific investment decisions","volume":"14","author":[{"family":"Neuwirth","given":"Marius"},{"family":"Fleiter","given":"Tobias"},{"family":"Hofmann","given":"René"}],"issued":{"date-parts":[["2024",12,18]]}}}],"schema":"https://github.com/citation-style-language/schema/raw/master/csl-citation.json"} </w:instrText>
      </w:r>
      <w:r w:rsidR="00580A29">
        <w:rPr>
          <w:color w:val="000000" w:themeColor="text1"/>
          <w:sz w:val="20"/>
          <w:szCs w:val="20"/>
        </w:rPr>
        <w:fldChar w:fldCharType="separate"/>
      </w:r>
      <w:r w:rsidR="00A4256E">
        <w:rPr>
          <w:noProof/>
          <w:color w:val="000000" w:themeColor="text1"/>
          <w:sz w:val="20"/>
          <w:szCs w:val="20"/>
        </w:rPr>
        <w:t>[13]</w:t>
      </w:r>
      <w:r w:rsidR="00580A29">
        <w:rPr>
          <w:color w:val="000000" w:themeColor="text1"/>
          <w:sz w:val="20"/>
          <w:szCs w:val="20"/>
        </w:rPr>
        <w:fldChar w:fldCharType="end"/>
      </w:r>
      <w:r w:rsidR="005100C2">
        <w:rPr>
          <w:color w:val="000000" w:themeColor="text1"/>
          <w:sz w:val="20"/>
          <w:szCs w:val="20"/>
        </w:rPr>
        <w:t xml:space="preserve"> by using site</w:t>
      </w:r>
      <w:r w:rsidR="000E3FF8">
        <w:rPr>
          <w:color w:val="000000" w:themeColor="text1"/>
          <w:sz w:val="20"/>
          <w:szCs w:val="20"/>
        </w:rPr>
        <w:t>-</w:t>
      </w:r>
      <w:r w:rsidR="005100C2">
        <w:rPr>
          <w:color w:val="000000" w:themeColor="text1"/>
          <w:sz w:val="20"/>
          <w:szCs w:val="20"/>
        </w:rPr>
        <w:t>specific solar capacity factors, land availability</w:t>
      </w:r>
      <w:r w:rsidR="00C06F77">
        <w:rPr>
          <w:color w:val="000000" w:themeColor="text1"/>
          <w:sz w:val="20"/>
          <w:szCs w:val="20"/>
        </w:rPr>
        <w:t>,</w:t>
      </w:r>
      <w:r w:rsidR="005100C2">
        <w:rPr>
          <w:color w:val="000000" w:themeColor="text1"/>
          <w:sz w:val="20"/>
          <w:szCs w:val="20"/>
        </w:rPr>
        <w:t xml:space="preserve"> and </w:t>
      </w:r>
      <w:r w:rsidR="002E7D44">
        <w:rPr>
          <w:color w:val="000000" w:themeColor="text1"/>
          <w:sz w:val="20"/>
          <w:szCs w:val="20"/>
        </w:rPr>
        <w:t xml:space="preserve">country adjusted </w:t>
      </w:r>
      <w:r w:rsidR="005100C2">
        <w:rPr>
          <w:color w:val="000000" w:themeColor="text1"/>
          <w:sz w:val="20"/>
          <w:szCs w:val="20"/>
        </w:rPr>
        <w:t>cost of infrastructure</w:t>
      </w:r>
      <w:r w:rsidR="002E7D44">
        <w:rPr>
          <w:color w:val="000000" w:themeColor="text1"/>
          <w:sz w:val="20"/>
          <w:szCs w:val="20"/>
        </w:rPr>
        <w:t xml:space="preserve">. </w:t>
      </w:r>
      <w:r w:rsidR="002D254B">
        <w:rPr>
          <w:color w:val="000000" w:themeColor="text1"/>
          <w:sz w:val="20"/>
          <w:szCs w:val="20"/>
        </w:rPr>
        <w:t>With facility</w:t>
      </w:r>
      <w:r w:rsidR="00F042CD">
        <w:rPr>
          <w:color w:val="000000" w:themeColor="text1"/>
          <w:sz w:val="20"/>
          <w:szCs w:val="20"/>
        </w:rPr>
        <w:t>-</w:t>
      </w:r>
      <w:r w:rsidR="002D254B">
        <w:rPr>
          <w:color w:val="000000" w:themeColor="text1"/>
          <w:sz w:val="20"/>
          <w:szCs w:val="20"/>
        </w:rPr>
        <w:t xml:space="preserve">level resolution, this study </w:t>
      </w:r>
      <w:r w:rsidR="000254D5">
        <w:rPr>
          <w:color w:val="000000" w:themeColor="text1"/>
          <w:sz w:val="20"/>
          <w:szCs w:val="20"/>
        </w:rPr>
        <w:t>analyses 2,192 EU facility with 5 and 15km land buffers</w:t>
      </w:r>
      <w:r w:rsidR="002D254B">
        <w:rPr>
          <w:color w:val="000000" w:themeColor="text1"/>
          <w:sz w:val="20"/>
          <w:szCs w:val="20"/>
        </w:rPr>
        <w:t xml:space="preserve"> </w:t>
      </w:r>
      <w:r w:rsidR="00CE37B6">
        <w:rPr>
          <w:color w:val="000000" w:themeColor="text1"/>
          <w:sz w:val="20"/>
          <w:szCs w:val="20"/>
        </w:rPr>
        <w:t xml:space="preserve">to determine levelised cost of heat (LCOH) at each facility </w:t>
      </w:r>
      <w:r w:rsidR="00111578">
        <w:rPr>
          <w:color w:val="000000" w:themeColor="text1"/>
          <w:sz w:val="20"/>
          <w:szCs w:val="20"/>
        </w:rPr>
        <w:t>and quantifies the</w:t>
      </w:r>
      <w:r w:rsidR="002D254B">
        <w:rPr>
          <w:color w:val="000000" w:themeColor="text1"/>
          <w:sz w:val="20"/>
          <w:szCs w:val="20"/>
        </w:rPr>
        <w:t xml:space="preserve"> potential to </w:t>
      </w:r>
      <w:r w:rsidR="00A66837">
        <w:rPr>
          <w:color w:val="000000" w:themeColor="text1"/>
          <w:sz w:val="20"/>
          <w:szCs w:val="20"/>
        </w:rPr>
        <w:t>decarbonis</w:t>
      </w:r>
      <w:r w:rsidR="002D254B">
        <w:rPr>
          <w:color w:val="000000" w:themeColor="text1"/>
          <w:sz w:val="20"/>
          <w:szCs w:val="20"/>
        </w:rPr>
        <w:t>e with the solar plus storage solution</w:t>
      </w:r>
      <w:r w:rsidR="00A14DB8">
        <w:rPr>
          <w:color w:val="000000" w:themeColor="text1"/>
          <w:sz w:val="20"/>
          <w:szCs w:val="20"/>
        </w:rPr>
        <w:t xml:space="preserve"> that is below the gas</w:t>
      </w:r>
      <w:r w:rsidR="00CE37B6">
        <w:rPr>
          <w:color w:val="000000" w:themeColor="text1"/>
          <w:sz w:val="20"/>
          <w:szCs w:val="20"/>
        </w:rPr>
        <w:t xml:space="preserve"> LCOH</w:t>
      </w:r>
      <w:r w:rsidR="002D254B">
        <w:rPr>
          <w:color w:val="000000" w:themeColor="text1"/>
          <w:sz w:val="20"/>
          <w:szCs w:val="20"/>
        </w:rPr>
        <w:t xml:space="preserve">. </w:t>
      </w:r>
    </w:p>
    <w:p w14:paraId="4B02149C" w14:textId="62789EC4" w:rsidR="00FF39E7" w:rsidRPr="00DB7279" w:rsidRDefault="00FF39E7" w:rsidP="00832424">
      <w:pPr>
        <w:pStyle w:val="PaperHeading"/>
        <w:rPr>
          <w:color w:val="000000" w:themeColor="text1"/>
        </w:rPr>
      </w:pPr>
      <w:r>
        <w:rPr>
          <w:color w:val="000000" w:themeColor="text1"/>
        </w:rPr>
        <w:t>2</w:t>
      </w:r>
      <w:r>
        <w:rPr>
          <w:color w:val="000000" w:themeColor="text1"/>
        </w:rPr>
        <w:tab/>
        <w:t>Methodology</w:t>
      </w:r>
    </w:p>
    <w:p w14:paraId="29DD9033" w14:textId="4D61FE14" w:rsidR="00085EA3" w:rsidRDefault="00180608" w:rsidP="00832424">
      <w:pPr>
        <w:pStyle w:val="PaperParagraphs"/>
        <w:rPr>
          <w:color w:val="000000" w:themeColor="text1"/>
        </w:rPr>
      </w:pPr>
      <w:r>
        <w:rPr>
          <w:color w:val="000000" w:themeColor="text1"/>
        </w:rPr>
        <w:t>We generated a facility-level data</w:t>
      </w:r>
      <w:r w:rsidR="00A57D6C">
        <w:rPr>
          <w:color w:val="000000" w:themeColor="text1"/>
        </w:rPr>
        <w:t>set</w:t>
      </w:r>
      <w:r>
        <w:rPr>
          <w:color w:val="000000" w:themeColor="text1"/>
        </w:rPr>
        <w:t xml:space="preserve"> from Climate TRACE in the EU</w:t>
      </w:r>
      <w:r w:rsidR="00134ADD">
        <w:rPr>
          <w:color w:val="000000" w:themeColor="text1"/>
        </w:rPr>
        <w:t xml:space="preserve"> and </w:t>
      </w:r>
      <w:r w:rsidR="00A66837">
        <w:rPr>
          <w:color w:val="000000" w:themeColor="text1"/>
        </w:rPr>
        <w:t>optimis</w:t>
      </w:r>
      <w:r w:rsidR="00134ADD">
        <w:rPr>
          <w:color w:val="000000" w:themeColor="text1"/>
        </w:rPr>
        <w:t>ed for different heat demand targets to determine total energy demand served</w:t>
      </w:r>
      <w:r>
        <w:rPr>
          <w:color w:val="000000" w:themeColor="text1"/>
        </w:rPr>
        <w:t xml:space="preserve">. Climate TRACE provides latitude and longitude, annual production and </w:t>
      </w:r>
      <w:r>
        <w:rPr>
          <w:color w:val="000000" w:themeColor="text1"/>
        </w:rPr>
        <w:lastRenderedPageBreak/>
        <w:t xml:space="preserve">emissions of each facility. Combining </w:t>
      </w:r>
      <w:r w:rsidR="00943273">
        <w:rPr>
          <w:color w:val="000000" w:themeColor="text1"/>
        </w:rPr>
        <w:t xml:space="preserve">facility level </w:t>
      </w:r>
      <w:r w:rsidR="00CE42A3">
        <w:rPr>
          <w:color w:val="000000" w:themeColor="text1"/>
        </w:rPr>
        <w:t>information</w:t>
      </w:r>
      <w:r w:rsidR="00943273">
        <w:rPr>
          <w:color w:val="000000" w:themeColor="text1"/>
        </w:rPr>
        <w:t xml:space="preserve"> </w:t>
      </w:r>
      <w:r>
        <w:rPr>
          <w:color w:val="000000" w:themeColor="text1"/>
        </w:rPr>
        <w:t>with solar radiation and land availability</w:t>
      </w:r>
      <w:r w:rsidR="00CE42A3">
        <w:rPr>
          <w:color w:val="000000" w:themeColor="text1"/>
        </w:rPr>
        <w:t xml:space="preserve"> data</w:t>
      </w:r>
      <w:r>
        <w:rPr>
          <w:color w:val="000000" w:themeColor="text1"/>
        </w:rPr>
        <w:t xml:space="preserve">, the </w:t>
      </w:r>
      <w:r w:rsidR="00A66837">
        <w:rPr>
          <w:color w:val="000000" w:themeColor="text1"/>
        </w:rPr>
        <w:t>optimis</w:t>
      </w:r>
      <w:r>
        <w:rPr>
          <w:color w:val="000000" w:themeColor="text1"/>
        </w:rPr>
        <w:t xml:space="preserve">ation program calculates the </w:t>
      </w:r>
      <w:r w:rsidR="00767239">
        <w:rPr>
          <w:color w:val="000000" w:themeColor="text1"/>
        </w:rPr>
        <w:t>levelis</w:t>
      </w:r>
      <w:r>
        <w:rPr>
          <w:color w:val="000000" w:themeColor="text1"/>
        </w:rPr>
        <w:t xml:space="preserve">ed cost of heat (LCOH) at each site. </w:t>
      </w:r>
      <w:r>
        <w:t>The LCOH is calculated using a</w:t>
      </w:r>
      <w:r w:rsidR="00C55D2D">
        <w:t xml:space="preserve">n </w:t>
      </w:r>
      <w:r w:rsidR="00A66837">
        <w:t>optimis</w:t>
      </w:r>
      <w:r>
        <w:t xml:space="preserve">ation framework adapted from </w:t>
      </w:r>
      <w:r>
        <w:rPr>
          <w:color w:val="000000" w:themeColor="text1"/>
        </w:rPr>
        <w:fldChar w:fldCharType="begin"/>
      </w:r>
      <w:r w:rsidR="00A4256E">
        <w:rPr>
          <w:color w:val="000000" w:themeColor="text1"/>
        </w:rPr>
        <w:instrText xml:space="preserve"> ADDIN ZOTERO_ITEM CSL_CITATION {"citationID":"KvV8Ygfw","properties":{"unsorted":false,"formattedCitation":"[9]","plainCitation":"[9]","noteIndex":0},"citationItems":[{"id":363,"uris":["http://zotero.org/users/20280584/items/53DSS7K6"],"itemData":{"id":363,"type":"article-journal","abstract":"Data centers and large electricity loads are power hungry, raising concerns about higher electricity costs, increased emissions, and reliability risks. We show that co-locating solar+storage systems with underutilized natural gas plants offers a practical, near-term pathway for reliable, low-cost industrial power. Using eight years of hourly weather data, we co-optimize load and hybrid solar+storage+gas configurations at 68 existing plants near data center developments, meeting over 95% of demand with solar+storage. Across these sites, levelized costs range from $60-138/MWh, competitive with data centers’ recent contract prices for 24/7 clean power. Conflict analysis indicates minimal overlap between solar+storage backup needs and grid stress across most regions of the United States today, allowing gas units to provide dual roles: facilitating large load integration while supporting grid reliability. By optimizing existing infrastructure, this approach offers a scalable pathway to serve large loads, though realizing these benefits will require careful coordination amongst stakeholders.","citation-key":"chojkiewiczUtilizingNoncoincidentNeeds","language":"en","source":"Zotero","title":"Utilizing Noncoincident Needs to Site Data Centers with Solar+Storage at Existing Gas Plants","URL":"https://escholarship.org/uc/item/4kf8w5pc","author":[{"family":"Chojkiewicz","given":"Emilia"},{"family":"Manocha","given":"Aneesha"},{"family":"Paliwal","given":"Umed"},{"family":"Callaway","given":"Duncan"},{"family":"Phadke","given":"Amol"}],"issued":{"date-parts":[["2026",2,1]]}}}],"schema":"https://github.com/citation-style-language/schema/raw/master/csl-citation.json"} </w:instrText>
      </w:r>
      <w:r>
        <w:rPr>
          <w:color w:val="000000" w:themeColor="text1"/>
        </w:rPr>
        <w:fldChar w:fldCharType="separate"/>
      </w:r>
      <w:r w:rsidR="00A4256E">
        <w:rPr>
          <w:noProof/>
          <w:color w:val="000000" w:themeColor="text1"/>
        </w:rPr>
        <w:t>[9]</w:t>
      </w:r>
      <w:r>
        <w:rPr>
          <w:color w:val="000000" w:themeColor="text1"/>
        </w:rPr>
        <w:fldChar w:fldCharType="end"/>
      </w:r>
      <w:r>
        <w:rPr>
          <w:color w:val="000000" w:themeColor="text1"/>
        </w:rPr>
        <w:t>,</w:t>
      </w:r>
      <w:r>
        <w:t xml:space="preserve"> which was originally developed to size surplus interconnection capacity for renewable projects</w:t>
      </w:r>
      <w:r>
        <w:rPr>
          <w:color w:val="000000" w:themeColor="text1"/>
        </w:rPr>
        <w:t xml:space="preserve">. The gas-capped, </w:t>
      </w:r>
      <w:r w:rsidR="00A66837">
        <w:rPr>
          <w:color w:val="000000" w:themeColor="text1"/>
        </w:rPr>
        <w:t>optimis</w:t>
      </w:r>
      <w:r>
        <w:rPr>
          <w:color w:val="000000" w:themeColor="text1"/>
        </w:rPr>
        <w:t xml:space="preserve">ed LCOH at the highest availability is chosen for each site and aggregated to get the total process heat that can be </w:t>
      </w:r>
      <w:r w:rsidR="00A66837">
        <w:rPr>
          <w:color w:val="000000" w:themeColor="text1"/>
        </w:rPr>
        <w:t>decarbonis</w:t>
      </w:r>
      <w:r>
        <w:rPr>
          <w:color w:val="000000" w:themeColor="text1"/>
        </w:rPr>
        <w:t xml:space="preserve">ed using this system and configuration, as illustrated in Figure 1. </w:t>
      </w:r>
    </w:p>
    <w:p w14:paraId="33F1B1BF" w14:textId="77777777" w:rsidR="00D56A11" w:rsidRDefault="00D56A11" w:rsidP="00832424">
      <w:pPr>
        <w:pStyle w:val="PaperParagraphs"/>
        <w:spacing w:before="40" w:after="40"/>
        <w:rPr>
          <w:color w:val="000000" w:themeColor="text1"/>
        </w:rPr>
      </w:pPr>
      <w:r>
        <w:rPr>
          <w:noProof/>
          <w:color w:val="000000" w:themeColor="text1"/>
        </w:rPr>
        <w:drawing>
          <wp:inline distT="0" distB="0" distL="0" distR="0" wp14:anchorId="6C646D42" wp14:editId="031C3D82">
            <wp:extent cx="3149600" cy="1310005"/>
            <wp:effectExtent l="0" t="0" r="0" b="0"/>
            <wp:docPr id="1811717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17975" name=""/>
                    <pic:cNvPicPr/>
                  </pic:nvPicPr>
                  <pic:blipFill>
                    <a:blip r:embed="rId10"/>
                    <a:stretch>
                      <a:fillRect/>
                    </a:stretch>
                  </pic:blipFill>
                  <pic:spPr>
                    <a:xfrm>
                      <a:off x="0" y="0"/>
                      <a:ext cx="3149600" cy="1310005"/>
                    </a:xfrm>
                    <a:prstGeom prst="rect">
                      <a:avLst/>
                    </a:prstGeom>
                  </pic:spPr>
                </pic:pic>
              </a:graphicData>
            </a:graphic>
          </wp:inline>
        </w:drawing>
      </w:r>
    </w:p>
    <w:p w14:paraId="5A3CAF39" w14:textId="77777777" w:rsidR="00370CC9" w:rsidRDefault="00000000" w:rsidP="00832424">
      <w:pPr>
        <w:jc w:val="both"/>
        <w:rPr>
          <w:sz w:val="20"/>
          <w:szCs w:val="20"/>
        </w:rPr>
      </w:pPr>
      <w:r>
        <w:rPr>
          <w:sz w:val="20"/>
          <w:szCs w:val="20"/>
        </w:rPr>
        <w:t>Fig. 1 Modelled system configuration: co-located, off-grid solar PV paired with a heat pump/heat battery and battery storage supplying process heat to the facility</w:t>
      </w:r>
    </w:p>
    <w:p w14:paraId="124B89AA" w14:textId="77777777" w:rsidR="002806A2" w:rsidRDefault="002806A2" w:rsidP="00832424">
      <w:pPr>
        <w:jc w:val="both"/>
        <w:rPr>
          <w:sz w:val="20"/>
          <w:szCs w:val="20"/>
        </w:rPr>
      </w:pPr>
    </w:p>
    <w:p w14:paraId="651AF871" w14:textId="77777777" w:rsidR="001021FE" w:rsidRPr="001021FE" w:rsidRDefault="000E3837" w:rsidP="00832424">
      <w:pPr>
        <w:jc w:val="both"/>
        <w:rPr>
          <w:i/>
          <w:color w:val="000000" w:themeColor="text1"/>
          <w:sz w:val="20"/>
          <w:szCs w:val="20"/>
        </w:rPr>
      </w:pPr>
      <w:r>
        <w:rPr>
          <w:i/>
          <w:color w:val="000000" w:themeColor="text1"/>
          <w:sz w:val="20"/>
          <w:szCs w:val="20"/>
        </w:rPr>
        <w:t>2.1 Facility-level Process Heat Estimate</w:t>
      </w:r>
    </w:p>
    <w:p w14:paraId="56BA05FA" w14:textId="53045F38" w:rsidR="008C0D69" w:rsidRDefault="005C5692" w:rsidP="00832424">
      <w:pPr>
        <w:jc w:val="both"/>
        <w:rPr>
          <w:color w:val="000000" w:themeColor="text1"/>
          <w:sz w:val="20"/>
          <w:szCs w:val="20"/>
        </w:rPr>
      </w:pPr>
      <w:r>
        <w:rPr>
          <w:color w:val="000000" w:themeColor="text1"/>
          <w:sz w:val="20"/>
          <w:szCs w:val="20"/>
        </w:rPr>
        <w:t xml:space="preserve">The replaceable process heat for each facility is the heat generated by fossil fuel that is used in the process of manufacturing a product (steel, food, textile, etc.). Depending on data availability, total annual production or total annual </w:t>
      </w:r>
      <w:r w:rsidR="00960501">
        <w:rPr>
          <w:color w:val="000000" w:themeColor="text1"/>
          <w:sz w:val="20"/>
          <w:szCs w:val="20"/>
        </w:rPr>
        <w:t>emission</w:t>
      </w:r>
      <w:r w:rsidR="00D82912">
        <w:rPr>
          <w:color w:val="000000" w:themeColor="text1"/>
          <w:sz w:val="20"/>
          <w:szCs w:val="20"/>
        </w:rPr>
        <w:t>s</w:t>
      </w:r>
      <w:r>
        <w:rPr>
          <w:color w:val="000000" w:themeColor="text1"/>
          <w:sz w:val="20"/>
          <w:szCs w:val="20"/>
        </w:rPr>
        <w:t xml:space="preserve"> is used to calculate the </w:t>
      </w:r>
      <w:r w:rsidR="003833C3">
        <w:rPr>
          <w:color w:val="000000" w:themeColor="text1"/>
          <w:sz w:val="20"/>
          <w:szCs w:val="20"/>
        </w:rPr>
        <w:t xml:space="preserve">amount of </w:t>
      </w:r>
      <w:r>
        <w:rPr>
          <w:color w:val="000000" w:themeColor="text1"/>
          <w:sz w:val="20"/>
          <w:szCs w:val="20"/>
        </w:rPr>
        <w:t>process heat</w:t>
      </w:r>
      <w:r w:rsidR="004C2C76">
        <w:rPr>
          <w:color w:val="000000" w:themeColor="text1"/>
          <w:sz w:val="20"/>
          <w:szCs w:val="20"/>
        </w:rPr>
        <w:t xml:space="preserve"> per sector and country</w:t>
      </w:r>
      <w:r>
        <w:rPr>
          <w:color w:val="000000" w:themeColor="text1"/>
          <w:sz w:val="20"/>
          <w:szCs w:val="20"/>
        </w:rPr>
        <w:t xml:space="preserve">. With total annual production, we apply a specific energy consumption (SEC) factor by sector </w:t>
      </w:r>
      <w:r>
        <w:rPr>
          <w:color w:val="000000" w:themeColor="text1"/>
          <w:sz w:val="20"/>
          <w:szCs w:val="20"/>
        </w:rPr>
        <w:fldChar w:fldCharType="begin"/>
      </w:r>
      <w:r w:rsidR="00A4256E">
        <w:rPr>
          <w:color w:val="000000" w:themeColor="text1"/>
          <w:sz w:val="20"/>
          <w:szCs w:val="20"/>
        </w:rPr>
        <w:instrText xml:space="preserve"> ADDIN ZOTERO_ITEM CSL_CITATION {"citationID":"Xp36q6Uy","properties":{"unsorted":false,"formattedCitation":"[14]","plainCitation":"[14]","noteIndex":0},"citationItems":[{"id":352,"uris":["http://zotero.org/users/20280584/items/CHB3AU7Z"],"itemData":{"id":352,"type":"report","citation-key":"pezzutto2018hotmaps","publisher":"EURAC, e-think, TUW, Fraunhofer ISI","title":"Hotmaps project, D2.3 WP2 report – open data set for the EU28","URL":"https://www.hotmaps-project.eu/wp-content/uploads/2018/03/D2.3-Hotmaps_for-upload_revised-final_.pdf","author":[{"family":"Pezzutto","given":"Simon"},{"family":"Zambotti","given":"Stefano"},{"family":"Croce","given":"Silvia"},{"family":"Zambelli","given":"Pietro"},{"family":"Garegnani","given":"Giulia"},{"family":"Scaramuzzino","given":"Chiara"},{"family":"Pascuas","given":"Ramón Pascual"},{"family":"Zubaryeva","given":"Alyona"},{"family":"Haas","given":"Franziska"},{"family":"Exner","given":"Dagmar"},{"family":"Müller","given":"Andreas"},{"family":"Hartner","given":"Michael"},{"family":"Fleiter","given":"Tobias"},{"family":"Klingler","given":"Anna-Lena"},{"family":"Kühnbach","given":"Matthias"},{"family":"Manz","given":"Pia"},{"family":"Marwitz","given":"Simon"},{"family":"Rehfeldt","given":"Matthias"},{"family":"Steinbach","given":"Jan"},{"family":"Popovski","given":"Eftim"}],"issued":{"date-parts":[["2018"]]}}}],"schema":"https://github.com/citation-style-language/schema/raw/master/csl-citation.json"} </w:instrText>
      </w:r>
      <w:r>
        <w:rPr>
          <w:color w:val="000000" w:themeColor="text1"/>
          <w:sz w:val="20"/>
          <w:szCs w:val="20"/>
        </w:rPr>
        <w:fldChar w:fldCharType="separate"/>
      </w:r>
      <w:r w:rsidR="00A4256E">
        <w:rPr>
          <w:noProof/>
          <w:color w:val="000000" w:themeColor="text1"/>
          <w:sz w:val="20"/>
          <w:szCs w:val="20"/>
        </w:rPr>
        <w:t>[14]</w:t>
      </w:r>
      <w:r>
        <w:rPr>
          <w:color w:val="000000" w:themeColor="text1"/>
          <w:sz w:val="20"/>
          <w:szCs w:val="20"/>
        </w:rPr>
        <w:fldChar w:fldCharType="end"/>
      </w:r>
      <w:r>
        <w:rPr>
          <w:color w:val="000000" w:themeColor="text1"/>
          <w:sz w:val="20"/>
          <w:szCs w:val="20"/>
        </w:rPr>
        <w:t xml:space="preserve"> that defines the energy intensity per ton</w:t>
      </w:r>
      <w:r w:rsidR="005E05B9">
        <w:rPr>
          <w:color w:val="000000" w:themeColor="text1"/>
          <w:sz w:val="20"/>
          <w:szCs w:val="20"/>
        </w:rPr>
        <w:t>ne</w:t>
      </w:r>
      <w:r>
        <w:rPr>
          <w:color w:val="000000" w:themeColor="text1"/>
          <w:sz w:val="20"/>
          <w:szCs w:val="20"/>
        </w:rPr>
        <w:t xml:space="preserve"> of </w:t>
      </w:r>
      <w:r w:rsidR="00D82912">
        <w:rPr>
          <w:color w:val="000000" w:themeColor="text1"/>
          <w:sz w:val="20"/>
          <w:szCs w:val="20"/>
        </w:rPr>
        <w:t>product</w:t>
      </w:r>
      <w:r>
        <w:rPr>
          <w:color w:val="000000" w:themeColor="text1"/>
          <w:sz w:val="20"/>
          <w:szCs w:val="20"/>
        </w:rPr>
        <w:t xml:space="preserve">. With emissions total </w:t>
      </w:r>
      <w:r>
        <w:rPr>
          <w:color w:val="000000" w:themeColor="text1"/>
          <w:sz w:val="20"/>
          <w:szCs w:val="20"/>
        </w:rPr>
        <w:fldChar w:fldCharType="begin"/>
      </w:r>
      <w:r w:rsidR="00A4256E">
        <w:rPr>
          <w:color w:val="000000" w:themeColor="text1"/>
          <w:sz w:val="20"/>
          <w:szCs w:val="20"/>
        </w:rPr>
        <w:instrText xml:space="preserve"> ADDIN ZOTERO_ITEM CSL_CITATION {"citationID":"hYKb2v51","properties":{"unsorted":false,"formattedCitation":"[15]","plainCitation":"[15]","noteIndex":0},"citationItems":[{"id":361,"uris":["http://zotero.org/users/20280584/items/84WYJMMG"],"itemData":{"id":361,"type":"webpage","citation-key":"MicrosoftWordV2_Ch2_Stationary_Combustion_Finaldoc","title":"STATIONARY COMBUSTION","URL":"https://www.ipcc-nggip.iges.or.jp/public/2006gl/pdf/2_Volume2/V2_2_Ch2_Stationary_Combustion.pdf","author":[{"literal":"Gomez, Dario"},{"literal":"Watterson, John D."}],"accessed":{"date-parts":[["2026",7,31]]},"issued":{"date-parts":[["2006"]]}}}],"schema":"https://github.com/citation-style-language/schema/raw/master/csl-citation.json"} </w:instrText>
      </w:r>
      <w:r>
        <w:rPr>
          <w:color w:val="000000" w:themeColor="text1"/>
          <w:sz w:val="20"/>
          <w:szCs w:val="20"/>
        </w:rPr>
        <w:fldChar w:fldCharType="separate"/>
      </w:r>
      <w:r w:rsidR="00A4256E">
        <w:rPr>
          <w:noProof/>
          <w:color w:val="000000" w:themeColor="text1"/>
          <w:sz w:val="20"/>
          <w:szCs w:val="20"/>
        </w:rPr>
        <w:t>[15]</w:t>
      </w:r>
      <w:r>
        <w:rPr>
          <w:color w:val="000000" w:themeColor="text1"/>
          <w:sz w:val="20"/>
          <w:szCs w:val="20"/>
        </w:rPr>
        <w:fldChar w:fldCharType="end"/>
      </w:r>
      <w:r>
        <w:rPr>
          <w:color w:val="000000" w:themeColor="text1"/>
          <w:sz w:val="20"/>
          <w:szCs w:val="20"/>
        </w:rPr>
        <w:t xml:space="preserve">, we applied an emissions factor, assuming an EU averaged gas/oil share of 90%/10% </w:t>
      </w:r>
      <w:r>
        <w:rPr>
          <w:color w:val="000000" w:themeColor="text1"/>
          <w:sz w:val="20"/>
          <w:szCs w:val="20"/>
        </w:rPr>
        <w:fldChar w:fldCharType="begin"/>
      </w:r>
      <w:r w:rsidR="00A4256E">
        <w:rPr>
          <w:color w:val="000000" w:themeColor="text1"/>
          <w:sz w:val="20"/>
          <w:szCs w:val="20"/>
        </w:rPr>
        <w:instrText xml:space="preserve"> ADDIN ZOTERO_ITEM CSL_CITATION {"citationID":"dFKZKhqq","properties":{"unsorted":false,"formattedCitation":"[16]","plainCitation":"[16]","noteIndex":0},"citationItems":[{"id":359,"uris":["http://zotero.org/users/20280584/items/FWSYLK8S"],"itemData":{"id":359,"type":"dataset","citation-key":"zotero-item-359","title":"Disaggregated final energy consumption in industry by NACE Rev. 2 activity - quantities (nrg_d_indq)","URL":"https://europa.eu","author":[{"literal":"Eurostat"}],"issued":{"date-parts":[["2024"]]}}}],"schema":"https://github.com/citation-style-language/schema/raw/master/csl-citation.json"} </w:instrText>
      </w:r>
      <w:r>
        <w:rPr>
          <w:color w:val="000000" w:themeColor="text1"/>
          <w:sz w:val="20"/>
          <w:szCs w:val="20"/>
        </w:rPr>
        <w:fldChar w:fldCharType="separate"/>
      </w:r>
      <w:r w:rsidR="00A4256E">
        <w:rPr>
          <w:noProof/>
          <w:color w:val="000000" w:themeColor="text1"/>
          <w:sz w:val="20"/>
          <w:szCs w:val="20"/>
        </w:rPr>
        <w:t>[16]</w:t>
      </w:r>
      <w:r>
        <w:rPr>
          <w:color w:val="000000" w:themeColor="text1"/>
          <w:sz w:val="20"/>
          <w:szCs w:val="20"/>
        </w:rPr>
        <w:fldChar w:fldCharType="end"/>
      </w:r>
      <w:r>
        <w:rPr>
          <w:color w:val="000000" w:themeColor="text1"/>
          <w:sz w:val="20"/>
          <w:szCs w:val="20"/>
        </w:rPr>
        <w:t xml:space="preserve">, to get the total process heat demand. With the total process heat estimate from both SEC and emissions factor, we calculated the replaceable process heat by </w:t>
      </w:r>
      <w:r w:rsidR="00DB7424" w:rsidRPr="00DB7424">
        <w:rPr>
          <w:color w:val="000000" w:themeColor="text1"/>
          <w:sz w:val="20"/>
          <w:szCs w:val="20"/>
        </w:rPr>
        <w:t>applying a fossil-fuel share</w:t>
      </w:r>
      <w:r w:rsidR="008768B7">
        <w:rPr>
          <w:color w:val="000000" w:themeColor="text1"/>
          <w:sz w:val="20"/>
          <w:szCs w:val="20"/>
        </w:rPr>
        <w:t xml:space="preserve"> </w:t>
      </w:r>
      <w:r>
        <w:rPr>
          <w:color w:val="000000" w:themeColor="text1"/>
          <w:sz w:val="20"/>
          <w:szCs w:val="20"/>
        </w:rPr>
        <w:fldChar w:fldCharType="begin"/>
      </w:r>
      <w:r w:rsidR="00A4256E">
        <w:rPr>
          <w:color w:val="000000" w:themeColor="text1"/>
          <w:sz w:val="20"/>
          <w:szCs w:val="20"/>
        </w:rPr>
        <w:instrText xml:space="preserve"> ADDIN ZOTERO_ITEM CSL_CITATION {"citationID":"Ta1vk0dw","properties":{"unsorted":false,"formattedCitation":"[17]","plainCitation":"[17]","noteIndex":0},"citationItems":[{"id":309,"uris":["http://zotero.org/users/20280584/items/7FNE34JG"],"itemData":{"id":309,"type":"webpage","citation-key":"Nrg_d_indq_nDisaggregatedFinal","title":"[nrg_d_indq_n] Disaggregated final energy consumption in industry by NACE Rev. 2 activity - quantities","URL":"https://ec.europa.eu/eurostat/databrowser/view/nrg_d_indq_n/default/table?lang=en","accessed":{"date-parts":[["2026",7,16]]}}}],"schema":"https://github.com/citation-style-language/schema/raw/master/csl-citation.json"} </w:instrText>
      </w:r>
      <w:r>
        <w:rPr>
          <w:color w:val="000000" w:themeColor="text1"/>
          <w:sz w:val="20"/>
          <w:szCs w:val="20"/>
        </w:rPr>
        <w:fldChar w:fldCharType="separate"/>
      </w:r>
      <w:r w:rsidR="00A4256E">
        <w:rPr>
          <w:noProof/>
          <w:color w:val="000000" w:themeColor="text1"/>
          <w:sz w:val="20"/>
          <w:szCs w:val="20"/>
        </w:rPr>
        <w:t>[17]</w:t>
      </w:r>
      <w:r>
        <w:rPr>
          <w:color w:val="000000" w:themeColor="text1"/>
          <w:sz w:val="20"/>
          <w:szCs w:val="20"/>
        </w:rPr>
        <w:fldChar w:fldCharType="end"/>
      </w:r>
      <w:r>
        <w:rPr>
          <w:color w:val="000000" w:themeColor="text1"/>
          <w:sz w:val="20"/>
          <w:szCs w:val="20"/>
        </w:rPr>
        <w:t xml:space="preserve"> to the useful heat. </w:t>
      </w:r>
    </w:p>
    <w:p w14:paraId="211133C5" w14:textId="7A4B238B" w:rsidR="00370CC9" w:rsidRPr="005C6CFD" w:rsidRDefault="00000000" w:rsidP="00832424">
      <w:pPr>
        <w:jc w:val="both"/>
        <w:rPr>
          <w:i/>
          <w:iCs/>
          <w:sz w:val="20"/>
          <w:szCs w:val="20"/>
        </w:rPr>
      </w:pPr>
      <w:r w:rsidRPr="005C6CFD">
        <w:rPr>
          <w:i/>
          <w:iCs/>
          <w:sz w:val="20"/>
          <w:szCs w:val="20"/>
        </w:rPr>
        <w:t>Table 1</w:t>
      </w:r>
      <w:r w:rsidR="005C6CFD" w:rsidRPr="005C6CFD">
        <w:rPr>
          <w:i/>
          <w:iCs/>
          <w:sz w:val="20"/>
          <w:szCs w:val="20"/>
        </w:rPr>
        <w:t>:</w:t>
      </w:r>
      <w:r w:rsidRPr="005C6CFD">
        <w:rPr>
          <w:i/>
          <w:iCs/>
          <w:sz w:val="20"/>
          <w:szCs w:val="20"/>
        </w:rPr>
        <w:t xml:space="preserve"> Facility-level process heat and replaceable-heat estimation formulas by calculation route</w:t>
      </w:r>
    </w:p>
    <w:tbl>
      <w:tblPr>
        <w:tblW w:w="4945" w:type="dxa"/>
        <w:tblBorders>
          <w:top w:val="single" w:sz="8" w:space="0" w:color="auto"/>
          <w:bottom w:val="single" w:sz="8" w:space="0" w:color="auto"/>
        </w:tblBorders>
        <w:tblCellMar>
          <w:left w:w="10" w:type="dxa"/>
          <w:right w:w="10" w:type="dxa"/>
        </w:tblCellMar>
        <w:tblLook w:val="04A0" w:firstRow="1" w:lastRow="0" w:firstColumn="1" w:lastColumn="0" w:noHBand="0" w:noVBand="1"/>
      </w:tblPr>
      <w:tblGrid>
        <w:gridCol w:w="1189"/>
        <w:gridCol w:w="3756"/>
      </w:tblGrid>
      <w:tr w:rsidR="00375D3E" w14:paraId="654BF6C5" w14:textId="77777777" w:rsidTr="00375D3E">
        <w:trPr>
          <w:trHeight w:val="225"/>
          <w:tblHeader/>
        </w:trPr>
        <w:tc>
          <w:tcPr>
            <w:tcW w:w="1189" w:type="dxa"/>
            <w:tcBorders>
              <w:bottom w:val="single" w:sz="8" w:space="0" w:color="auto"/>
            </w:tcBorders>
            <w:tcMar>
              <w:top w:w="80" w:type="dxa"/>
              <w:left w:w="100" w:type="dxa"/>
              <w:bottom w:w="80" w:type="dxa"/>
              <w:right w:w="100" w:type="dxa"/>
            </w:tcMar>
            <w:vAlign w:val="center"/>
          </w:tcPr>
          <w:p w14:paraId="2BFBD46D" w14:textId="77777777" w:rsidR="00375D3E" w:rsidRDefault="00375D3E" w:rsidP="00832424">
            <w:pPr>
              <w:jc w:val="both"/>
            </w:pPr>
            <w:r>
              <w:rPr>
                <w:b/>
                <w:bCs/>
                <w:sz w:val="20"/>
                <w:szCs w:val="20"/>
              </w:rPr>
              <w:t>Calculation route</w:t>
            </w:r>
          </w:p>
        </w:tc>
        <w:tc>
          <w:tcPr>
            <w:tcW w:w="3756" w:type="dxa"/>
            <w:tcBorders>
              <w:bottom w:val="single" w:sz="8" w:space="0" w:color="auto"/>
            </w:tcBorders>
            <w:tcMar>
              <w:top w:w="80" w:type="dxa"/>
              <w:left w:w="100" w:type="dxa"/>
              <w:bottom w:w="80" w:type="dxa"/>
              <w:right w:w="100" w:type="dxa"/>
            </w:tcMar>
            <w:vAlign w:val="center"/>
          </w:tcPr>
          <w:p w14:paraId="7711147D" w14:textId="77777777" w:rsidR="00375D3E" w:rsidRDefault="00375D3E" w:rsidP="00832424">
            <w:pPr>
              <w:jc w:val="both"/>
            </w:pPr>
            <w:r>
              <w:rPr>
                <w:b/>
                <w:bCs/>
                <w:sz w:val="20"/>
                <w:szCs w:val="20"/>
              </w:rPr>
              <w:t>Formulas</w:t>
            </w:r>
          </w:p>
        </w:tc>
      </w:tr>
      <w:tr w:rsidR="00375D3E" w14:paraId="5681339C" w14:textId="77777777" w:rsidTr="00375D3E">
        <w:trPr>
          <w:trHeight w:val="545"/>
        </w:trPr>
        <w:tc>
          <w:tcPr>
            <w:tcW w:w="1189" w:type="dxa"/>
            <w:tcMar>
              <w:top w:w="80" w:type="dxa"/>
              <w:left w:w="100" w:type="dxa"/>
              <w:bottom w:w="80" w:type="dxa"/>
              <w:right w:w="100" w:type="dxa"/>
            </w:tcMar>
          </w:tcPr>
          <w:p w14:paraId="2E46CB0B" w14:textId="77777777" w:rsidR="00375D3E" w:rsidRDefault="00375D3E" w:rsidP="00832424">
            <w:pPr>
              <w:spacing w:after="60"/>
              <w:jc w:val="both"/>
            </w:pPr>
            <w:r>
              <w:rPr>
                <w:sz w:val="20"/>
                <w:szCs w:val="20"/>
              </w:rPr>
              <w:t>SEC route</w:t>
            </w:r>
          </w:p>
        </w:tc>
        <w:tc>
          <w:tcPr>
            <w:tcW w:w="3756" w:type="dxa"/>
            <w:tcMar>
              <w:top w:w="80" w:type="dxa"/>
              <w:left w:w="100" w:type="dxa"/>
              <w:bottom w:w="80" w:type="dxa"/>
              <w:right w:w="100" w:type="dxa"/>
            </w:tcMar>
          </w:tcPr>
          <w:p w14:paraId="6CE838EA" w14:textId="77777777" w:rsidR="00375D3E" w:rsidRDefault="00375D3E" w:rsidP="00832424">
            <w:pPr>
              <w:spacing w:after="40"/>
              <w:jc w:val="both"/>
            </w:pPr>
            <w:proofErr w:type="spellStart"/>
            <w:r>
              <w:rPr>
                <w:sz w:val="20"/>
                <w:szCs w:val="20"/>
              </w:rPr>
              <w:t>fuel_energy</w:t>
            </w:r>
            <w:proofErr w:type="spellEnd"/>
            <w:r>
              <w:rPr>
                <w:sz w:val="20"/>
                <w:szCs w:val="20"/>
              </w:rPr>
              <w:t xml:space="preserve"> = production × SEC</w:t>
            </w:r>
          </w:p>
          <w:p w14:paraId="23DC53A2" w14:textId="77777777" w:rsidR="00375D3E" w:rsidRDefault="00375D3E" w:rsidP="00832424">
            <w:pPr>
              <w:spacing w:after="60"/>
              <w:jc w:val="both"/>
            </w:pPr>
            <w:proofErr w:type="spellStart"/>
            <w:r>
              <w:rPr>
                <w:sz w:val="20"/>
                <w:szCs w:val="20"/>
              </w:rPr>
              <w:t>useful_heat</w:t>
            </w:r>
            <w:proofErr w:type="spellEnd"/>
            <w:r>
              <w:rPr>
                <w:sz w:val="20"/>
                <w:szCs w:val="20"/>
              </w:rPr>
              <w:t xml:space="preserve"> = </w:t>
            </w:r>
            <w:proofErr w:type="spellStart"/>
            <w:r>
              <w:rPr>
                <w:sz w:val="20"/>
                <w:szCs w:val="20"/>
              </w:rPr>
              <w:t>fuel_energy</w:t>
            </w:r>
            <w:proofErr w:type="spellEnd"/>
            <w:r>
              <w:rPr>
                <w:sz w:val="20"/>
                <w:szCs w:val="20"/>
              </w:rPr>
              <w:t xml:space="preserve"> × </w:t>
            </w:r>
            <w:proofErr w:type="spellStart"/>
            <w:r>
              <w:rPr>
                <w:sz w:val="20"/>
                <w:szCs w:val="20"/>
              </w:rPr>
              <w:t>η_process</w:t>
            </w:r>
            <w:proofErr w:type="spellEnd"/>
          </w:p>
        </w:tc>
      </w:tr>
      <w:tr w:rsidR="00375D3E" w14:paraId="39F69650" w14:textId="77777777" w:rsidTr="00375D3E">
        <w:trPr>
          <w:trHeight w:val="557"/>
        </w:trPr>
        <w:tc>
          <w:tcPr>
            <w:tcW w:w="1189" w:type="dxa"/>
            <w:tcMar>
              <w:top w:w="80" w:type="dxa"/>
              <w:left w:w="100" w:type="dxa"/>
              <w:bottom w:w="80" w:type="dxa"/>
              <w:right w:w="100" w:type="dxa"/>
            </w:tcMar>
          </w:tcPr>
          <w:p w14:paraId="35A5C5A2" w14:textId="77777777" w:rsidR="00375D3E" w:rsidRDefault="00375D3E" w:rsidP="00832424">
            <w:pPr>
              <w:spacing w:after="60"/>
              <w:jc w:val="both"/>
            </w:pPr>
            <w:r>
              <w:rPr>
                <w:sz w:val="20"/>
                <w:szCs w:val="20"/>
              </w:rPr>
              <w:t>Emissions route</w:t>
            </w:r>
          </w:p>
        </w:tc>
        <w:tc>
          <w:tcPr>
            <w:tcW w:w="3756" w:type="dxa"/>
            <w:tcMar>
              <w:top w:w="80" w:type="dxa"/>
              <w:left w:w="100" w:type="dxa"/>
              <w:bottom w:w="80" w:type="dxa"/>
              <w:right w:w="100" w:type="dxa"/>
            </w:tcMar>
          </w:tcPr>
          <w:p w14:paraId="339BA926" w14:textId="77777777" w:rsidR="00375D3E" w:rsidRDefault="00375D3E" w:rsidP="00832424">
            <w:pPr>
              <w:spacing w:after="40"/>
              <w:jc w:val="both"/>
            </w:pPr>
            <w:proofErr w:type="spellStart"/>
            <w:r>
              <w:rPr>
                <w:sz w:val="20"/>
                <w:szCs w:val="20"/>
              </w:rPr>
              <w:t>fuel_energy</w:t>
            </w:r>
            <w:proofErr w:type="spellEnd"/>
            <w:r>
              <w:rPr>
                <w:sz w:val="20"/>
                <w:szCs w:val="20"/>
              </w:rPr>
              <w:t xml:space="preserve"> = (</w:t>
            </w:r>
            <w:proofErr w:type="spellStart"/>
            <w:r>
              <w:rPr>
                <w:sz w:val="20"/>
                <w:szCs w:val="20"/>
              </w:rPr>
              <w:t>CO₂e</w:t>
            </w:r>
            <w:proofErr w:type="spellEnd"/>
            <w:r>
              <w:rPr>
                <w:sz w:val="20"/>
                <w:szCs w:val="20"/>
              </w:rPr>
              <w:t xml:space="preserve"> × </w:t>
            </w:r>
            <w:proofErr w:type="spellStart"/>
            <w:r>
              <w:rPr>
                <w:sz w:val="20"/>
                <w:szCs w:val="20"/>
              </w:rPr>
              <w:t>combustion_share</w:t>
            </w:r>
            <w:proofErr w:type="spellEnd"/>
            <w:r>
              <w:rPr>
                <w:sz w:val="20"/>
                <w:szCs w:val="20"/>
              </w:rPr>
              <w:t xml:space="preserve">) / </w:t>
            </w:r>
            <w:proofErr w:type="spellStart"/>
            <w:r>
              <w:rPr>
                <w:sz w:val="20"/>
                <w:szCs w:val="20"/>
              </w:rPr>
              <w:t>emissions_factor</w:t>
            </w:r>
            <w:proofErr w:type="spellEnd"/>
          </w:p>
          <w:p w14:paraId="75B4F3B6" w14:textId="77777777" w:rsidR="00375D3E" w:rsidRDefault="00375D3E" w:rsidP="00832424">
            <w:pPr>
              <w:spacing w:after="60"/>
              <w:jc w:val="both"/>
            </w:pPr>
            <w:proofErr w:type="spellStart"/>
            <w:r>
              <w:rPr>
                <w:sz w:val="20"/>
                <w:szCs w:val="20"/>
              </w:rPr>
              <w:t>useful_heat</w:t>
            </w:r>
            <w:proofErr w:type="spellEnd"/>
            <w:r>
              <w:rPr>
                <w:sz w:val="20"/>
                <w:szCs w:val="20"/>
              </w:rPr>
              <w:t xml:space="preserve"> = </w:t>
            </w:r>
            <w:proofErr w:type="spellStart"/>
            <w:r>
              <w:rPr>
                <w:sz w:val="20"/>
                <w:szCs w:val="20"/>
              </w:rPr>
              <w:t>fuel_energy</w:t>
            </w:r>
            <w:proofErr w:type="spellEnd"/>
            <w:r>
              <w:rPr>
                <w:sz w:val="20"/>
                <w:szCs w:val="20"/>
              </w:rPr>
              <w:t xml:space="preserve"> × </w:t>
            </w:r>
            <w:proofErr w:type="spellStart"/>
            <w:r>
              <w:rPr>
                <w:sz w:val="20"/>
                <w:szCs w:val="20"/>
              </w:rPr>
              <w:t>η_boiler</w:t>
            </w:r>
            <w:proofErr w:type="spellEnd"/>
          </w:p>
        </w:tc>
      </w:tr>
      <w:tr w:rsidR="00375D3E" w14:paraId="6308106C" w14:textId="77777777" w:rsidTr="00375D3E">
        <w:trPr>
          <w:trHeight w:val="296"/>
        </w:trPr>
        <w:tc>
          <w:tcPr>
            <w:tcW w:w="1189" w:type="dxa"/>
            <w:tcMar>
              <w:top w:w="80" w:type="dxa"/>
              <w:left w:w="100" w:type="dxa"/>
              <w:bottom w:w="80" w:type="dxa"/>
              <w:right w:w="100" w:type="dxa"/>
            </w:tcMar>
          </w:tcPr>
          <w:p w14:paraId="43F14504" w14:textId="77777777" w:rsidR="00375D3E" w:rsidRDefault="00375D3E" w:rsidP="00832424">
            <w:pPr>
              <w:spacing w:after="60"/>
              <w:jc w:val="both"/>
            </w:pPr>
            <w:r>
              <w:rPr>
                <w:sz w:val="20"/>
                <w:szCs w:val="20"/>
              </w:rPr>
              <w:t>Replaceable heat</w:t>
            </w:r>
          </w:p>
        </w:tc>
        <w:tc>
          <w:tcPr>
            <w:tcW w:w="3756" w:type="dxa"/>
            <w:tcMar>
              <w:top w:w="80" w:type="dxa"/>
              <w:left w:w="100" w:type="dxa"/>
              <w:bottom w:w="80" w:type="dxa"/>
              <w:right w:w="100" w:type="dxa"/>
            </w:tcMar>
          </w:tcPr>
          <w:p w14:paraId="19F18F02" w14:textId="5B502614" w:rsidR="00375D3E" w:rsidRDefault="00375D3E" w:rsidP="00832424">
            <w:pPr>
              <w:spacing w:after="60"/>
              <w:jc w:val="both"/>
            </w:pPr>
            <w:proofErr w:type="spellStart"/>
            <w:r>
              <w:rPr>
                <w:sz w:val="20"/>
                <w:szCs w:val="20"/>
              </w:rPr>
              <w:t>replaceable_heat</w:t>
            </w:r>
            <w:proofErr w:type="spellEnd"/>
            <w:r>
              <w:rPr>
                <w:sz w:val="20"/>
                <w:szCs w:val="20"/>
              </w:rPr>
              <w:t>=</w:t>
            </w:r>
            <w:proofErr w:type="spellStart"/>
            <w:r>
              <w:rPr>
                <w:sz w:val="20"/>
                <w:szCs w:val="20"/>
              </w:rPr>
              <w:t>useful_heat</w:t>
            </w:r>
            <w:proofErr w:type="spellEnd"/>
            <w:r>
              <w:rPr>
                <w:sz w:val="20"/>
                <w:szCs w:val="20"/>
              </w:rPr>
              <w:t xml:space="preserve"> × </w:t>
            </w:r>
            <w:proofErr w:type="spellStart"/>
            <w:r>
              <w:rPr>
                <w:sz w:val="20"/>
                <w:szCs w:val="20"/>
              </w:rPr>
              <w:t>fossil_share</w:t>
            </w:r>
            <w:proofErr w:type="spellEnd"/>
          </w:p>
        </w:tc>
      </w:tr>
    </w:tbl>
    <w:p w14:paraId="6CB1360F" w14:textId="472765EF" w:rsidR="00E764E3" w:rsidRDefault="00E764E3" w:rsidP="00832424">
      <w:pPr>
        <w:jc w:val="both"/>
        <w:rPr>
          <w:color w:val="000000" w:themeColor="text1"/>
          <w:sz w:val="20"/>
          <w:szCs w:val="20"/>
        </w:rPr>
      </w:pPr>
      <w:r>
        <w:rPr>
          <w:color w:val="000000" w:themeColor="text1"/>
          <w:sz w:val="20"/>
          <w:szCs w:val="20"/>
        </w:rPr>
        <w:t>To validate the heat estimates, we compared against sector and country wide useful heat aggregates and determined it is within +-50% of reference data</w:t>
      </w:r>
      <w:r w:rsidR="0031397E">
        <w:rPr>
          <w:color w:val="000000" w:themeColor="text1"/>
          <w:sz w:val="20"/>
          <w:szCs w:val="20"/>
        </w:rPr>
        <w:t xml:space="preserve"> </w:t>
      </w:r>
      <w:r w:rsidR="0031397E">
        <w:rPr>
          <w:color w:val="000000" w:themeColor="text1"/>
          <w:sz w:val="20"/>
          <w:szCs w:val="20"/>
        </w:rPr>
        <w:fldChar w:fldCharType="begin"/>
      </w:r>
      <w:r w:rsidR="0031397E">
        <w:rPr>
          <w:color w:val="000000" w:themeColor="text1"/>
          <w:sz w:val="20"/>
          <w:szCs w:val="20"/>
        </w:rPr>
        <w:instrText xml:space="preserve"> ADDIN ZOTERO_ITEM CSL_CITATION {"citationID":"2tHKajml","properties":{"unsorted":false,"formattedCitation":"[18]","plainCitation":"[18]","noteIndex":0},"citationItems":[{"id":403,"uris":["http://zotero.org/users/20280584/items/DFSZ9VTT"],"itemData":{"id":403,"type":"dataset","citation-key":"zotero-item-403","DOI":"10.2905/JRC.JPXYRT8","title":"JRC-IDEES-2023. European Commission, Joint Research Centre.","author":[{"literal":"Rozsai, Mate; Jaxa-Rozen, Marc; Salvucci, Raffaele; Sikora, Przemyslaw; Gea Bermudez, Juan; Neuwahl, Frederik"}],"issued":{"date-parts":[["2026"]]}}}],"schema":"https://github.com/citation-style-language/schema/raw/master/csl-citation.json"} </w:instrText>
      </w:r>
      <w:r w:rsidR="0031397E">
        <w:rPr>
          <w:color w:val="000000" w:themeColor="text1"/>
          <w:sz w:val="20"/>
          <w:szCs w:val="20"/>
        </w:rPr>
        <w:fldChar w:fldCharType="separate"/>
      </w:r>
      <w:r w:rsidR="0031397E">
        <w:rPr>
          <w:noProof/>
          <w:color w:val="000000" w:themeColor="text1"/>
          <w:sz w:val="20"/>
          <w:szCs w:val="20"/>
        </w:rPr>
        <w:t>[18]</w:t>
      </w:r>
      <w:r w:rsidR="0031397E">
        <w:rPr>
          <w:color w:val="000000" w:themeColor="text1"/>
          <w:sz w:val="20"/>
          <w:szCs w:val="20"/>
        </w:rPr>
        <w:fldChar w:fldCharType="end"/>
      </w:r>
      <w:r w:rsidR="000B2928">
        <w:rPr>
          <w:color w:val="000000" w:themeColor="text1"/>
          <w:sz w:val="20"/>
          <w:szCs w:val="20"/>
        </w:rPr>
        <w:t>.</w:t>
      </w:r>
      <w:r>
        <w:rPr>
          <w:color w:val="000000" w:themeColor="text1"/>
          <w:sz w:val="20"/>
          <w:szCs w:val="20"/>
        </w:rPr>
        <w:t xml:space="preserve"> </w:t>
      </w:r>
    </w:p>
    <w:p w14:paraId="2633E210" w14:textId="77777777" w:rsidR="00375D3E" w:rsidRDefault="000E3837" w:rsidP="00832424">
      <w:pPr>
        <w:jc w:val="both"/>
        <w:rPr>
          <w:i/>
          <w:color w:val="000000" w:themeColor="text1"/>
          <w:sz w:val="20"/>
          <w:szCs w:val="20"/>
        </w:rPr>
      </w:pPr>
      <w:r>
        <w:rPr>
          <w:i/>
          <w:color w:val="000000" w:themeColor="text1"/>
          <w:sz w:val="20"/>
          <w:szCs w:val="20"/>
        </w:rPr>
        <w:t>2.2 Solar Radiation</w:t>
      </w:r>
    </w:p>
    <w:p w14:paraId="2F7439A9" w14:textId="461BAF2C" w:rsidR="00375D3E" w:rsidRDefault="00DF605E" w:rsidP="00832424">
      <w:pPr>
        <w:jc w:val="both"/>
        <w:rPr>
          <w:color w:val="000000" w:themeColor="text1"/>
          <w:sz w:val="20"/>
          <w:szCs w:val="20"/>
        </w:rPr>
      </w:pPr>
      <w:r>
        <w:rPr>
          <w:color w:val="000000" w:themeColor="text1"/>
          <w:sz w:val="20"/>
          <w:szCs w:val="20"/>
        </w:rPr>
        <w:t xml:space="preserve">Solar capacity factor, the amount of solar power output relative to nameplate, is pulled from PVGIS using ERA5 data for 2023. </w:t>
      </w:r>
      <w:r>
        <w:rPr>
          <w:color w:val="000000" w:themeColor="text1"/>
          <w:sz w:val="20"/>
          <w:szCs w:val="20"/>
        </w:rPr>
        <w:t xml:space="preserve">Hourly profiles are pulled for each facility and </w:t>
      </w:r>
      <w:r w:rsidR="0024473B">
        <w:rPr>
          <w:color w:val="000000" w:themeColor="text1"/>
          <w:sz w:val="20"/>
          <w:szCs w:val="20"/>
        </w:rPr>
        <w:t>normalis</w:t>
      </w:r>
      <w:r>
        <w:rPr>
          <w:color w:val="000000" w:themeColor="text1"/>
          <w:sz w:val="20"/>
          <w:szCs w:val="20"/>
        </w:rPr>
        <w:t xml:space="preserve">ed to 1 </w:t>
      </w:r>
      <w:proofErr w:type="spellStart"/>
      <w:r>
        <w:rPr>
          <w:color w:val="000000" w:themeColor="text1"/>
          <w:sz w:val="20"/>
          <w:szCs w:val="20"/>
        </w:rPr>
        <w:t>kWp</w:t>
      </w:r>
      <w:proofErr w:type="spellEnd"/>
      <w:r>
        <w:rPr>
          <w:color w:val="000000" w:themeColor="text1"/>
          <w:sz w:val="20"/>
          <w:szCs w:val="20"/>
        </w:rPr>
        <w:t xml:space="preserve">. It is then summed over a year and divided by 8760 to get the average solar capacity factor. The tilt is set to the absolute latitude and azimuth is south facing. </w:t>
      </w:r>
    </w:p>
    <w:p w14:paraId="35859CAF" w14:textId="77777777" w:rsidR="00C20CD1" w:rsidRPr="00AC7BF9" w:rsidRDefault="00D24C16" w:rsidP="00832424">
      <w:pPr>
        <w:jc w:val="both"/>
        <w:rPr>
          <w:i/>
          <w:color w:val="000000" w:themeColor="text1"/>
          <w:sz w:val="20"/>
          <w:szCs w:val="20"/>
        </w:rPr>
      </w:pPr>
      <w:r>
        <w:rPr>
          <w:i/>
          <w:color w:val="000000" w:themeColor="text1"/>
          <w:sz w:val="20"/>
          <w:szCs w:val="20"/>
        </w:rPr>
        <w:t>2.3 Land Availability</w:t>
      </w:r>
    </w:p>
    <w:p w14:paraId="61D8AD47" w14:textId="130F3830" w:rsidR="000E3837" w:rsidRPr="00F4369E" w:rsidRDefault="00AC7BF9" w:rsidP="00832424">
      <w:pPr>
        <w:jc w:val="both"/>
        <w:rPr>
          <w:color w:val="000000" w:themeColor="text1"/>
          <w:sz w:val="20"/>
          <w:szCs w:val="20"/>
        </w:rPr>
      </w:pPr>
      <w:r>
        <w:rPr>
          <w:iCs/>
          <w:color w:val="000000" w:themeColor="text1"/>
          <w:sz w:val="20"/>
          <w:szCs w:val="20"/>
        </w:rPr>
        <w:t xml:space="preserve">We aggregated the square km of cropland, bare, grass and shrubland around each facility in </w:t>
      </w:r>
      <w:r w:rsidR="0091773C">
        <w:rPr>
          <w:iCs/>
          <w:color w:val="000000" w:themeColor="text1"/>
          <w:sz w:val="20"/>
          <w:szCs w:val="20"/>
        </w:rPr>
        <w:t>5 km</w:t>
      </w:r>
      <w:r>
        <w:rPr>
          <w:iCs/>
          <w:color w:val="000000" w:themeColor="text1"/>
          <w:sz w:val="20"/>
          <w:szCs w:val="20"/>
        </w:rPr>
        <w:t xml:space="preserve"> and 1</w:t>
      </w:r>
      <w:r w:rsidR="0091773C">
        <w:rPr>
          <w:iCs/>
          <w:color w:val="000000" w:themeColor="text1"/>
          <w:sz w:val="20"/>
          <w:szCs w:val="20"/>
        </w:rPr>
        <w:t>5 km</w:t>
      </w:r>
      <w:r>
        <w:rPr>
          <w:iCs/>
          <w:color w:val="000000" w:themeColor="text1"/>
          <w:sz w:val="20"/>
          <w:szCs w:val="20"/>
        </w:rPr>
        <w:t xml:space="preserve"> buffer zones using </w:t>
      </w:r>
      <w:r w:rsidR="00671600">
        <w:rPr>
          <w:iCs/>
          <w:color w:val="000000" w:themeColor="text1"/>
          <w:sz w:val="20"/>
          <w:szCs w:val="20"/>
        </w:rPr>
        <w:t>G</w:t>
      </w:r>
      <w:r>
        <w:rPr>
          <w:iCs/>
          <w:color w:val="000000" w:themeColor="text1"/>
          <w:sz w:val="20"/>
          <w:szCs w:val="20"/>
        </w:rPr>
        <w:t xml:space="preserve">oogle </w:t>
      </w:r>
      <w:r w:rsidR="00671600">
        <w:rPr>
          <w:iCs/>
          <w:color w:val="000000" w:themeColor="text1"/>
          <w:sz w:val="20"/>
          <w:szCs w:val="20"/>
        </w:rPr>
        <w:t>E</w:t>
      </w:r>
      <w:r>
        <w:rPr>
          <w:iCs/>
          <w:color w:val="000000" w:themeColor="text1"/>
          <w:sz w:val="20"/>
          <w:szCs w:val="20"/>
        </w:rPr>
        <w:t xml:space="preserve">arth </w:t>
      </w:r>
      <w:r w:rsidR="00671600">
        <w:rPr>
          <w:iCs/>
          <w:color w:val="000000" w:themeColor="text1"/>
          <w:sz w:val="20"/>
          <w:szCs w:val="20"/>
        </w:rPr>
        <w:t>E</w:t>
      </w:r>
      <w:r>
        <w:rPr>
          <w:iCs/>
          <w:color w:val="000000" w:themeColor="text1"/>
          <w:sz w:val="20"/>
          <w:szCs w:val="20"/>
        </w:rPr>
        <w:t xml:space="preserve">ngine and ESA WorldCover v200 (2021) map. </w:t>
      </w:r>
      <w:r w:rsidR="00E03C5E" w:rsidRPr="00E03C5E">
        <w:rPr>
          <w:color w:val="000000" w:themeColor="text1"/>
          <w:sz w:val="20"/>
          <w:szCs w:val="20"/>
        </w:rPr>
        <w:t xml:space="preserve">A nameplate power density of 50 </w:t>
      </w:r>
      <w:proofErr w:type="spellStart"/>
      <w:r w:rsidR="00E03C5E" w:rsidRPr="00E03C5E">
        <w:rPr>
          <w:color w:val="000000" w:themeColor="text1"/>
          <w:sz w:val="20"/>
          <w:szCs w:val="20"/>
        </w:rPr>
        <w:t>MWdc</w:t>
      </w:r>
      <w:proofErr w:type="spellEnd"/>
      <w:r w:rsidR="00E03C5E" w:rsidRPr="00E03C5E">
        <w:rPr>
          <w:color w:val="000000" w:themeColor="text1"/>
          <w:sz w:val="20"/>
          <w:szCs w:val="20"/>
        </w:rPr>
        <w:t>/km² is assumed, which caps the solar capacity that can be installed on the eligible land at each site.</w:t>
      </w:r>
    </w:p>
    <w:p w14:paraId="51D9FF8F" w14:textId="77777777" w:rsidR="009C3CCD" w:rsidRPr="00AC7BF9" w:rsidRDefault="009C3CCD" w:rsidP="00832424">
      <w:pPr>
        <w:jc w:val="both"/>
        <w:rPr>
          <w:i/>
          <w:color w:val="000000" w:themeColor="text1"/>
          <w:sz w:val="20"/>
          <w:szCs w:val="20"/>
        </w:rPr>
      </w:pPr>
      <w:r>
        <w:rPr>
          <w:i/>
          <w:color w:val="000000" w:themeColor="text1"/>
          <w:sz w:val="20"/>
          <w:szCs w:val="20"/>
        </w:rPr>
        <w:t>2.4 Technology Cost Data</w:t>
      </w:r>
    </w:p>
    <w:p w14:paraId="5D6F8EF1" w14:textId="3615430D" w:rsidR="003F60A4" w:rsidRDefault="002556B6" w:rsidP="00832424">
      <w:pPr>
        <w:jc w:val="both"/>
        <w:rPr>
          <w:iCs/>
          <w:color w:val="000000" w:themeColor="text1"/>
          <w:sz w:val="20"/>
          <w:szCs w:val="20"/>
        </w:rPr>
      </w:pPr>
      <w:r>
        <w:rPr>
          <w:iCs/>
          <w:color w:val="000000" w:themeColor="text1"/>
          <w:sz w:val="20"/>
          <w:szCs w:val="20"/>
        </w:rPr>
        <w:t xml:space="preserve">All costs are set in 2030-dollar values and assumes </w:t>
      </w:r>
      <w:r w:rsidR="00E76296">
        <w:rPr>
          <w:iCs/>
          <w:color w:val="000000" w:themeColor="text1"/>
          <w:sz w:val="20"/>
          <w:szCs w:val="20"/>
        </w:rPr>
        <w:t xml:space="preserve">construction start </w:t>
      </w:r>
      <w:r>
        <w:rPr>
          <w:iCs/>
          <w:color w:val="000000" w:themeColor="text1"/>
          <w:sz w:val="20"/>
          <w:szCs w:val="20"/>
        </w:rPr>
        <w:t>in 2030. Technolog</w:t>
      </w:r>
      <w:r w:rsidR="00465D64">
        <w:rPr>
          <w:iCs/>
          <w:color w:val="000000" w:themeColor="text1"/>
          <w:sz w:val="20"/>
          <w:szCs w:val="20"/>
        </w:rPr>
        <w:t>ies</w:t>
      </w:r>
      <w:r w:rsidR="0046100C">
        <w:rPr>
          <w:iCs/>
          <w:color w:val="000000" w:themeColor="text1"/>
          <w:sz w:val="20"/>
          <w:szCs w:val="20"/>
        </w:rPr>
        <w:t>, both solar and storage</w:t>
      </w:r>
      <w:r w:rsidR="00465D64">
        <w:rPr>
          <w:iCs/>
          <w:color w:val="000000" w:themeColor="text1"/>
          <w:sz w:val="20"/>
          <w:szCs w:val="20"/>
        </w:rPr>
        <w:t>, are</w:t>
      </w:r>
      <w:r>
        <w:rPr>
          <w:iCs/>
          <w:color w:val="000000" w:themeColor="text1"/>
          <w:sz w:val="20"/>
          <w:szCs w:val="20"/>
        </w:rPr>
        <w:t xml:space="preserve"> assumed to have 25-year life. Capital expenditure and fixed operation and maintenance costs of solar panels and utility scale batteries are gathered from </w:t>
      </w:r>
      <w:proofErr w:type="spellStart"/>
      <w:r>
        <w:rPr>
          <w:iCs/>
          <w:color w:val="000000" w:themeColor="text1"/>
          <w:sz w:val="20"/>
          <w:szCs w:val="20"/>
        </w:rPr>
        <w:t>BloombergNEF</w:t>
      </w:r>
      <w:proofErr w:type="spellEnd"/>
      <w:r>
        <w:rPr>
          <w:iCs/>
          <w:color w:val="000000" w:themeColor="text1"/>
          <w:sz w:val="20"/>
          <w:szCs w:val="20"/>
        </w:rPr>
        <w:t xml:space="preserve"> (BNEF) </w:t>
      </w:r>
      <w:r>
        <w:rPr>
          <w:iCs/>
          <w:color w:val="000000" w:themeColor="text1"/>
          <w:sz w:val="20"/>
          <w:szCs w:val="20"/>
        </w:rPr>
        <w:fldChar w:fldCharType="begin"/>
      </w:r>
      <w:r w:rsidR="004000C5">
        <w:rPr>
          <w:iCs/>
          <w:color w:val="000000" w:themeColor="text1"/>
          <w:sz w:val="20"/>
          <w:szCs w:val="20"/>
        </w:rPr>
        <w:instrText xml:space="preserve"> ADDIN ZOTERO_ITEM CSL_CITATION {"citationID":"clVQiDAd","properties":{"unsorted":false,"formattedCitation":"[19]","plainCitation":"[19]","noteIndex":0},"citationItems":[{"id":364,"uris":["http://zotero.org/users/20280584/items/MGMQJMIW"],"itemData":{"id":364,"type":"dataset","abstract":"BNEF is a strategic research provider delivering clear perspectives on global commodity markets and the disruptive technologies driving the energy transition.","citation-key":"BloombergNEF","language":"en-US","title":"2H 2024 LCOE Data Viewer: country-level solar PV and utility-scale 4 h battery costs, 2030","author":[{"literal":"BloombergNEF"}],"accessed":{"date-parts":[["2026",8,3]]},"issued":{"date-parts":[["2024"]]}}}],"schema":"https://github.com/citation-style-language/schema/raw/master/csl-citation.json"} </w:instrText>
      </w:r>
      <w:r>
        <w:rPr>
          <w:iCs/>
          <w:color w:val="000000" w:themeColor="text1"/>
          <w:sz w:val="20"/>
          <w:szCs w:val="20"/>
        </w:rPr>
        <w:fldChar w:fldCharType="separate"/>
      </w:r>
      <w:r w:rsidR="004000C5">
        <w:rPr>
          <w:iCs/>
          <w:noProof/>
          <w:color w:val="000000" w:themeColor="text1"/>
          <w:sz w:val="20"/>
          <w:szCs w:val="20"/>
        </w:rPr>
        <w:t>[19]</w:t>
      </w:r>
      <w:r>
        <w:rPr>
          <w:iCs/>
          <w:color w:val="000000" w:themeColor="text1"/>
          <w:sz w:val="20"/>
          <w:szCs w:val="20"/>
        </w:rPr>
        <w:fldChar w:fldCharType="end"/>
      </w:r>
      <w:r>
        <w:rPr>
          <w:iCs/>
          <w:color w:val="000000" w:themeColor="text1"/>
          <w:sz w:val="20"/>
          <w:szCs w:val="20"/>
        </w:rPr>
        <w:t xml:space="preserve"> for 2030 by country. Heat pump costs by temperature band </w:t>
      </w:r>
      <w:r>
        <w:rPr>
          <w:iCs/>
          <w:color w:val="000000" w:themeColor="text1"/>
          <w:sz w:val="20"/>
          <w:szCs w:val="20"/>
        </w:rPr>
        <w:fldChar w:fldCharType="begin"/>
      </w:r>
      <w:r w:rsidR="004000C5">
        <w:rPr>
          <w:iCs/>
          <w:color w:val="000000" w:themeColor="text1"/>
          <w:sz w:val="20"/>
          <w:szCs w:val="20"/>
        </w:rPr>
        <w:instrText xml:space="preserve"> ADDIN ZOTERO_ITEM CSL_CITATION {"citationID":"TBp8yoda","properties":{"unsorted":false,"formattedCitation":"[20]","plainCitation":"[20]","noteIndex":0},"citationItems":[{"id":340,"uris":["http://zotero.org/users/20280584/items/Y8THTIGB"],"itemData":{"id":340,"type":"article-journal","citation-key":"rissmanDecarbonizingLowTemperatureIndustrial","language":"en","source":"Zotero","title":"Decarbonizing Low-Temperature Industrial Heat in the U.S.","URL":"https://energyinnovation.org/report/decarbonizing-low-temperature-industrial-heat-in-the-u-s/","author":[{"family":"Rissman","given":"Jeffrey"}],"issued":{"date-parts":[["2020",10,20]]}}}],"schema":"https://github.com/citation-style-language/schema/raw/master/csl-citation.json"} </w:instrText>
      </w:r>
      <w:r>
        <w:rPr>
          <w:iCs/>
          <w:color w:val="000000" w:themeColor="text1"/>
          <w:sz w:val="20"/>
          <w:szCs w:val="20"/>
        </w:rPr>
        <w:fldChar w:fldCharType="separate"/>
      </w:r>
      <w:r w:rsidR="004000C5">
        <w:rPr>
          <w:iCs/>
          <w:noProof/>
          <w:color w:val="000000" w:themeColor="text1"/>
          <w:sz w:val="20"/>
          <w:szCs w:val="20"/>
        </w:rPr>
        <w:t>[20]</w:t>
      </w:r>
      <w:r>
        <w:rPr>
          <w:iCs/>
          <w:color w:val="000000" w:themeColor="text1"/>
          <w:sz w:val="20"/>
          <w:szCs w:val="20"/>
        </w:rPr>
        <w:fldChar w:fldCharType="end"/>
      </w:r>
      <w:r>
        <w:rPr>
          <w:iCs/>
          <w:color w:val="000000" w:themeColor="text1"/>
          <w:sz w:val="20"/>
          <w:szCs w:val="20"/>
        </w:rPr>
        <w:t xml:space="preserve"> and industrial heat batteries </w:t>
      </w:r>
      <w:r>
        <w:rPr>
          <w:iCs/>
          <w:color w:val="000000" w:themeColor="text1"/>
          <w:sz w:val="20"/>
          <w:szCs w:val="20"/>
        </w:rPr>
        <w:fldChar w:fldCharType="begin"/>
      </w:r>
      <w:r w:rsidR="004000C5">
        <w:rPr>
          <w:iCs/>
          <w:color w:val="000000" w:themeColor="text1"/>
          <w:sz w:val="20"/>
          <w:szCs w:val="20"/>
        </w:rPr>
        <w:instrText xml:space="preserve"> ADDIN ZOTERO_ITEM CSL_CITATION {"citationID":"Yd4NlQjE","properties":{"unsorted":false,"formattedCitation":"[21]","plainCitation":"[21]","noteIndex":0},"citationItems":[{"id":332,"uris":["http://zotero.org/users/20280584/items/AVYX7RDN"],"itemData":{"id":332,"type":"article-journal","citation-key":"rissmanIndustrialThermalBatteriesa","language":"en","source":"Zotero","title":"Thermal Batteries: Decarbonizing U.S. Industry While Supporting A High-Renewables Grid","URL":"https://energyinnovation.org/report/thermal-batteries-decarbonizing-u-s-industry-while-supporting-a-high-renewables-grid/","author":[{"family":"Rissman","given":"Jeffrey"},{"family":"Gimon","given":"Eric"}],"issued":{"date-parts":[["2023",7,12]]}}}],"schema":"https://github.com/citation-style-language/schema/raw/master/csl-citation.json"} </w:instrText>
      </w:r>
      <w:r>
        <w:rPr>
          <w:iCs/>
          <w:color w:val="000000" w:themeColor="text1"/>
          <w:sz w:val="20"/>
          <w:szCs w:val="20"/>
        </w:rPr>
        <w:fldChar w:fldCharType="separate"/>
      </w:r>
      <w:r w:rsidR="004000C5">
        <w:rPr>
          <w:iCs/>
          <w:noProof/>
          <w:color w:val="000000" w:themeColor="text1"/>
          <w:sz w:val="20"/>
          <w:szCs w:val="20"/>
        </w:rPr>
        <w:t>[21]</w:t>
      </w:r>
      <w:r>
        <w:rPr>
          <w:iCs/>
          <w:color w:val="000000" w:themeColor="text1"/>
          <w:sz w:val="20"/>
          <w:szCs w:val="20"/>
        </w:rPr>
        <w:fldChar w:fldCharType="end"/>
      </w:r>
      <w:r>
        <w:rPr>
          <w:iCs/>
          <w:color w:val="000000" w:themeColor="text1"/>
          <w:sz w:val="20"/>
          <w:szCs w:val="20"/>
        </w:rPr>
        <w:t xml:space="preserve"> are in 2021 and 2023 dollars respectively. </w:t>
      </w:r>
      <w:r w:rsidR="006F3BE1" w:rsidRPr="006F3BE1">
        <w:rPr>
          <w:iCs/>
          <w:color w:val="000000" w:themeColor="text1"/>
          <w:sz w:val="20"/>
          <w:szCs w:val="20"/>
        </w:rPr>
        <w:t>Both are CPI-inflated to 2030</w:t>
      </w:r>
      <w:r>
        <w:rPr>
          <w:iCs/>
          <w:color w:val="000000" w:themeColor="text1"/>
          <w:sz w:val="20"/>
          <w:szCs w:val="20"/>
        </w:rPr>
        <w:t xml:space="preserve"> which applies a factor of 1.31 and 1.17 respectively. Country specific costs from BNEF and cost of capital rates </w:t>
      </w:r>
      <w:r w:rsidR="00592F8F">
        <w:rPr>
          <w:iCs/>
          <w:color w:val="000000" w:themeColor="text1"/>
          <w:sz w:val="20"/>
          <w:szCs w:val="20"/>
        </w:rPr>
        <w:fldChar w:fldCharType="begin"/>
      </w:r>
      <w:r w:rsidR="004000C5">
        <w:rPr>
          <w:iCs/>
          <w:color w:val="000000" w:themeColor="text1"/>
          <w:sz w:val="20"/>
          <w:szCs w:val="20"/>
        </w:rPr>
        <w:instrText xml:space="preserve"> ADDIN ZOTERO_ITEM CSL_CITATION {"citationID":"VOoxwpxj","properties":{"unsorted":false,"formattedCitation":"[22]","plainCitation":"[22]","noteIndex":0},"citationItems":[{"id":401,"uris":["http://zotero.org/users/20280584/items/QDQEEJXZ"],"itemData":{"id":401,"type":"dataset","abstract":"This tenth edition of IRENA&amp;rsquo;s Renewable energy and jobs: Annual review, provides the latest data on renewable energy employment worldwide, as well as analysis of prevailing deployment trends and policy contexts.","citation-key":"RenewablePowerGeneration","language":"en","title":"Renewable Power Generation Costs in 2024","URL":"https://www.irena.org/Digital-Report/Renewable-Power-Generation-Costs-in-2024","author":[{"literal":"IRENA"}],"accessed":{"date-parts":[["2026",8,29]]},"issued":{"date-parts":[["2025"]]}}}],"schema":"https://github.com/citation-style-language/schema/raw/master/csl-citation.json"} </w:instrText>
      </w:r>
      <w:r w:rsidR="00592F8F">
        <w:rPr>
          <w:iCs/>
          <w:color w:val="000000" w:themeColor="text1"/>
          <w:sz w:val="20"/>
          <w:szCs w:val="20"/>
        </w:rPr>
        <w:fldChar w:fldCharType="separate"/>
      </w:r>
      <w:r w:rsidR="004000C5">
        <w:rPr>
          <w:iCs/>
          <w:noProof/>
          <w:color w:val="000000" w:themeColor="text1"/>
          <w:sz w:val="20"/>
          <w:szCs w:val="20"/>
        </w:rPr>
        <w:t>[22]</w:t>
      </w:r>
      <w:r w:rsidR="00592F8F">
        <w:rPr>
          <w:iCs/>
          <w:color w:val="000000" w:themeColor="text1"/>
          <w:sz w:val="20"/>
          <w:szCs w:val="20"/>
        </w:rPr>
        <w:fldChar w:fldCharType="end"/>
      </w:r>
      <w:r w:rsidR="00592F8F">
        <w:rPr>
          <w:iCs/>
          <w:color w:val="000000" w:themeColor="text1"/>
          <w:sz w:val="20"/>
          <w:szCs w:val="20"/>
        </w:rPr>
        <w:t xml:space="preserve"> </w:t>
      </w:r>
      <w:r>
        <w:rPr>
          <w:iCs/>
          <w:color w:val="000000" w:themeColor="text1"/>
          <w:sz w:val="20"/>
          <w:szCs w:val="20"/>
        </w:rPr>
        <w:t xml:space="preserve">are used when direct country costs are available and proxied by peer mean income country groups (HIC, LMIC, etc.) when not available. </w:t>
      </w:r>
      <w:r w:rsidR="003447F2" w:rsidRPr="003447F2">
        <w:rPr>
          <w:iCs/>
          <w:color w:val="000000" w:themeColor="text1"/>
          <w:sz w:val="20"/>
          <w:szCs w:val="20"/>
        </w:rPr>
        <w:t>All monetary results are reported in euros at a fixed EUR/USD rate of 1.08.</w:t>
      </w:r>
    </w:p>
    <w:p w14:paraId="550EEEBB" w14:textId="77777777" w:rsidR="00FE4FEA" w:rsidRPr="006F3C94" w:rsidRDefault="006F3C94" w:rsidP="00FE4FEA">
      <w:pPr>
        <w:jc w:val="both"/>
        <w:rPr>
          <w:iCs/>
          <w:color w:val="000000" w:themeColor="text1"/>
          <w:sz w:val="20"/>
          <w:szCs w:val="20"/>
        </w:rPr>
      </w:pPr>
      <w:r w:rsidRPr="006F3C94">
        <w:rPr>
          <w:iCs/>
          <w:color w:val="000000" w:themeColor="text1"/>
          <w:sz w:val="20"/>
          <w:szCs w:val="20"/>
        </w:rPr>
        <w:t xml:space="preserve">Capital costs are </w:t>
      </w:r>
      <w:proofErr w:type="spellStart"/>
      <w:r w:rsidR="0024473B">
        <w:rPr>
          <w:iCs/>
          <w:color w:val="000000" w:themeColor="text1"/>
          <w:sz w:val="20"/>
          <w:szCs w:val="20"/>
        </w:rPr>
        <w:t>annualise</w:t>
      </w:r>
      <w:r w:rsidRPr="006F3C94">
        <w:rPr>
          <w:iCs/>
          <w:color w:val="000000" w:themeColor="text1"/>
          <w:sz w:val="20"/>
          <w:szCs w:val="20"/>
        </w:rPr>
        <w:t>d</w:t>
      </w:r>
      <w:proofErr w:type="spellEnd"/>
      <w:r w:rsidRPr="006F3C94">
        <w:rPr>
          <w:iCs/>
          <w:color w:val="000000" w:themeColor="text1"/>
          <w:sz w:val="20"/>
          <w:szCs w:val="20"/>
        </w:rPr>
        <w:t xml:space="preserve"> using a standard capital recovery factor (CRF) assuming a 25-year technology life and country-specific </w:t>
      </w:r>
      <w:r w:rsidR="003F60A4">
        <w:rPr>
          <w:iCs/>
          <w:color w:val="000000" w:themeColor="text1"/>
          <w:sz w:val="20"/>
          <w:szCs w:val="20"/>
        </w:rPr>
        <w:t>cost of capital</w:t>
      </w:r>
      <w:r w:rsidRPr="006F3C94">
        <w:rPr>
          <w:iCs/>
          <w:color w:val="000000" w:themeColor="text1"/>
          <w:sz w:val="20"/>
          <w:szCs w:val="20"/>
        </w:rPr>
        <w:t xml:space="preserve">. Total </w:t>
      </w:r>
      <w:proofErr w:type="spellStart"/>
      <w:r w:rsidR="0024473B">
        <w:rPr>
          <w:iCs/>
          <w:color w:val="000000" w:themeColor="text1"/>
          <w:sz w:val="20"/>
          <w:szCs w:val="20"/>
        </w:rPr>
        <w:t>annualise</w:t>
      </w:r>
      <w:r w:rsidRPr="006F3C94">
        <w:rPr>
          <w:iCs/>
          <w:color w:val="000000" w:themeColor="text1"/>
          <w:sz w:val="20"/>
          <w:szCs w:val="20"/>
        </w:rPr>
        <w:t>d</w:t>
      </w:r>
      <w:proofErr w:type="spellEnd"/>
      <w:r w:rsidRPr="006F3C94">
        <w:rPr>
          <w:iCs/>
          <w:color w:val="000000" w:themeColor="text1"/>
          <w:sz w:val="20"/>
          <w:szCs w:val="20"/>
        </w:rPr>
        <w:t xml:space="preserve"> system cost, </w:t>
      </w:r>
      <m:oMath>
        <m:sSup>
          <m:sSupPr>
            <m:ctrlPr>
              <w:rPr>
                <w:rFonts w:ascii="Cambria Math" w:hAnsi="Cambria Math"/>
                <w:color w:val="000000" w:themeColor="text1"/>
                <w:sz w:val="20"/>
                <w:szCs w:val="20"/>
              </w:rPr>
            </m:ctrlPr>
          </m:sSupPr>
          <m:e>
            <m:r>
              <w:rPr>
                <w:rFonts w:ascii="Cambria Math" w:hAnsi="Cambria Math"/>
                <w:color w:val="000000" w:themeColor="text1"/>
                <w:sz w:val="20"/>
                <w:szCs w:val="20"/>
              </w:rPr>
              <m:t>C</m:t>
            </m:r>
          </m:e>
          <m:sup>
            <m:r>
              <w:rPr>
                <w:rFonts w:ascii="Cambria Math" w:hAnsi="Cambria Math"/>
                <w:color w:val="000000" w:themeColor="text1"/>
                <w:sz w:val="20"/>
                <w:szCs w:val="20"/>
              </w:rPr>
              <m:t>ann</m:t>
            </m:r>
          </m:sup>
        </m:sSup>
      </m:oMath>
      <w:r w:rsidRPr="006F3C94">
        <w:rPr>
          <w:iCs/>
          <w:color w:val="000000" w:themeColor="text1"/>
          <w:sz w:val="20"/>
          <w:szCs w:val="20"/>
        </w:rPr>
        <w:t xml:space="preserve">, sums four technology terms </w:t>
      </w:r>
      <w:r w:rsidR="00F95343">
        <w:rPr>
          <w:iCs/>
          <w:color w:val="000000" w:themeColor="text1"/>
          <w:sz w:val="20"/>
          <w:szCs w:val="20"/>
        </w:rPr>
        <w:t>(</w:t>
      </w:r>
      <w:r w:rsidRPr="006F3C94">
        <w:rPr>
          <w:iCs/>
          <w:color w:val="000000" w:themeColor="text1"/>
          <w:sz w:val="20"/>
          <w:szCs w:val="20"/>
        </w:rPr>
        <w:t>solar, Li-ion battery, industrial heat battery, and heat pump</w:t>
      </w:r>
      <w:r w:rsidR="00F95343">
        <w:rPr>
          <w:iCs/>
          <w:color w:val="000000" w:themeColor="text1"/>
          <w:sz w:val="20"/>
          <w:szCs w:val="20"/>
        </w:rPr>
        <w:t>).</w:t>
      </w:r>
      <w:r w:rsidRPr="006F3C94">
        <w:rPr>
          <w:iCs/>
          <w:color w:val="000000" w:themeColor="text1"/>
          <w:sz w:val="20"/>
          <w:szCs w:val="20"/>
        </w:rPr>
        <w:t xml:space="preserve"> </w:t>
      </w:r>
      <w:r w:rsidR="00FE4FEA" w:rsidRPr="006F3C94">
        <w:rPr>
          <w:iCs/>
          <w:color w:val="000000" w:themeColor="text1"/>
          <w:sz w:val="20"/>
          <w:szCs w:val="20"/>
        </w:rPr>
        <w:t>The Li-ion battery, industrial heat battery, and heat pump terms follow the same functional form using their respective CAPEX and FOM values described above.</w:t>
      </w:r>
    </w:p>
    <w:p w14:paraId="5C74BF14" w14:textId="38E962E3" w:rsidR="006F3C94" w:rsidRPr="003F60A4" w:rsidRDefault="00F95343" w:rsidP="00832424">
      <w:pPr>
        <w:jc w:val="both"/>
        <w:rPr>
          <w:color w:val="000000" w:themeColor="text1"/>
          <w:sz w:val="20"/>
          <w:szCs w:val="20"/>
        </w:rPr>
      </w:pPr>
      <w:r>
        <w:rPr>
          <w:iCs/>
          <w:color w:val="000000" w:themeColor="text1"/>
          <w:sz w:val="20"/>
          <w:szCs w:val="20"/>
        </w:rPr>
        <w:t>E</w:t>
      </w:r>
      <w:r w:rsidR="006F3C94" w:rsidRPr="006F3C94">
        <w:rPr>
          <w:iCs/>
          <w:color w:val="000000" w:themeColor="text1"/>
          <w:sz w:val="20"/>
          <w:szCs w:val="20"/>
        </w:rPr>
        <w:t>ach follow</w:t>
      </w:r>
      <w:r>
        <w:rPr>
          <w:iCs/>
          <w:color w:val="000000" w:themeColor="text1"/>
          <w:sz w:val="20"/>
          <w:szCs w:val="20"/>
        </w:rPr>
        <w:t>s</w:t>
      </w:r>
      <w:r w:rsidR="006F3C94" w:rsidRPr="006F3C94">
        <w:rPr>
          <w:iCs/>
          <w:color w:val="000000" w:themeColor="text1"/>
          <w:sz w:val="20"/>
          <w:szCs w:val="20"/>
        </w:rPr>
        <w:t xml:space="preserve"> the same general form, illustrated here for solar:</w:t>
      </w:r>
    </w:p>
    <w:p w14:paraId="05D35B47" w14:textId="77777777" w:rsidR="006F3C94" w:rsidRPr="006F3C94" w:rsidRDefault="006F3C94" w:rsidP="00832424">
      <w:pPr>
        <w:jc w:val="both"/>
        <w:rPr>
          <w:iCs/>
          <w:color w:val="000000" w:themeColor="text1"/>
          <w:sz w:val="20"/>
          <w:szCs w:val="20"/>
        </w:rPr>
      </w:pPr>
    </w:p>
    <w:p w14:paraId="3D952715" w14:textId="1AF21B53" w:rsidR="006F3C94" w:rsidRPr="006F3C94" w:rsidRDefault="00000000" w:rsidP="00FE4FEA">
      <w:pPr>
        <w:spacing w:after="240"/>
        <w:jc w:val="both"/>
        <w:rPr>
          <w:iCs/>
          <w:color w:val="000000" w:themeColor="text1"/>
          <w:sz w:val="20"/>
          <w:szCs w:val="20"/>
        </w:rPr>
      </w:pPr>
      <m:oMath>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C</m:t>
            </m:r>
          </m:e>
          <m:sub>
            <m:r>
              <w:rPr>
                <w:rFonts w:ascii="Cambria Math" w:hAnsi="Cambria Math"/>
                <w:color w:val="000000" w:themeColor="text1"/>
                <w:sz w:val="20"/>
                <w:szCs w:val="20"/>
              </w:rPr>
              <m:t>solar</m:t>
            </m:r>
          </m:sub>
          <m:sup>
            <m:r>
              <w:rPr>
                <w:rFonts w:ascii="Cambria Math" w:hAnsi="Cambria Math"/>
                <w:color w:val="000000" w:themeColor="text1"/>
                <w:sz w:val="20"/>
                <w:szCs w:val="20"/>
              </w:rPr>
              <m:t>ann</m:t>
            </m:r>
          </m:sup>
        </m:sSubSup>
        <m:r>
          <w:rPr>
            <w:rFonts w:ascii="Cambria Math" w:hAnsi="Cambria Math"/>
            <w:color w:val="000000" w:themeColor="text1"/>
            <w:sz w:val="20"/>
            <w:szCs w:val="20"/>
          </w:rPr>
          <m:t>=</m:t>
        </m:r>
        <m:d>
          <m:dPr>
            <m:ctrlPr>
              <w:rPr>
                <w:rFonts w:ascii="Cambria Math" w:hAnsi="Cambria Math"/>
                <w:color w:val="000000" w:themeColor="text1"/>
                <w:sz w:val="20"/>
                <w:szCs w:val="20"/>
              </w:rPr>
            </m:ctrlPr>
          </m:dPr>
          <m:e>
            <m:r>
              <w:rPr>
                <w:rFonts w:ascii="Cambria Math" w:hAnsi="Cambria Math"/>
                <w:color w:val="000000" w:themeColor="text1"/>
                <w:sz w:val="20"/>
                <w:szCs w:val="20"/>
              </w:rPr>
              <m:t>CAPE</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X</m:t>
                </m:r>
              </m:e>
              <m:sub>
                <m:r>
                  <w:rPr>
                    <w:rFonts w:ascii="Cambria Math" w:hAnsi="Cambria Math"/>
                    <w:color w:val="000000" w:themeColor="text1"/>
                    <w:sz w:val="20"/>
                    <w:szCs w:val="20"/>
                  </w:rPr>
                  <m:t>c</m:t>
                </m:r>
              </m:sub>
              <m:sup>
                <m:r>
                  <w:rPr>
                    <w:rFonts w:ascii="Cambria Math" w:hAnsi="Cambria Math"/>
                    <w:color w:val="000000" w:themeColor="text1"/>
                    <w:sz w:val="20"/>
                    <w:szCs w:val="20"/>
                  </w:rPr>
                  <m:t>PV</m:t>
                </m:r>
              </m:sup>
            </m:sSubSup>
            <m:r>
              <w:rPr>
                <w:rFonts w:ascii="Cambria Math" w:hAnsi="Cambria Math"/>
                <w:color w:val="000000" w:themeColor="text1"/>
                <w:sz w:val="20"/>
                <w:szCs w:val="20"/>
              </w:rPr>
              <m:t>⋅1000⋅CR</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F</m:t>
                </m:r>
              </m:e>
              <m:sub>
                <m:r>
                  <w:rPr>
                    <w:rFonts w:ascii="Cambria Math" w:hAnsi="Cambria Math"/>
                    <w:color w:val="000000" w:themeColor="text1"/>
                    <w:sz w:val="20"/>
                    <w:szCs w:val="20"/>
                  </w:rPr>
                  <m:t>c</m:t>
                </m:r>
              </m:sub>
            </m:sSub>
            <m:r>
              <w:rPr>
                <w:rFonts w:ascii="Cambria Math" w:hAnsi="Cambria Math"/>
                <w:color w:val="000000" w:themeColor="text1"/>
                <w:sz w:val="20"/>
                <w:szCs w:val="20"/>
              </w:rPr>
              <m:t>+FO</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M</m:t>
                </m:r>
              </m:e>
              <m:sub>
                <m:r>
                  <w:rPr>
                    <w:rFonts w:ascii="Cambria Math" w:hAnsi="Cambria Math"/>
                    <w:color w:val="000000" w:themeColor="text1"/>
                    <w:sz w:val="20"/>
                    <w:szCs w:val="20"/>
                  </w:rPr>
                  <m:t>c</m:t>
                </m:r>
              </m:sub>
              <m:sup>
                <m:r>
                  <w:rPr>
                    <w:rFonts w:ascii="Cambria Math" w:hAnsi="Cambria Math"/>
                    <w:color w:val="000000" w:themeColor="text1"/>
                    <w:sz w:val="20"/>
                    <w:szCs w:val="20"/>
                  </w:rPr>
                  <m:t>PV</m:t>
                </m:r>
              </m:sup>
            </m:sSubSup>
          </m:e>
        </m:d>
        <m:r>
          <w:rPr>
            <w:rFonts w:ascii="Cambria Math" w:hAnsi="Cambria Math"/>
            <w:color w:val="000000" w:themeColor="text1"/>
            <w:sz w:val="20"/>
            <w:szCs w:val="20"/>
          </w:rPr>
          <m:t>S*</m:t>
        </m:r>
      </m:oMath>
      <w:r w:rsidR="00D659A8">
        <w:rPr>
          <w:iCs/>
          <w:color w:val="000000" w:themeColor="text1"/>
          <w:sz w:val="20"/>
          <w:szCs w:val="20"/>
        </w:rPr>
        <w:t xml:space="preserve"> </w:t>
      </w:r>
      <m:oMath>
        <m:r>
          <w:rPr>
            <w:rFonts w:ascii="Cambria Math" w:hAnsi="Cambria Math"/>
            <w:color w:val="000000" w:themeColor="text1"/>
            <w:sz w:val="20"/>
            <w:szCs w:val="20"/>
          </w:rPr>
          <m:t>LCO</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H</m:t>
            </m:r>
          </m:e>
          <m:sub>
            <m:r>
              <w:rPr>
                <w:rFonts w:ascii="Cambria Math" w:hAnsi="Cambria Math"/>
                <w:color w:val="000000" w:themeColor="text1"/>
                <w:sz w:val="20"/>
                <w:szCs w:val="20"/>
              </w:rPr>
              <m:t>served</m:t>
            </m:r>
          </m:sub>
        </m:sSub>
        <m:r>
          <w:rPr>
            <w:rFonts w:ascii="Cambria Math" w:hAnsi="Cambria Math"/>
            <w:color w:val="000000" w:themeColor="text1"/>
            <w:sz w:val="20"/>
            <w:szCs w:val="20"/>
          </w:rPr>
          <m:t>=</m:t>
        </m:r>
        <m:f>
          <m:fPr>
            <m:ctrlPr>
              <w:rPr>
                <w:rFonts w:ascii="Cambria Math" w:hAnsi="Cambria Math"/>
                <w:color w:val="000000" w:themeColor="text1"/>
                <w:sz w:val="20"/>
                <w:szCs w:val="20"/>
              </w:rPr>
            </m:ctrlPr>
          </m:fPr>
          <m:num>
            <m:sSub>
              <m:sSubPr>
                <m:ctrlPr>
                  <w:rPr>
                    <w:rFonts w:ascii="Cambria Math" w:hAnsi="Cambria Math"/>
                    <w:color w:val="000000" w:themeColor="text1"/>
                    <w:sz w:val="20"/>
                    <w:szCs w:val="20"/>
                  </w:rPr>
                </m:ctrlPr>
              </m:sSubPr>
              <m:e>
                <m:r>
                  <w:rPr>
                    <w:rFonts w:ascii="Cambria Math" w:hAnsi="Cambria Math"/>
                    <w:color w:val="000000" w:themeColor="text1"/>
                    <w:sz w:val="20"/>
                    <w:szCs w:val="20"/>
                  </w:rPr>
                  <m:t>C</m:t>
                </m:r>
              </m:e>
              <m:sub>
                <m:r>
                  <w:rPr>
                    <w:rFonts w:ascii="Cambria Math" w:hAnsi="Cambria Math"/>
                    <w:color w:val="000000" w:themeColor="text1"/>
                    <w:sz w:val="20"/>
                    <w:szCs w:val="20"/>
                  </w:rPr>
                  <m:t>ann</m:t>
                </m:r>
              </m:sub>
            </m:sSub>
          </m:num>
          <m:den>
            <m:sSub>
              <m:sSubPr>
                <m:ctrlPr>
                  <w:rPr>
                    <w:rFonts w:ascii="Cambria Math" w:hAnsi="Cambria Math"/>
                    <w:color w:val="000000" w:themeColor="text1"/>
                    <w:sz w:val="20"/>
                    <w:szCs w:val="20"/>
                  </w:rPr>
                </m:ctrlPr>
              </m:sSubPr>
              <m:e>
                <m:r>
                  <w:rPr>
                    <w:rFonts w:ascii="Cambria Math" w:hAnsi="Cambria Math"/>
                    <w:color w:val="000000" w:themeColor="text1"/>
                    <w:sz w:val="20"/>
                    <w:szCs w:val="20"/>
                  </w:rPr>
                  <m:t>Q</m:t>
                </m:r>
              </m:e>
              <m:sub>
                <m:r>
                  <w:rPr>
                    <w:rFonts w:ascii="Cambria Math" w:hAnsi="Cambria Math"/>
                    <w:color w:val="000000" w:themeColor="text1"/>
                    <w:sz w:val="20"/>
                    <w:szCs w:val="20"/>
                  </w:rPr>
                  <m:t>served</m:t>
                </m:r>
              </m:sub>
            </m:sSub>
          </m:den>
        </m:f>
      </m:oMath>
      <w:r w:rsidR="001151A6">
        <w:rPr>
          <w:color w:val="000000" w:themeColor="text1"/>
          <w:sz w:val="20"/>
          <w:szCs w:val="20"/>
        </w:rPr>
        <w:t>}</w:t>
      </w:r>
      <w:r w:rsidR="006F3C94" w:rsidRPr="006F3C94">
        <w:rPr>
          <w:iCs/>
          <w:color w:val="000000" w:themeColor="text1"/>
          <w:sz w:val="20"/>
          <w:szCs w:val="20"/>
        </w:rPr>
        <w:t>,  </w:t>
      </w:r>
    </w:p>
    <w:p w14:paraId="68E23729" w14:textId="366973CD" w:rsidR="00FF04E4" w:rsidRDefault="006F3C94" w:rsidP="00C35915">
      <w:pPr>
        <w:spacing w:after="240"/>
        <w:jc w:val="both"/>
        <w:rPr>
          <w:iCs/>
          <w:color w:val="000000" w:themeColor="text1"/>
          <w:sz w:val="20"/>
          <w:szCs w:val="20"/>
        </w:rPr>
      </w:pPr>
      <w:r w:rsidRPr="006F3C94">
        <w:rPr>
          <w:iCs/>
          <w:color w:val="000000" w:themeColor="text1"/>
          <w:sz w:val="20"/>
          <w:szCs w:val="20"/>
        </w:rPr>
        <w:t xml:space="preserve">Where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r</m:t>
            </m:r>
          </m:e>
          <m:sub>
            <m:r>
              <w:rPr>
                <w:rFonts w:ascii="Cambria Math" w:hAnsi="Cambria Math"/>
                <w:color w:val="000000" w:themeColor="text1"/>
                <w:sz w:val="20"/>
                <w:szCs w:val="20"/>
              </w:rPr>
              <m:t>c</m:t>
            </m:r>
          </m:sub>
        </m:sSub>
        <m:r>
          <w:rPr>
            <w:rFonts w:ascii="Cambria Math" w:hAnsi="Cambria Math"/>
            <w:color w:val="000000" w:themeColor="text1"/>
            <w:sz w:val="20"/>
            <w:szCs w:val="20"/>
          </w:rPr>
          <m:t xml:space="preserve"> </m:t>
        </m:r>
      </m:oMath>
      <w:r w:rsidRPr="006F3C94">
        <w:rPr>
          <w:iCs/>
          <w:color w:val="000000" w:themeColor="text1"/>
          <w:sz w:val="20"/>
          <w:szCs w:val="20"/>
        </w:rPr>
        <w:t xml:space="preserve">is country WACC, S*, E*, P* are </w:t>
      </w:r>
      <w:r w:rsidR="00A66837">
        <w:rPr>
          <w:iCs/>
          <w:color w:val="000000" w:themeColor="text1"/>
          <w:sz w:val="20"/>
          <w:szCs w:val="20"/>
        </w:rPr>
        <w:t>optimis</w:t>
      </w:r>
      <w:r w:rsidRPr="006F3C94">
        <w:rPr>
          <w:iCs/>
          <w:color w:val="000000" w:themeColor="text1"/>
          <w:sz w:val="20"/>
          <w:szCs w:val="20"/>
        </w:rPr>
        <w:t xml:space="preserve">ed capacities, </w:t>
      </w:r>
      <m:oMath>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Q</m:t>
            </m:r>
          </m:e>
          <m:sub>
            <m:r>
              <w:rPr>
                <w:rFonts w:ascii="Cambria Math" w:hAnsi="Cambria Math"/>
                <w:color w:val="000000" w:themeColor="text1"/>
                <w:sz w:val="20"/>
                <w:szCs w:val="20"/>
              </w:rPr>
              <m:t xml:space="preserve">b </m:t>
            </m:r>
          </m:sub>
          <m:sup>
            <m:r>
              <w:rPr>
                <w:rFonts w:ascii="Cambria Math" w:hAnsi="Cambria Math"/>
                <w:color w:val="000000" w:themeColor="text1"/>
                <w:sz w:val="20"/>
                <w:szCs w:val="20"/>
              </w:rPr>
              <m:t>*</m:t>
            </m:r>
          </m:sup>
        </m:sSubSup>
      </m:oMath>
      <w:r w:rsidRPr="006F3C94">
        <w:rPr>
          <w:iCs/>
          <w:color w:val="000000" w:themeColor="text1"/>
          <w:sz w:val="20"/>
          <w:szCs w:val="20"/>
        </w:rPr>
        <w:t>is HP thermal capacity sized to served heat in band b, and Q</w:t>
      </w:r>
      <w:r w:rsidRPr="00563143">
        <w:rPr>
          <w:iCs/>
          <w:color w:val="000000" w:themeColor="text1"/>
          <w:sz w:val="20"/>
          <w:szCs w:val="20"/>
          <w:vertAlign w:val="subscript"/>
        </w:rPr>
        <w:t>served</w:t>
      </w:r>
      <w:r w:rsidRPr="006F3C94">
        <w:rPr>
          <w:iCs/>
          <w:color w:val="000000" w:themeColor="text1"/>
          <w:sz w:val="20"/>
          <w:szCs w:val="20"/>
        </w:rPr>
        <w:t>=Q</w:t>
      </w:r>
      <w:r w:rsidRPr="00563143">
        <w:rPr>
          <w:iCs/>
          <w:color w:val="000000" w:themeColor="text1"/>
          <w:sz w:val="20"/>
          <w:szCs w:val="20"/>
          <w:vertAlign w:val="subscript"/>
        </w:rPr>
        <w:t>demand</w:t>
      </w:r>
      <w:r w:rsidRPr="006F3C94">
        <w:rPr>
          <w:iCs/>
          <w:color w:val="000000" w:themeColor="text1"/>
          <w:sz w:val="20"/>
          <w:szCs w:val="20"/>
        </w:rPr>
        <w:t>-Q</w:t>
      </w:r>
      <w:r w:rsidRPr="00563143">
        <w:rPr>
          <w:iCs/>
          <w:color w:val="000000" w:themeColor="text1"/>
          <w:sz w:val="20"/>
          <w:szCs w:val="20"/>
          <w:vertAlign w:val="subscript"/>
        </w:rPr>
        <w:t>unserved</w:t>
      </w:r>
      <w:r w:rsidRPr="006F3C94">
        <w:rPr>
          <w:iCs/>
          <w:color w:val="000000" w:themeColor="text1"/>
          <w:sz w:val="20"/>
          <w:szCs w:val="20"/>
        </w:rPr>
        <w:t>. Unserved energy is not costed (VoLL = 0).</w:t>
      </w:r>
    </w:p>
    <w:p w14:paraId="496B1262" w14:textId="77777777" w:rsidR="004E3C58" w:rsidRPr="00AC7BF9" w:rsidRDefault="004E3C58" w:rsidP="00832424">
      <w:pPr>
        <w:jc w:val="both"/>
        <w:rPr>
          <w:i/>
          <w:color w:val="000000" w:themeColor="text1"/>
          <w:sz w:val="20"/>
          <w:szCs w:val="20"/>
        </w:rPr>
      </w:pPr>
      <w:r>
        <w:rPr>
          <w:i/>
          <w:color w:val="000000" w:themeColor="text1"/>
          <w:sz w:val="20"/>
          <w:szCs w:val="20"/>
        </w:rPr>
        <w:t>2.5 Gas Heat Benchmark</w:t>
      </w:r>
    </w:p>
    <w:p w14:paraId="2CF48383" w14:textId="6F51C3A9" w:rsidR="00A24566" w:rsidRDefault="002A5021" w:rsidP="00832424">
      <w:pPr>
        <w:jc w:val="both"/>
        <w:rPr>
          <w:iCs/>
          <w:color w:val="000000" w:themeColor="text1"/>
          <w:sz w:val="20"/>
          <w:szCs w:val="20"/>
        </w:rPr>
      </w:pPr>
      <w:r>
        <w:rPr>
          <w:iCs/>
          <w:color w:val="000000" w:themeColor="text1"/>
          <w:sz w:val="20"/>
          <w:szCs w:val="20"/>
        </w:rPr>
        <w:t>Each LCOH is compared against a gas heat benchmark to get the highest availability of electrified heat generated below the gas heat price. Gas heat prices are gathered from Eurostat’s non-household gas for 20</w:t>
      </w:r>
      <w:r w:rsidR="0094195D">
        <w:rPr>
          <w:iCs/>
          <w:color w:val="000000" w:themeColor="text1"/>
          <w:sz w:val="20"/>
          <w:szCs w:val="20"/>
        </w:rPr>
        <w:t>25</w:t>
      </w:r>
      <w:r>
        <w:rPr>
          <w:iCs/>
          <w:color w:val="000000" w:themeColor="text1"/>
          <w:sz w:val="20"/>
          <w:szCs w:val="20"/>
        </w:rPr>
        <w:t xml:space="preserve"> (nrg_pc_203)</w:t>
      </w:r>
      <w:r w:rsidR="00F529C0">
        <w:rPr>
          <w:iCs/>
          <w:color w:val="000000" w:themeColor="text1"/>
          <w:sz w:val="20"/>
          <w:szCs w:val="20"/>
        </w:rPr>
        <w:t xml:space="preserve"> </w:t>
      </w:r>
      <w:r>
        <w:rPr>
          <w:iCs/>
          <w:color w:val="000000" w:themeColor="text1"/>
          <w:sz w:val="20"/>
          <w:szCs w:val="20"/>
        </w:rPr>
        <w:fldChar w:fldCharType="begin"/>
      </w:r>
      <w:r w:rsidR="004000C5">
        <w:rPr>
          <w:iCs/>
          <w:color w:val="000000" w:themeColor="text1"/>
          <w:sz w:val="20"/>
          <w:szCs w:val="20"/>
        </w:rPr>
        <w:instrText xml:space="preserve"> ADDIN ZOTERO_ITEM CSL_CITATION {"citationID":"p2hDnH7Q","properties":{"unsorted":false,"formattedCitation":"[23]","plainCitation":"[23]","noteIndex":0},"citationItems":[{"id":366,"uris":["http://zotero.org/users/20280584/items/BT7K8JTN"],"itemData":{"id":366,"type":"dataset","citation-key":"eurostatGasPricesIndustrial2026","DOI":"10.2908/NRG_PC_203","publisher":"Eurostat","source":"DOI.org (Datacite)","title":"Gas prices for industrial consumers - bi-annual data (from 2007 onwards)","URL":"https://ec.europa.eu/eurostat/databrowser/product/page/NRG_PC_203","author":[{"literal":"Eurostat"}],"accessed":{"date-parts":[["2026",8,3]]},"issued":{"date-parts":[["2026"]]}}}],"schema":"https://github.com/citation-style-language/schema/raw/master/csl-citation.json"} </w:instrText>
      </w:r>
      <w:r>
        <w:rPr>
          <w:iCs/>
          <w:color w:val="000000" w:themeColor="text1"/>
          <w:sz w:val="20"/>
          <w:szCs w:val="20"/>
        </w:rPr>
        <w:fldChar w:fldCharType="separate"/>
      </w:r>
      <w:r w:rsidR="004000C5">
        <w:rPr>
          <w:iCs/>
          <w:noProof/>
          <w:color w:val="000000" w:themeColor="text1"/>
          <w:sz w:val="20"/>
          <w:szCs w:val="20"/>
        </w:rPr>
        <w:t>[23]</w:t>
      </w:r>
      <w:r>
        <w:rPr>
          <w:iCs/>
          <w:color w:val="000000" w:themeColor="text1"/>
          <w:sz w:val="20"/>
          <w:szCs w:val="20"/>
        </w:rPr>
        <w:fldChar w:fldCharType="end"/>
      </w:r>
      <w:r>
        <w:rPr>
          <w:iCs/>
          <w:color w:val="000000" w:themeColor="text1"/>
          <w:sz w:val="20"/>
          <w:szCs w:val="20"/>
        </w:rPr>
        <w:t>. A general gas boiler efficiency of 0.85</w:t>
      </w:r>
      <w:r w:rsidR="00F529C0">
        <w:rPr>
          <w:iCs/>
          <w:color w:val="000000" w:themeColor="text1"/>
          <w:sz w:val="20"/>
          <w:szCs w:val="20"/>
        </w:rPr>
        <w:t xml:space="preserve"> </w:t>
      </w:r>
      <w:r>
        <w:rPr>
          <w:iCs/>
          <w:color w:val="000000" w:themeColor="text1"/>
          <w:sz w:val="20"/>
          <w:szCs w:val="20"/>
        </w:rPr>
        <w:fldChar w:fldCharType="begin"/>
      </w:r>
      <w:r w:rsidR="004000C5">
        <w:rPr>
          <w:iCs/>
          <w:color w:val="000000" w:themeColor="text1"/>
          <w:sz w:val="20"/>
          <w:szCs w:val="20"/>
        </w:rPr>
        <w:instrText xml:space="preserve"> ADDIN ZOTERO_ITEM CSL_CITATION {"citationID":"ugHlnwKt","properties":{"unsorted":false,"formattedCitation":"[24]","plainCitation":"[24]","noteIndex":0},"citationItems":[{"id":368,"uris":["http://zotero.org/users/20280584/items/RXUI3RHY"],"itemData":{"id":368,"type":"webpage","citation-key":"Technologyfactsheetsnaturalgasboilerindustry7","publisher":"TNO","title":"Technology factsheet natural gas boiler industry","URL":"https://energy.nl/wp-content/uploads/technology-factsheets-natural-gas-boiler-industry-7.pdf","accessed":{"date-parts":[["2026",8,3]]}}}],"schema":"https://github.com/citation-style-language/schema/raw/master/csl-citation.json"} </w:instrText>
      </w:r>
      <w:r>
        <w:rPr>
          <w:iCs/>
          <w:color w:val="000000" w:themeColor="text1"/>
          <w:sz w:val="20"/>
          <w:szCs w:val="20"/>
        </w:rPr>
        <w:fldChar w:fldCharType="separate"/>
      </w:r>
      <w:r w:rsidR="004000C5">
        <w:rPr>
          <w:iCs/>
          <w:noProof/>
          <w:color w:val="000000" w:themeColor="text1"/>
          <w:sz w:val="20"/>
          <w:szCs w:val="20"/>
        </w:rPr>
        <w:t>[24]</w:t>
      </w:r>
      <w:r>
        <w:rPr>
          <w:iCs/>
          <w:color w:val="000000" w:themeColor="text1"/>
          <w:sz w:val="20"/>
          <w:szCs w:val="20"/>
        </w:rPr>
        <w:fldChar w:fldCharType="end"/>
      </w:r>
      <w:r>
        <w:rPr>
          <w:iCs/>
          <w:color w:val="000000" w:themeColor="text1"/>
          <w:sz w:val="20"/>
          <w:szCs w:val="20"/>
        </w:rPr>
        <w:t xml:space="preserve"> is applied to the gas price. </w:t>
      </w:r>
      <w:r w:rsidR="00DC665D">
        <w:rPr>
          <w:iCs/>
          <w:color w:val="000000" w:themeColor="text1"/>
          <w:sz w:val="20"/>
          <w:szCs w:val="20"/>
        </w:rPr>
        <w:t xml:space="preserve">Each facility is capped at its own country’s gas price. The LCOH of gas only accounts for the operation cost and not the capital cost because this study assumes the gas boiler had already been installed. </w:t>
      </w:r>
      <w:r w:rsidR="009F0693">
        <w:rPr>
          <w:iCs/>
          <w:color w:val="000000" w:themeColor="text1"/>
          <w:sz w:val="20"/>
          <w:szCs w:val="20"/>
        </w:rPr>
        <w:t>The EUA carbon tax of €79/</w:t>
      </w:r>
      <w:proofErr w:type="spellStart"/>
      <w:r w:rsidR="009F0693">
        <w:rPr>
          <w:iCs/>
          <w:color w:val="000000" w:themeColor="text1"/>
          <w:sz w:val="20"/>
          <w:szCs w:val="20"/>
        </w:rPr>
        <w:t>tCO</w:t>
      </w:r>
      <w:proofErr w:type="spellEnd"/>
      <w:r w:rsidR="009F0693">
        <w:rPr>
          <w:iCs/>
          <w:color w:val="000000" w:themeColor="text1"/>
          <w:sz w:val="20"/>
          <w:szCs w:val="20"/>
        </w:rPr>
        <w:t>₂ is assumed and added to the gas heat cost.</w:t>
      </w:r>
      <w:r w:rsidR="000D3567">
        <w:rPr>
          <w:iCs/>
          <w:color w:val="000000" w:themeColor="text1"/>
          <w:sz w:val="20"/>
          <w:szCs w:val="20"/>
        </w:rPr>
        <w:t xml:space="preserve"> </w:t>
      </w:r>
      <w:r w:rsidR="000D3567" w:rsidRPr="000D3567">
        <w:rPr>
          <w:iCs/>
          <w:color w:val="000000" w:themeColor="text1"/>
          <w:sz w:val="20"/>
          <w:szCs w:val="20"/>
        </w:rPr>
        <w:t>Technology costs are expressed in 2030 dollars, whereas the gas benchmark uses 2025 Eurostat prices.</w:t>
      </w:r>
      <w:r w:rsidR="00FE3D19">
        <w:rPr>
          <w:iCs/>
          <w:color w:val="000000" w:themeColor="text1"/>
          <w:sz w:val="20"/>
          <w:szCs w:val="20"/>
        </w:rPr>
        <w:t xml:space="preserve"> Even at high availability levels, the LCOH for solar plus storage comes below the 2025 gas benchmark</w:t>
      </w:r>
      <w:r w:rsidR="000D3567" w:rsidRPr="000D3567">
        <w:rPr>
          <w:iCs/>
          <w:color w:val="000000" w:themeColor="text1"/>
          <w:sz w:val="20"/>
          <w:szCs w:val="20"/>
        </w:rPr>
        <w:t>.</w:t>
      </w:r>
    </w:p>
    <w:p w14:paraId="3B660EFC" w14:textId="77777777" w:rsidR="005F502E" w:rsidRDefault="00000000" w:rsidP="00832424">
      <w:pPr>
        <w:tabs>
          <w:tab w:val="right" w:pos="4390"/>
        </w:tabs>
        <w:spacing w:before="80" w:after="80"/>
        <w:jc w:val="both"/>
      </w:pPr>
      <m:oMath>
        <m:sSubSup>
          <m:sSubSupPr>
            <m:ctrlPr>
              <w:rPr>
                <w:rFonts w:ascii="Cambria Math" w:hAnsi="Cambria Math"/>
              </w:rPr>
            </m:ctrlPr>
          </m:sSubSupPr>
          <m:e>
            <m:r>
              <w:rPr>
                <w:rFonts w:ascii="Cambria Math" w:hAnsi="Cambria Math"/>
                <w:sz w:val="20"/>
                <w:szCs w:val="20"/>
              </w:rPr>
              <m:t>c</m:t>
            </m:r>
          </m:e>
          <m:sub>
            <m:r>
              <w:rPr>
                <w:rFonts w:ascii="Cambria Math" w:hAnsi="Cambria Math"/>
                <w:sz w:val="20"/>
                <w:szCs w:val="20"/>
              </w:rPr>
              <m:t>heat,c</m:t>
            </m:r>
          </m:sub>
          <m:sup>
            <m:r>
              <w:rPr>
                <w:rFonts w:ascii="Cambria Math" w:hAnsi="Cambria Math"/>
                <w:sz w:val="20"/>
                <w:szCs w:val="20"/>
              </w:rPr>
              <m:t>gas</m:t>
            </m:r>
          </m:sup>
        </m:sSubSup>
        <m:r>
          <w:rPr>
            <w:rFonts w:ascii="Cambria Math" w:hAnsi="Cambria Math"/>
            <w:sz w:val="20"/>
            <w:szCs w:val="20"/>
          </w:rPr>
          <m:t xml:space="preserve"> = </m:t>
        </m:r>
        <m:f>
          <m:fPr>
            <m:ctrlPr>
              <w:rPr>
                <w:rFonts w:ascii="Cambria Math" w:hAnsi="Cambria Math"/>
              </w:rPr>
            </m:ctrlPr>
          </m:fPr>
          <m:num>
            <m:sSubSup>
              <m:sSubSupPr>
                <m:ctrlPr>
                  <w:rPr>
                    <w:rFonts w:ascii="Cambria Math" w:hAnsi="Cambria Math"/>
                  </w:rPr>
                </m:ctrlPr>
              </m:sSubSupPr>
              <m:e>
                <m:r>
                  <w:rPr>
                    <w:rFonts w:ascii="Cambria Math" w:hAnsi="Cambria Math"/>
                    <w:sz w:val="20"/>
                    <w:szCs w:val="20"/>
                  </w:rPr>
                  <m:t>p</m:t>
                </m:r>
              </m:e>
              <m:sub>
                <m:r>
                  <w:rPr>
                    <w:rFonts w:ascii="Cambria Math" w:hAnsi="Cambria Math"/>
                    <w:sz w:val="20"/>
                    <w:szCs w:val="20"/>
                  </w:rPr>
                  <m:t>c</m:t>
                </m:r>
              </m:sub>
              <m:sup>
                <m:r>
                  <w:rPr>
                    <w:rFonts w:ascii="Cambria Math" w:hAnsi="Cambria Math"/>
                    <w:sz w:val="20"/>
                    <w:szCs w:val="20"/>
                  </w:rPr>
                  <m:t>gas</m:t>
                </m:r>
              </m:sup>
            </m:sSubSup>
          </m:num>
          <m:den>
            <m:r>
              <w:rPr>
                <w:rFonts w:ascii="Cambria Math" w:hAnsi="Cambria Math"/>
                <w:sz w:val="20"/>
                <w:szCs w:val="20"/>
              </w:rPr>
              <m:t>η</m:t>
            </m:r>
          </m:den>
        </m:f>
        <m:r>
          <w:rPr>
            <w:rFonts w:ascii="Cambria Math" w:hAnsi="Cambria Math"/>
            <w:sz w:val="20"/>
            <w:szCs w:val="20"/>
          </w:rPr>
          <m:t xml:space="preserve"> + </m:t>
        </m:r>
        <m:f>
          <m:fPr>
            <m:ctrlPr>
              <w:rPr>
                <w:rFonts w:ascii="Cambria Math" w:hAnsi="Cambria Math"/>
              </w:rPr>
            </m:ctrlPr>
          </m:fPr>
          <m:num>
            <m:sSup>
              <m:sSupPr>
                <m:ctrlPr>
                  <w:rPr>
                    <w:rFonts w:ascii="Cambria Math" w:hAnsi="Cambria Math"/>
                  </w:rPr>
                </m:ctrlPr>
              </m:sSupPr>
              <m:e>
                <m:r>
                  <w:rPr>
                    <w:rFonts w:ascii="Cambria Math" w:hAnsi="Cambria Math"/>
                    <w:sz w:val="20"/>
                    <w:szCs w:val="20"/>
                  </w:rPr>
                  <m:t>p</m:t>
                </m:r>
              </m:e>
              <m:sup>
                <m:r>
                  <w:rPr>
                    <w:rFonts w:ascii="Cambria Math" w:hAnsi="Cambria Math"/>
                    <w:sz w:val="20"/>
                    <w:szCs w:val="20"/>
                  </w:rPr>
                  <m:t>EUA</m:t>
                </m:r>
              </m:sup>
            </m:sSup>
            <m:r>
              <w:rPr>
                <w:rFonts w:ascii="Cambria Math" w:hAnsi="Cambria Math"/>
                <w:sz w:val="20"/>
                <w:szCs w:val="20"/>
              </w:rPr>
              <m:t xml:space="preserve"> × </m:t>
            </m:r>
            <m:sSub>
              <m:sSubPr>
                <m:ctrlPr>
                  <w:rPr>
                    <w:rFonts w:ascii="Cambria Math" w:hAnsi="Cambria Math"/>
                  </w:rPr>
                </m:ctrlPr>
              </m:sSubPr>
              <m:e>
                <m:r>
                  <w:rPr>
                    <w:rFonts w:ascii="Cambria Math" w:hAnsi="Cambria Math"/>
                    <w:sz w:val="20"/>
                    <w:szCs w:val="20"/>
                  </w:rPr>
                  <m:t>EF</m:t>
                </m:r>
              </m:e>
              <m:sub>
                <m:r>
                  <w:rPr>
                    <w:rFonts w:ascii="Cambria Math" w:hAnsi="Cambria Math"/>
                    <w:sz w:val="20"/>
                    <w:szCs w:val="20"/>
                  </w:rPr>
                  <m:t>NG</m:t>
                </m:r>
              </m:sub>
            </m:sSub>
          </m:num>
          <m:den>
            <m:r>
              <w:rPr>
                <w:rFonts w:ascii="Cambria Math" w:hAnsi="Cambria Math"/>
                <w:sz w:val="20"/>
                <w:szCs w:val="20"/>
              </w:rPr>
              <m:t>η</m:t>
            </m:r>
          </m:den>
        </m:f>
      </m:oMath>
      <w:r>
        <w:rPr>
          <w:sz w:val="20"/>
          <w:szCs w:val="20"/>
        </w:rPr>
        <w:tab/>
        <w:t>(1)</w:t>
      </w:r>
    </w:p>
    <w:p w14:paraId="55599D95" w14:textId="77777777" w:rsidR="005F502E" w:rsidRDefault="00000000" w:rsidP="00832424">
      <w:pPr>
        <w:spacing w:after="200"/>
        <w:jc w:val="both"/>
      </w:pPr>
      <w:r>
        <w:rPr>
          <w:sz w:val="20"/>
          <w:szCs w:val="20"/>
        </w:rPr>
        <w:t xml:space="preserve">with </w:t>
      </w:r>
      <m:oMath>
        <m:r>
          <w:rPr>
            <w:rFonts w:ascii="Cambria Math" w:hAnsi="Cambria Math"/>
            <w:sz w:val="20"/>
            <w:szCs w:val="20"/>
          </w:rPr>
          <m:t>η = 0.85</m:t>
        </m:r>
      </m:oMath>
      <w:r>
        <w:rPr>
          <w:sz w:val="20"/>
          <w:szCs w:val="20"/>
        </w:rPr>
        <w:t xml:space="preserve"> (boiler efficiency), </w:t>
      </w:r>
      <m:oMath>
        <m:sSup>
          <m:sSupPr>
            <m:ctrlPr>
              <w:rPr>
                <w:rFonts w:ascii="Cambria Math" w:hAnsi="Cambria Math"/>
              </w:rPr>
            </m:ctrlPr>
          </m:sSupPr>
          <m:e>
            <m:r>
              <w:rPr>
                <w:rFonts w:ascii="Cambria Math" w:hAnsi="Cambria Math"/>
                <w:sz w:val="20"/>
                <w:szCs w:val="20"/>
              </w:rPr>
              <m:t>p</m:t>
            </m:r>
          </m:e>
          <m:sup>
            <m:r>
              <w:rPr>
                <w:rFonts w:ascii="Cambria Math" w:hAnsi="Cambria Math"/>
                <w:sz w:val="20"/>
                <w:szCs w:val="20"/>
              </w:rPr>
              <m:t>EUA</m:t>
            </m:r>
          </m:sup>
        </m:sSup>
        <m:r>
          <w:rPr>
            <w:rFonts w:ascii="Cambria Math" w:hAnsi="Cambria Math"/>
            <w:sz w:val="20"/>
            <w:szCs w:val="20"/>
          </w:rPr>
          <m:t xml:space="preserve"> = 79 EUR/tCO₂</m:t>
        </m:r>
      </m:oMath>
      <w:r>
        <w:rPr>
          <w:sz w:val="20"/>
          <w:szCs w:val="20"/>
        </w:rPr>
        <w:t xml:space="preserve"> (EUA carbon price assumption), and </w:t>
      </w:r>
      <m:oMath>
        <m:sSub>
          <m:sSubPr>
            <m:ctrlPr>
              <w:rPr>
                <w:rFonts w:ascii="Cambria Math" w:hAnsi="Cambria Math"/>
              </w:rPr>
            </m:ctrlPr>
          </m:sSubPr>
          <m:e>
            <m:r>
              <w:rPr>
                <w:rFonts w:ascii="Cambria Math" w:hAnsi="Cambria Math"/>
                <w:sz w:val="20"/>
                <w:szCs w:val="20"/>
              </w:rPr>
              <m:t>EF</m:t>
            </m:r>
          </m:e>
          <m:sub>
            <m:r>
              <w:rPr>
                <w:rFonts w:ascii="Cambria Math" w:hAnsi="Cambria Math"/>
                <w:sz w:val="20"/>
                <w:szCs w:val="20"/>
              </w:rPr>
              <m:t>NG</m:t>
            </m:r>
          </m:sub>
        </m:sSub>
        <m:r>
          <w:rPr>
            <w:rFonts w:ascii="Cambria Math" w:hAnsi="Cambria Math"/>
            <w:sz w:val="20"/>
            <w:szCs w:val="20"/>
          </w:rPr>
          <m:t xml:space="preserve"> = 0.202 tCO₂/</m:t>
        </m:r>
        <m:sSub>
          <m:sSubPr>
            <m:ctrlPr>
              <w:rPr>
                <w:rFonts w:ascii="Cambria Math" w:hAnsi="Cambria Math"/>
              </w:rPr>
            </m:ctrlPr>
          </m:sSubPr>
          <m:e>
            <m:r>
              <w:rPr>
                <w:rFonts w:ascii="Cambria Math" w:hAnsi="Cambria Math"/>
                <w:sz w:val="20"/>
                <w:szCs w:val="20"/>
              </w:rPr>
              <m:t>MWh</m:t>
            </m:r>
          </m:e>
          <m:sub>
            <m:r>
              <w:rPr>
                <w:rFonts w:ascii="Cambria Math" w:hAnsi="Cambria Math"/>
                <w:sz w:val="20"/>
                <w:szCs w:val="20"/>
              </w:rPr>
              <m:t>fuel</m:t>
            </m:r>
          </m:sub>
        </m:sSub>
      </m:oMath>
      <w:r>
        <w:rPr>
          <w:sz w:val="20"/>
          <w:szCs w:val="20"/>
        </w:rPr>
        <w:t xml:space="preserve"> (gas CO₂ emission factor).</w:t>
      </w:r>
    </w:p>
    <w:p w14:paraId="69FF3445" w14:textId="5000929B" w:rsidR="005F502E" w:rsidRDefault="00000000" w:rsidP="00C35915">
      <w:pPr>
        <w:jc w:val="both"/>
      </w:pPr>
      <w:r>
        <w:rPr>
          <w:i/>
          <w:iCs/>
          <w:sz w:val="20"/>
          <w:szCs w:val="20"/>
        </w:rPr>
        <w:t xml:space="preserve">2.6 </w:t>
      </w:r>
      <w:proofErr w:type="spellStart"/>
      <w:r w:rsidR="00A66837">
        <w:rPr>
          <w:i/>
          <w:iCs/>
          <w:sz w:val="20"/>
          <w:szCs w:val="20"/>
        </w:rPr>
        <w:t>Optimis</w:t>
      </w:r>
      <w:r>
        <w:rPr>
          <w:i/>
          <w:iCs/>
          <w:sz w:val="20"/>
          <w:szCs w:val="20"/>
        </w:rPr>
        <w:t>ation</w:t>
      </w:r>
      <w:proofErr w:type="spellEnd"/>
      <w:r>
        <w:rPr>
          <w:i/>
          <w:iCs/>
          <w:sz w:val="20"/>
          <w:szCs w:val="20"/>
        </w:rPr>
        <w:t xml:space="preserve"> – System Sizing</w:t>
      </w:r>
    </w:p>
    <w:p w14:paraId="7E851E6B" w14:textId="237B0C73" w:rsidR="005F502E" w:rsidRDefault="00000000" w:rsidP="00832424">
      <w:pPr>
        <w:spacing w:after="200"/>
        <w:jc w:val="both"/>
      </w:pPr>
      <w:r>
        <w:rPr>
          <w:sz w:val="20"/>
          <w:szCs w:val="20"/>
        </w:rPr>
        <w:t xml:space="preserve">To get the system size </w:t>
      </w:r>
      <w:r w:rsidR="00E828B1">
        <w:rPr>
          <w:sz w:val="20"/>
          <w:szCs w:val="20"/>
        </w:rPr>
        <w:t>for</w:t>
      </w:r>
      <w:r>
        <w:rPr>
          <w:sz w:val="20"/>
          <w:szCs w:val="20"/>
        </w:rPr>
        <w:t xml:space="preserve"> </w:t>
      </w:r>
      <w:r w:rsidR="0024473B">
        <w:rPr>
          <w:sz w:val="20"/>
          <w:szCs w:val="20"/>
        </w:rPr>
        <w:t>minim</w:t>
      </w:r>
      <w:r w:rsidR="00E828B1">
        <w:rPr>
          <w:sz w:val="20"/>
          <w:szCs w:val="20"/>
        </w:rPr>
        <w:t xml:space="preserve">al </w:t>
      </w:r>
      <w:r>
        <w:rPr>
          <w:sz w:val="20"/>
          <w:szCs w:val="20"/>
        </w:rPr>
        <w:t>cost, we sized the co-located solar panels with heat pump or heat battery solution using a linear program (</w:t>
      </w:r>
      <w:proofErr w:type="spellStart"/>
      <w:r>
        <w:rPr>
          <w:sz w:val="20"/>
          <w:szCs w:val="20"/>
        </w:rPr>
        <w:t>HiGHS</w:t>
      </w:r>
      <w:proofErr w:type="spellEnd"/>
      <w:r>
        <w:rPr>
          <w:sz w:val="20"/>
          <w:szCs w:val="20"/>
        </w:rPr>
        <w:t>). Both of those solutions will pipe heat into the industrial facility. The linear program is defined as follows.</w:t>
      </w:r>
    </w:p>
    <w:p w14:paraId="53ECE987" w14:textId="77777777" w:rsidR="005F502E" w:rsidRDefault="00000000" w:rsidP="00832424">
      <w:pPr>
        <w:spacing w:before="120" w:after="80"/>
        <w:jc w:val="both"/>
      </w:pPr>
      <w:r>
        <w:rPr>
          <w:b/>
          <w:bCs/>
          <w:sz w:val="20"/>
          <w:szCs w:val="20"/>
        </w:rPr>
        <w:t>Objective</w:t>
      </w:r>
    </w:p>
    <w:p w14:paraId="42C7C738" w14:textId="77777777" w:rsidR="005F502E" w:rsidRDefault="00000000" w:rsidP="00832424">
      <w:pPr>
        <w:spacing w:after="80"/>
        <w:jc w:val="both"/>
      </w:pPr>
      <m:oMathPara>
        <m:oMath>
          <m:r>
            <w:rPr>
              <w:rFonts w:ascii="Cambria Math" w:hAnsi="Cambria Math"/>
              <w:sz w:val="20"/>
              <w:szCs w:val="20"/>
            </w:rPr>
            <m:t xml:space="preserve">min  </m:t>
          </m:r>
          <m:f>
            <m:fPr>
              <m:ctrlPr>
                <w:rPr>
                  <w:rFonts w:ascii="Cambria Math" w:hAnsi="Cambria Math"/>
                </w:rPr>
              </m:ctrlPr>
            </m:fPr>
            <m:num>
              <m:r>
                <w:rPr>
                  <w:rFonts w:ascii="Cambria Math" w:hAnsi="Cambria Math"/>
                  <w:sz w:val="20"/>
                  <w:szCs w:val="20"/>
                </w:rPr>
                <m:t>1</m:t>
              </m:r>
            </m:num>
            <m:den>
              <m:sSup>
                <m:sSupPr>
                  <m:ctrlPr>
                    <w:rPr>
                      <w:rFonts w:ascii="Cambria Math" w:hAnsi="Cambria Math"/>
                    </w:rPr>
                  </m:ctrlPr>
                </m:sSupPr>
                <m:e>
                  <m:r>
                    <w:rPr>
                      <w:rFonts w:ascii="Cambria Math" w:hAnsi="Cambria Math"/>
                      <w:sz w:val="20"/>
                      <w:szCs w:val="20"/>
                    </w:rPr>
                    <m:t>Q</m:t>
                  </m:r>
                </m:e>
                <m:sup>
                  <m:r>
                    <w:rPr>
                      <w:rFonts w:ascii="Cambria Math" w:hAnsi="Cambria Math"/>
                      <w:sz w:val="20"/>
                      <w:szCs w:val="20"/>
                    </w:rPr>
                    <m:t>dem</m:t>
                  </m:r>
                </m:sup>
              </m:sSup>
            </m:den>
          </m:f>
          <m:r>
            <w:rPr>
              <w:rFonts w:ascii="Cambria Math" w:hAnsi="Cambria Math"/>
              <w:sz w:val="20"/>
              <w:szCs w:val="20"/>
            </w:rPr>
            <m:t xml:space="preserve">  (</m:t>
          </m:r>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S</m:t>
              </m:r>
            </m:sub>
          </m:sSub>
          <m:r>
            <w:rPr>
              <w:rFonts w:ascii="Cambria Math" w:hAnsi="Cambria Math"/>
              <w:sz w:val="20"/>
              <w:szCs w:val="20"/>
            </w:rPr>
            <m:t xml:space="preserve"> S + </m:t>
          </m:r>
          <m:sSubSup>
            <m:sSubSupPr>
              <m:ctrlPr>
                <w:rPr>
                  <w:rFonts w:ascii="Cambria Math" w:hAnsi="Cambria Math"/>
                </w:rPr>
              </m:ctrlPr>
            </m:sSubSupPr>
            <m:e>
              <m:r>
                <w:rPr>
                  <w:rFonts w:ascii="Cambria Math" w:hAnsi="Cambria Math"/>
                  <w:sz w:val="20"/>
                  <w:szCs w:val="20"/>
                </w:rPr>
                <m:t>c</m:t>
              </m:r>
            </m:e>
            <m:sub>
              <m:r>
                <w:rPr>
                  <w:rFonts w:ascii="Cambria Math" w:hAnsi="Cambria Math"/>
                  <w:sz w:val="20"/>
                  <w:szCs w:val="20"/>
                </w:rPr>
                <m:t>E</m:t>
              </m:r>
            </m:sub>
            <m:sup>
              <m:r>
                <w:rPr>
                  <w:rFonts w:ascii="Cambria Math" w:hAnsi="Cambria Math"/>
                  <w:sz w:val="20"/>
                  <w:szCs w:val="20"/>
                </w:rPr>
                <m:t>Li</m:t>
              </m:r>
            </m:sup>
          </m:sSubSup>
          <m:r>
            <w:rPr>
              <w:rFonts w:ascii="Cambria Math" w:hAnsi="Cambria Math"/>
              <w:sz w:val="20"/>
              <w:szCs w:val="20"/>
            </w:rPr>
            <m:t xml:space="preserve"> </m:t>
          </m:r>
          <m:sSup>
            <m:sSupPr>
              <m:ctrlPr>
                <w:rPr>
                  <w:rFonts w:ascii="Cambria Math" w:hAnsi="Cambria Math"/>
                </w:rPr>
              </m:ctrlPr>
            </m:sSupPr>
            <m:e>
              <m:r>
                <w:rPr>
                  <w:rFonts w:ascii="Cambria Math" w:hAnsi="Cambria Math"/>
                  <w:sz w:val="20"/>
                  <w:szCs w:val="20"/>
                </w:rPr>
                <m:t>E</m:t>
              </m:r>
            </m:e>
            <m:sup>
              <m:r>
                <w:rPr>
                  <w:rFonts w:ascii="Cambria Math" w:hAnsi="Cambria Math"/>
                  <w:sz w:val="20"/>
                  <w:szCs w:val="20"/>
                </w:rPr>
                <m:t>Li</m:t>
              </m:r>
            </m:sup>
          </m:sSup>
          <m:r>
            <w:rPr>
              <w:rFonts w:ascii="Cambria Math" w:hAnsi="Cambria Math"/>
              <w:sz w:val="20"/>
              <w:szCs w:val="20"/>
            </w:rPr>
            <m:t xml:space="preserve"> + </m:t>
          </m:r>
          <m:sSubSup>
            <m:sSubSupPr>
              <m:ctrlPr>
                <w:rPr>
                  <w:rFonts w:ascii="Cambria Math" w:hAnsi="Cambria Math"/>
                </w:rPr>
              </m:ctrlPr>
            </m:sSubSupPr>
            <m:e>
              <m:r>
                <w:rPr>
                  <w:rFonts w:ascii="Cambria Math" w:hAnsi="Cambria Math"/>
                  <w:sz w:val="20"/>
                  <w:szCs w:val="20"/>
                </w:rPr>
                <m:t>c</m:t>
              </m:r>
            </m:e>
            <m:sub>
              <m:r>
                <w:rPr>
                  <w:rFonts w:ascii="Cambria Math" w:hAnsi="Cambria Math"/>
                  <w:sz w:val="20"/>
                  <w:szCs w:val="20"/>
                </w:rPr>
                <m:t>P</m:t>
              </m:r>
            </m:sub>
            <m:sup>
              <m:r>
                <w:rPr>
                  <w:rFonts w:ascii="Cambria Math" w:hAnsi="Cambria Math"/>
                  <w:sz w:val="20"/>
                  <w:szCs w:val="20"/>
                </w:rPr>
                <m:t>Li</m:t>
              </m:r>
            </m:sup>
          </m:sSubSup>
          <m:r>
            <w:rPr>
              <w:rFonts w:ascii="Cambria Math" w:hAnsi="Cambria Math"/>
              <w:sz w:val="20"/>
              <w:szCs w:val="20"/>
            </w:rPr>
            <m:t xml:space="preserve"> </m:t>
          </m:r>
          <m:sSubSup>
            <m:sSubSupPr>
              <m:ctrlPr>
                <w:rPr>
                  <w:rFonts w:ascii="Cambria Math" w:hAnsi="Cambria Math"/>
                </w:rPr>
              </m:ctrlPr>
            </m:sSubSupPr>
            <m:e>
              <m:r>
                <w:rPr>
                  <w:rFonts w:ascii="Cambria Math" w:hAnsi="Cambria Math"/>
                  <w:sz w:val="20"/>
                  <w:szCs w:val="20"/>
                </w:rPr>
                <m:t>P</m:t>
              </m:r>
            </m:e>
            <m:sub>
              <m:r>
                <w:rPr>
                  <w:rFonts w:ascii="Cambria Math" w:hAnsi="Cambria Math"/>
                  <w:sz w:val="20"/>
                  <w:szCs w:val="20"/>
                </w:rPr>
                <m:t>dis</m:t>
              </m:r>
            </m:sub>
            <m:sup>
              <m:r>
                <w:rPr>
                  <w:rFonts w:ascii="Cambria Math" w:hAnsi="Cambria Math"/>
                  <w:sz w:val="20"/>
                  <w:szCs w:val="20"/>
                </w:rPr>
                <m:t>Li</m:t>
              </m:r>
            </m:sup>
          </m:sSubSup>
          <m:r>
            <w:rPr>
              <w:rFonts w:ascii="Cambria Math" w:hAnsi="Cambria Math"/>
              <w:sz w:val="20"/>
              <w:szCs w:val="20"/>
            </w:rPr>
            <m:t xml:space="preserve"> +</m:t>
          </m:r>
        </m:oMath>
      </m:oMathPara>
    </w:p>
    <w:p w14:paraId="05328DC2" w14:textId="77777777" w:rsidR="005F502E" w:rsidRDefault="00000000" w:rsidP="00832424">
      <w:pPr>
        <w:tabs>
          <w:tab w:val="right" w:pos="4390"/>
        </w:tabs>
        <w:spacing w:before="80" w:after="80"/>
        <w:jc w:val="both"/>
      </w:pPr>
      <m:oMath>
        <m:sSub>
          <m:sSubPr>
            <m:ctrlPr>
              <w:rPr>
                <w:rFonts w:ascii="Cambria Math" w:hAnsi="Cambria Math"/>
              </w:rPr>
            </m:ctrlPr>
          </m:sSubPr>
          <m:e>
            <m:r>
              <w:rPr>
                <w:rFonts w:ascii="Cambria Math" w:hAnsi="Cambria Math"/>
                <w:sz w:val="20"/>
                <w:szCs w:val="20"/>
              </w:rPr>
              <m:t>Σ</m:t>
            </m:r>
          </m:e>
          <m:sub>
            <m:r>
              <w:rPr>
                <w:rFonts w:ascii="Cambria Math" w:hAnsi="Cambria Math"/>
                <w:sz w:val="20"/>
                <w:szCs w:val="20"/>
              </w:rPr>
              <m:t>b∈B(IHB)</m:t>
            </m:r>
          </m:sub>
        </m:sSub>
        <m:r>
          <w:rPr>
            <w:rFonts w:ascii="Cambria Math" w:hAnsi="Cambria Math"/>
            <w:sz w:val="20"/>
            <w:szCs w:val="20"/>
          </w:rPr>
          <m:t xml:space="preserve"> [</m:t>
        </m:r>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in</m:t>
            </m:r>
          </m:sub>
        </m:sSub>
        <m:sSubSup>
          <m:sSubSupPr>
            <m:ctrlPr>
              <w:rPr>
                <w:rFonts w:ascii="Cambria Math" w:hAnsi="Cambria Math"/>
              </w:rPr>
            </m:ctrlPr>
          </m:sSubSupPr>
          <m:e>
            <m:r>
              <w:rPr>
                <w:rFonts w:ascii="Cambria Math" w:hAnsi="Cambria Math"/>
                <w:sz w:val="20"/>
                <w:szCs w:val="20"/>
              </w:rPr>
              <m:t>P</m:t>
            </m:r>
          </m:e>
          <m:sub>
            <m:r>
              <w:rPr>
                <w:rFonts w:ascii="Cambria Math" w:hAnsi="Cambria Math"/>
                <w:sz w:val="20"/>
                <w:szCs w:val="20"/>
              </w:rPr>
              <m:t>b</m:t>
            </m:r>
          </m:sub>
          <m:sup>
            <m:r>
              <w:rPr>
                <w:rFonts w:ascii="Cambria Math" w:hAnsi="Cambria Math"/>
                <w:sz w:val="20"/>
                <w:szCs w:val="20"/>
              </w:rPr>
              <m:t>ch</m:t>
            </m:r>
          </m:sup>
        </m:sSubSup>
        <m:r>
          <w:rPr>
            <w:rFonts w:ascii="Cambria Math" w:hAnsi="Cambria Math"/>
            <w:sz w:val="20"/>
            <w:szCs w:val="20"/>
          </w:rPr>
          <m:t xml:space="preserve"> + </m:t>
        </m:r>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out</m:t>
            </m:r>
          </m:sub>
        </m:sSub>
        <m:sSubSup>
          <m:sSubSupPr>
            <m:ctrlPr>
              <w:rPr>
                <w:rFonts w:ascii="Cambria Math" w:hAnsi="Cambria Math"/>
              </w:rPr>
            </m:ctrlPr>
          </m:sSubSupPr>
          <m:e>
            <m:r>
              <w:rPr>
                <w:rFonts w:ascii="Cambria Math" w:hAnsi="Cambria Math"/>
                <w:sz w:val="20"/>
                <w:szCs w:val="20"/>
              </w:rPr>
              <m:t>P</m:t>
            </m:r>
          </m:e>
          <m:sub>
            <m:r>
              <w:rPr>
                <w:rFonts w:ascii="Cambria Math" w:hAnsi="Cambria Math"/>
                <w:sz w:val="20"/>
                <w:szCs w:val="20"/>
              </w:rPr>
              <m:t>b</m:t>
            </m:r>
          </m:sub>
          <m:sup>
            <m:r>
              <w:rPr>
                <w:rFonts w:ascii="Cambria Math" w:hAnsi="Cambria Math"/>
                <w:sz w:val="20"/>
                <w:szCs w:val="20"/>
              </w:rPr>
              <m:t>dis</m:t>
            </m:r>
          </m:sup>
        </m:sSubSup>
        <m:r>
          <w:rPr>
            <w:rFonts w:ascii="Cambria Math" w:hAnsi="Cambria Math"/>
            <w:sz w:val="20"/>
            <w:szCs w:val="20"/>
          </w:rPr>
          <m:t xml:space="preserve"> + </m:t>
        </m:r>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E</m:t>
            </m:r>
          </m:sub>
        </m:sSub>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b</m:t>
            </m:r>
          </m:sub>
        </m:sSub>
        <m:r>
          <w:rPr>
            <w:rFonts w:ascii="Cambria Math" w:hAnsi="Cambria Math"/>
            <w:sz w:val="20"/>
            <w:szCs w:val="20"/>
          </w:rPr>
          <m:t>])</m:t>
        </m:r>
      </m:oMath>
      <w:r>
        <w:rPr>
          <w:sz w:val="20"/>
          <w:szCs w:val="20"/>
        </w:rPr>
        <w:tab/>
        <w:t>(2)</w:t>
      </w:r>
    </w:p>
    <w:p w14:paraId="7F74F9DB" w14:textId="6C689554" w:rsidR="005F502E" w:rsidRDefault="00000000" w:rsidP="00832424">
      <w:pPr>
        <w:spacing w:before="120" w:after="80"/>
        <w:jc w:val="both"/>
      </w:pPr>
      <w:r>
        <w:rPr>
          <w:b/>
          <w:bCs/>
          <w:sz w:val="20"/>
          <w:szCs w:val="20"/>
        </w:rPr>
        <w:t>Sets and para</w:t>
      </w:r>
      <w:r w:rsidR="00832424">
        <w:rPr>
          <w:b/>
          <w:bCs/>
          <w:sz w:val="20"/>
          <w:szCs w:val="20"/>
        </w:rPr>
        <w:t>met</w:t>
      </w:r>
      <w:r w:rsidR="0071233E">
        <w:rPr>
          <w:b/>
          <w:bCs/>
          <w:sz w:val="20"/>
          <w:szCs w:val="20"/>
        </w:rPr>
        <w:t>er</w:t>
      </w:r>
      <w:r>
        <w:rPr>
          <w:b/>
          <w:bCs/>
          <w:sz w:val="20"/>
          <w:szCs w:val="20"/>
        </w:rPr>
        <w:t>s</w:t>
      </w:r>
    </w:p>
    <w:p w14:paraId="79ED9C83" w14:textId="77777777" w:rsidR="005F502E" w:rsidRDefault="00000000" w:rsidP="00832424">
      <w:pPr>
        <w:spacing w:after="200"/>
        <w:jc w:val="both"/>
      </w:pPr>
      <m:oMath>
        <m:r>
          <w:rPr>
            <w:rFonts w:ascii="Cambria Math" w:hAnsi="Cambria Math"/>
            <w:sz w:val="20"/>
            <w:szCs w:val="20"/>
          </w:rPr>
          <m:t>c ∈ {1,…,K}</m:t>
        </m:r>
      </m:oMath>
      <w:r>
        <w:rPr>
          <w:sz w:val="20"/>
          <w:szCs w:val="20"/>
        </w:rPr>
        <w:t xml:space="preserve">: days in the year.  </w:t>
      </w:r>
      <m:oMath>
        <m:r>
          <w:rPr>
            <w:rFonts w:ascii="Cambria Math" w:hAnsi="Cambria Math"/>
            <w:sz w:val="20"/>
            <w:szCs w:val="20"/>
          </w:rPr>
          <m:t>t ∈ {1,…,H}</m:t>
        </m:r>
      </m:oMath>
      <w:r>
        <w:rPr>
          <w:sz w:val="20"/>
          <w:szCs w:val="20"/>
        </w:rPr>
        <w:t xml:space="preserve">: hours (H = 24), with t − 1 ≡ H when t = 1.  </w:t>
      </w:r>
      <m:oMath>
        <m:sSub>
          <m:sSubPr>
            <m:ctrlPr>
              <w:rPr>
                <w:rFonts w:ascii="Cambria Math" w:hAnsi="Cambria Math"/>
              </w:rPr>
            </m:ctrlPr>
          </m:sSubPr>
          <m:e>
            <m:r>
              <w:rPr>
                <w:rFonts w:ascii="Cambria Math" w:hAnsi="Cambria Math"/>
                <w:sz w:val="20"/>
                <w:szCs w:val="20"/>
              </w:rPr>
              <m:t>b</m:t>
            </m:r>
          </m:e>
          <m:sub>
            <m:r>
              <w:rPr>
                <w:rFonts w:ascii="Cambria Math" w:hAnsi="Cambria Math"/>
                <w:sz w:val="20"/>
                <w:szCs w:val="20"/>
              </w:rPr>
              <m:t>∈ B(HP)</m:t>
            </m:r>
          </m:sub>
        </m:sSub>
      </m:oMath>
      <w:r>
        <w:rPr>
          <w:sz w:val="20"/>
          <w:szCs w:val="20"/>
        </w:rPr>
        <w:t xml:space="preserve">: heat-pump bands (COP &gt; 1), covering &lt;100°C and 100–200°C.  </w:t>
      </w:r>
      <m:oMath>
        <m:sSub>
          <m:sSubPr>
            <m:ctrlPr>
              <w:rPr>
                <w:rFonts w:ascii="Cambria Math" w:hAnsi="Cambria Math"/>
              </w:rPr>
            </m:ctrlPr>
          </m:sSubPr>
          <m:e>
            <m:r>
              <w:rPr>
                <w:rFonts w:ascii="Cambria Math" w:hAnsi="Cambria Math"/>
                <w:sz w:val="20"/>
                <w:szCs w:val="20"/>
              </w:rPr>
              <m:t>b</m:t>
            </m:r>
          </m:e>
          <m:sub>
            <m:r>
              <w:rPr>
                <w:rFonts w:ascii="Cambria Math" w:hAnsi="Cambria Math"/>
                <w:sz w:val="20"/>
                <w:szCs w:val="20"/>
              </w:rPr>
              <m:t>∈ B(IHB)</m:t>
            </m:r>
          </m:sub>
        </m:sSub>
      </m:oMath>
      <w:r>
        <w:rPr>
          <w:sz w:val="20"/>
          <w:szCs w:val="20"/>
        </w:rPr>
        <w:t xml:space="preserve">: industrial-heat-battery bands (COP ≤ 1), covering ≥200°C.  Round-trip efficiencies enter as </w:t>
      </w:r>
      <m:oMath>
        <m:sSup>
          <m:sSupPr>
            <m:ctrlPr>
              <w:rPr>
                <w:rFonts w:ascii="Cambria Math" w:hAnsi="Cambria Math"/>
              </w:rPr>
            </m:ctrlPr>
          </m:sSupPr>
          <m:e>
            <m:r>
              <w:rPr>
                <w:rFonts w:ascii="Cambria Math" w:hAnsi="Cambria Math"/>
                <w:sz w:val="20"/>
                <w:szCs w:val="20"/>
              </w:rPr>
              <m:t>η</m:t>
            </m:r>
          </m:e>
          <m:sup>
            <m:r>
              <w:rPr>
                <w:rFonts w:ascii="Cambria Math" w:hAnsi="Cambria Math"/>
                <w:sz w:val="20"/>
                <w:szCs w:val="20"/>
              </w:rPr>
              <m:t>Li</m:t>
            </m:r>
          </m:sup>
        </m:sSup>
        <m:r>
          <w:rPr>
            <w:rFonts w:ascii="Cambria Math" w:hAnsi="Cambria Math"/>
            <w:sz w:val="20"/>
            <w:szCs w:val="20"/>
          </w:rPr>
          <m:t xml:space="preserve"> = </m:t>
        </m:r>
        <m:rad>
          <m:radPr>
            <m:degHide m:val="1"/>
            <m:ctrlPr>
              <w:rPr>
                <w:rFonts w:ascii="Cambria Math" w:hAnsi="Cambria Math"/>
              </w:rPr>
            </m:ctrlPr>
          </m:radPr>
          <m:deg/>
          <m:e>
            <m:sSup>
              <m:sSupPr>
                <m:ctrlPr>
                  <w:rPr>
                    <w:rFonts w:ascii="Cambria Math" w:hAnsi="Cambria Math"/>
                  </w:rPr>
                </m:ctrlPr>
              </m:sSupPr>
              <m:e>
                <m:r>
                  <w:rPr>
                    <w:rFonts w:ascii="Cambria Math" w:hAnsi="Cambria Math"/>
                    <w:sz w:val="20"/>
                    <w:szCs w:val="20"/>
                  </w:rPr>
                  <m:t>RTE</m:t>
                </m:r>
              </m:e>
              <m:sup>
                <m:r>
                  <w:rPr>
                    <w:rFonts w:ascii="Cambria Math" w:hAnsi="Cambria Math"/>
                    <w:sz w:val="20"/>
                    <w:szCs w:val="20"/>
                  </w:rPr>
                  <m:t>Li</m:t>
                </m:r>
              </m:sup>
            </m:sSup>
          </m:e>
        </m:rad>
        <m:r>
          <w:rPr>
            <w:rFonts w:ascii="Cambria Math" w:hAnsi="Cambria Math"/>
            <w:sz w:val="20"/>
            <w:szCs w:val="20"/>
          </w:rPr>
          <m:t xml:space="preserve"> and </m:t>
        </m:r>
        <m:sSup>
          <m:sSupPr>
            <m:ctrlPr>
              <w:rPr>
                <w:rFonts w:ascii="Cambria Math" w:hAnsi="Cambria Math"/>
              </w:rPr>
            </m:ctrlPr>
          </m:sSupPr>
          <m:e>
            <m:r>
              <w:rPr>
                <w:rFonts w:ascii="Cambria Math" w:hAnsi="Cambria Math"/>
                <w:sz w:val="20"/>
                <w:szCs w:val="20"/>
              </w:rPr>
              <m:t>η</m:t>
            </m:r>
          </m:e>
          <m:sup>
            <m:r>
              <w:rPr>
                <w:rFonts w:ascii="Cambria Math" w:hAnsi="Cambria Math"/>
                <w:sz w:val="20"/>
                <w:szCs w:val="20"/>
              </w:rPr>
              <m:t>IHB</m:t>
            </m:r>
          </m:sup>
        </m:sSup>
        <m:r>
          <w:rPr>
            <w:rFonts w:ascii="Cambria Math" w:hAnsi="Cambria Math"/>
            <w:sz w:val="20"/>
            <w:szCs w:val="20"/>
          </w:rPr>
          <m:t xml:space="preserve"> = </m:t>
        </m:r>
        <m:rad>
          <m:radPr>
            <m:degHide m:val="1"/>
            <m:ctrlPr>
              <w:rPr>
                <w:rFonts w:ascii="Cambria Math" w:hAnsi="Cambria Math"/>
              </w:rPr>
            </m:ctrlPr>
          </m:radPr>
          <m:deg/>
          <m:e>
            <m:sSup>
              <m:sSupPr>
                <m:ctrlPr>
                  <w:rPr>
                    <w:rFonts w:ascii="Cambria Math" w:hAnsi="Cambria Math"/>
                  </w:rPr>
                </m:ctrlPr>
              </m:sSupPr>
              <m:e>
                <m:r>
                  <w:rPr>
                    <w:rFonts w:ascii="Cambria Math" w:hAnsi="Cambria Math"/>
                    <w:sz w:val="20"/>
                    <w:szCs w:val="20"/>
                  </w:rPr>
                  <m:t>RTE</m:t>
                </m:r>
              </m:e>
              <m:sup>
                <m:r>
                  <w:rPr>
                    <w:rFonts w:ascii="Cambria Math" w:hAnsi="Cambria Math"/>
                    <w:sz w:val="20"/>
                    <w:szCs w:val="20"/>
                  </w:rPr>
                  <m:t>IHB</m:t>
                </m:r>
              </m:sup>
            </m:sSup>
          </m:e>
        </m:rad>
      </m:oMath>
      <w:r>
        <w:rPr>
          <w:sz w:val="20"/>
          <w:szCs w:val="20"/>
        </w:rPr>
        <w:t xml:space="preserve">, with </w:t>
      </w:r>
      <m:oMath>
        <m:sSup>
          <m:sSupPr>
            <m:ctrlPr>
              <w:rPr>
                <w:rFonts w:ascii="Cambria Math" w:hAnsi="Cambria Math"/>
              </w:rPr>
            </m:ctrlPr>
          </m:sSupPr>
          <m:e>
            <m:r>
              <w:rPr>
                <w:rFonts w:ascii="Cambria Math" w:hAnsi="Cambria Math"/>
                <w:sz w:val="20"/>
                <w:szCs w:val="20"/>
              </w:rPr>
              <m:t>RTE</m:t>
            </m:r>
          </m:e>
          <m:sup>
            <m:r>
              <w:rPr>
                <w:rFonts w:ascii="Cambria Math" w:hAnsi="Cambria Math"/>
                <w:sz w:val="20"/>
                <w:szCs w:val="20"/>
              </w:rPr>
              <m:t>Li</m:t>
            </m:r>
          </m:sup>
        </m:sSup>
        <m:r>
          <w:rPr>
            <w:rFonts w:ascii="Cambria Math" w:hAnsi="Cambria Math"/>
            <w:sz w:val="20"/>
            <w:szCs w:val="20"/>
          </w:rPr>
          <m:t xml:space="preserve"> = 0.90, </m:t>
        </m:r>
        <m:sSup>
          <m:sSupPr>
            <m:ctrlPr>
              <w:rPr>
                <w:rFonts w:ascii="Cambria Math" w:hAnsi="Cambria Math"/>
              </w:rPr>
            </m:ctrlPr>
          </m:sSupPr>
          <m:e>
            <m:r>
              <w:rPr>
                <w:rFonts w:ascii="Cambria Math" w:hAnsi="Cambria Math"/>
                <w:sz w:val="20"/>
                <w:szCs w:val="20"/>
              </w:rPr>
              <m:t>RTE</m:t>
            </m:r>
          </m:e>
          <m:sup>
            <m:r>
              <w:rPr>
                <w:rFonts w:ascii="Cambria Math" w:hAnsi="Cambria Math"/>
                <w:sz w:val="20"/>
                <w:szCs w:val="20"/>
              </w:rPr>
              <m:t>IHB</m:t>
            </m:r>
          </m:sup>
        </m:sSup>
        <m:r>
          <w:rPr>
            <w:rFonts w:ascii="Cambria Math" w:hAnsi="Cambria Math"/>
            <w:sz w:val="20"/>
            <w:szCs w:val="20"/>
          </w:rPr>
          <m:t xml:space="preserve"> = 0.95</m:t>
        </m:r>
      </m:oMath>
      <w:r>
        <w:rPr>
          <w:sz w:val="20"/>
          <w:szCs w:val="20"/>
        </w:rPr>
        <w:t xml:space="preserve">, and maximum Li-ion duration </w:t>
      </w:r>
      <m:oMath>
        <m:sSup>
          <m:sSupPr>
            <m:ctrlPr>
              <w:rPr>
                <w:rFonts w:ascii="Cambria Math" w:hAnsi="Cambria Math"/>
              </w:rPr>
            </m:ctrlPr>
          </m:sSupPr>
          <m:e>
            <m:r>
              <w:rPr>
                <w:rFonts w:ascii="Cambria Math" w:hAnsi="Cambria Math"/>
                <w:sz w:val="20"/>
                <w:szCs w:val="20"/>
              </w:rPr>
              <m:t>h</m:t>
            </m:r>
          </m:e>
          <m:sup>
            <m:r>
              <w:rPr>
                <w:rFonts w:ascii="Cambria Math" w:hAnsi="Cambria Math"/>
                <w:sz w:val="20"/>
                <w:szCs w:val="20"/>
              </w:rPr>
              <m:t>max</m:t>
            </m:r>
          </m:sup>
        </m:sSup>
        <m:r>
          <w:rPr>
            <w:rFonts w:ascii="Cambria Math" w:hAnsi="Cambria Math"/>
            <w:sz w:val="20"/>
            <w:szCs w:val="20"/>
          </w:rPr>
          <m:t xml:space="preserve"> = 16 </m:t>
        </m:r>
        <m:r>
          <w:rPr>
            <w:rFonts w:ascii="Cambria Math" w:hAnsi="Cambria Math"/>
            <w:sz w:val="20"/>
            <w:szCs w:val="20"/>
          </w:rPr>
          <m:t>h</m:t>
        </m:r>
      </m:oMath>
      <w:r>
        <w:rPr>
          <w:sz w:val="20"/>
          <w:szCs w:val="20"/>
        </w:rPr>
        <w:t>.</w:t>
      </w:r>
    </w:p>
    <w:p w14:paraId="2B9A40C2" w14:textId="77777777" w:rsidR="005F502E" w:rsidRDefault="00000000" w:rsidP="00832424">
      <w:pPr>
        <w:spacing w:before="120" w:after="80"/>
        <w:jc w:val="both"/>
      </w:pPr>
      <w:r>
        <w:rPr>
          <w:b/>
          <w:bCs/>
          <w:sz w:val="20"/>
          <w:szCs w:val="20"/>
        </w:rPr>
        <w:t>Subject to</w:t>
      </w:r>
    </w:p>
    <w:p w14:paraId="1769489A" w14:textId="77777777" w:rsidR="0057568A" w:rsidRDefault="0057568A" w:rsidP="00832424">
      <w:pPr>
        <w:pStyle w:val="ListParagraph"/>
        <w:numPr>
          <w:ilvl w:val="0"/>
          <w:numId w:val="8"/>
        </w:numPr>
        <w:spacing w:after="200"/>
        <w:jc w:val="both"/>
        <w:rPr>
          <w:sz w:val="20"/>
          <w:szCs w:val="20"/>
        </w:rPr>
      </w:pPr>
      <w:r w:rsidRPr="0057568A">
        <w:rPr>
          <w:sz w:val="20"/>
          <w:szCs w:val="20"/>
        </w:rPr>
        <w:t xml:space="preserve">Solar capacity is capped by available land at a fixed density of 50 </w:t>
      </w:r>
      <w:proofErr w:type="spellStart"/>
      <w:r w:rsidRPr="0057568A">
        <w:rPr>
          <w:sz w:val="20"/>
          <w:szCs w:val="20"/>
        </w:rPr>
        <w:t>MWdc</w:t>
      </w:r>
      <w:proofErr w:type="spellEnd"/>
      <w:r w:rsidRPr="0057568A">
        <w:rPr>
          <w:sz w:val="20"/>
          <w:szCs w:val="20"/>
        </w:rPr>
        <w:t>/km².</w:t>
      </w:r>
    </w:p>
    <w:p w14:paraId="37777D12" w14:textId="77777777" w:rsidR="0057568A" w:rsidRDefault="0057568A" w:rsidP="00832424">
      <w:pPr>
        <w:pStyle w:val="ListParagraph"/>
        <w:numPr>
          <w:ilvl w:val="0"/>
          <w:numId w:val="8"/>
        </w:numPr>
        <w:spacing w:after="200"/>
        <w:jc w:val="both"/>
        <w:rPr>
          <w:sz w:val="20"/>
          <w:szCs w:val="20"/>
        </w:rPr>
      </w:pPr>
      <w:r w:rsidRPr="0057568A">
        <w:rPr>
          <w:sz w:val="20"/>
          <w:szCs w:val="20"/>
        </w:rPr>
        <w:t>Li-ion battery energy is limited to a 16-hour maximum discharge duration.</w:t>
      </w:r>
    </w:p>
    <w:p w14:paraId="442E3BED" w14:textId="77777777" w:rsidR="0057568A" w:rsidRDefault="0057568A" w:rsidP="00832424">
      <w:pPr>
        <w:pStyle w:val="ListParagraph"/>
        <w:numPr>
          <w:ilvl w:val="0"/>
          <w:numId w:val="8"/>
        </w:numPr>
        <w:spacing w:after="200"/>
        <w:jc w:val="both"/>
        <w:rPr>
          <w:sz w:val="20"/>
          <w:szCs w:val="20"/>
        </w:rPr>
      </w:pPr>
      <w:r w:rsidRPr="0057568A">
        <w:rPr>
          <w:sz w:val="20"/>
          <w:szCs w:val="20"/>
        </w:rPr>
        <w:t>At each hour, solar generation is allocated across heat-pump demand, Li-ion charging, and industrial-heat-battery charging.</w:t>
      </w:r>
    </w:p>
    <w:p w14:paraId="4DFE2A85" w14:textId="77777777" w:rsidR="0057568A" w:rsidRDefault="0057568A" w:rsidP="00832424">
      <w:pPr>
        <w:pStyle w:val="ListParagraph"/>
        <w:numPr>
          <w:ilvl w:val="0"/>
          <w:numId w:val="8"/>
        </w:numPr>
        <w:spacing w:after="200"/>
        <w:jc w:val="both"/>
        <w:rPr>
          <w:sz w:val="20"/>
          <w:szCs w:val="20"/>
        </w:rPr>
      </w:pPr>
      <w:r w:rsidRPr="0057568A">
        <w:rPr>
          <w:sz w:val="20"/>
          <w:szCs w:val="20"/>
        </w:rPr>
        <w:t>Heat-pump output (COP-adjusted, including battery-buffered supply) matches each band's flat thermal load.</w:t>
      </w:r>
    </w:p>
    <w:p w14:paraId="3A8C42C6" w14:textId="77777777" w:rsidR="0057568A" w:rsidRDefault="0057568A" w:rsidP="00832424">
      <w:pPr>
        <w:pStyle w:val="ListParagraph"/>
        <w:numPr>
          <w:ilvl w:val="0"/>
          <w:numId w:val="8"/>
        </w:numPr>
        <w:spacing w:after="200"/>
        <w:jc w:val="both"/>
        <w:rPr>
          <w:sz w:val="20"/>
          <w:szCs w:val="20"/>
        </w:rPr>
      </w:pPr>
      <w:r w:rsidRPr="0057568A">
        <w:rPr>
          <w:sz w:val="20"/>
          <w:szCs w:val="20"/>
        </w:rPr>
        <w:t>Industrial-heat-battery output and state-of-charge evolve hour to hour based on charging and discharging, net of round-trip efficiency losses.</w:t>
      </w:r>
    </w:p>
    <w:p w14:paraId="2210081B" w14:textId="243FB194" w:rsidR="0057568A" w:rsidRPr="0057568A" w:rsidRDefault="0057568A" w:rsidP="00832424">
      <w:pPr>
        <w:pStyle w:val="ListParagraph"/>
        <w:numPr>
          <w:ilvl w:val="0"/>
          <w:numId w:val="8"/>
        </w:numPr>
        <w:spacing w:after="200"/>
        <w:jc w:val="both"/>
        <w:rPr>
          <w:sz w:val="20"/>
          <w:szCs w:val="20"/>
        </w:rPr>
      </w:pPr>
      <w:r w:rsidRPr="0057568A">
        <w:rPr>
          <w:sz w:val="20"/>
          <w:szCs w:val="20"/>
        </w:rPr>
        <w:t>Annual unserved heat is capped at (1−α) of demand, enforcing the target availability level α.</w:t>
      </w:r>
    </w:p>
    <w:p w14:paraId="5C13A81B" w14:textId="0D70D61A" w:rsidR="0057568A" w:rsidRPr="0057568A" w:rsidRDefault="0057568A" w:rsidP="00832424">
      <w:pPr>
        <w:spacing w:after="200"/>
        <w:jc w:val="both"/>
        <w:rPr>
          <w:sz w:val="20"/>
          <w:szCs w:val="20"/>
        </w:rPr>
      </w:pPr>
      <w:r w:rsidRPr="0057568A">
        <w:rPr>
          <w:sz w:val="20"/>
          <w:szCs w:val="20"/>
        </w:rPr>
        <w:t>All capacities and dispatch variables are non-negative.</w:t>
      </w:r>
    </w:p>
    <w:p w14:paraId="6EB2FA41" w14:textId="77777777" w:rsidR="0057568A" w:rsidRDefault="0057568A" w:rsidP="00832424">
      <w:pPr>
        <w:spacing w:after="200"/>
        <w:jc w:val="both"/>
        <w:rPr>
          <w:sz w:val="20"/>
          <w:szCs w:val="20"/>
        </w:rPr>
      </w:pPr>
      <w:r w:rsidRPr="0057568A">
        <w:rPr>
          <w:sz w:val="20"/>
          <w:szCs w:val="20"/>
        </w:rPr>
        <w:t>The model is solved as a facility-level linear program (</w:t>
      </w:r>
      <w:proofErr w:type="spellStart"/>
      <w:r w:rsidRPr="0057568A">
        <w:rPr>
          <w:sz w:val="20"/>
          <w:szCs w:val="20"/>
        </w:rPr>
        <w:t>HiGHS</w:t>
      </w:r>
      <w:proofErr w:type="spellEnd"/>
      <w:r w:rsidRPr="0057568A">
        <w:rPr>
          <w:sz w:val="20"/>
          <w:szCs w:val="20"/>
        </w:rPr>
        <w:t>) over 2023 PVGIS hourly profiles. Shared solar capacity feeds heat-pump bands (below 200°C, buffered by a Li-ion battery) and industrial-heat-battery bands (at or above 200°C, resistively charged into a thermal store).</w:t>
      </w:r>
    </w:p>
    <w:p w14:paraId="3584A798" w14:textId="7A2B59C0" w:rsidR="00D37F49" w:rsidRDefault="0000008E" w:rsidP="00832424">
      <w:pPr>
        <w:spacing w:after="200"/>
        <w:jc w:val="both"/>
        <w:rPr>
          <w:b/>
          <w:bCs/>
          <w:iCs/>
          <w:color w:val="000000" w:themeColor="text1"/>
          <w:sz w:val="20"/>
          <w:szCs w:val="20"/>
        </w:rPr>
      </w:pPr>
      <w:r>
        <w:rPr>
          <w:sz w:val="20"/>
          <w:szCs w:val="20"/>
        </w:rPr>
        <w:t xml:space="preserve">Utilising the hourly solar profiles and the flat-load heat demand, we </w:t>
      </w:r>
      <w:r w:rsidR="00A66837">
        <w:rPr>
          <w:sz w:val="20"/>
          <w:szCs w:val="20"/>
        </w:rPr>
        <w:t>optimis</w:t>
      </w:r>
      <w:r>
        <w:rPr>
          <w:sz w:val="20"/>
          <w:szCs w:val="20"/>
        </w:rPr>
        <w:t xml:space="preserve">ed for availability level at 90%. </w:t>
      </w:r>
      <w:r w:rsidR="006E68F8" w:rsidRPr="006E68F8">
        <w:rPr>
          <w:sz w:val="20"/>
          <w:szCs w:val="20"/>
        </w:rPr>
        <w:t xml:space="preserve">on 16 representative days, obtained by k-means clustering of the 365 daily </w:t>
      </w:r>
      <w:r w:rsidR="00D110A8">
        <w:rPr>
          <w:sz w:val="20"/>
          <w:szCs w:val="20"/>
        </w:rPr>
        <w:t xml:space="preserve">solar </w:t>
      </w:r>
      <w:r w:rsidR="00003EF8">
        <w:rPr>
          <w:sz w:val="20"/>
          <w:szCs w:val="20"/>
        </w:rPr>
        <w:t>profiles</w:t>
      </w:r>
      <w:r w:rsidR="006E68F8" w:rsidRPr="006E68F8">
        <w:rPr>
          <w:sz w:val="20"/>
          <w:szCs w:val="20"/>
        </w:rPr>
        <w:t xml:space="preserve"> weighted by cluster size. </w:t>
      </w:r>
      <w:proofErr w:type="spellStart"/>
      <w:r w:rsidR="00A1100F">
        <w:rPr>
          <w:sz w:val="20"/>
          <w:szCs w:val="20"/>
        </w:rPr>
        <w:t>Optimisation</w:t>
      </w:r>
      <w:proofErr w:type="spellEnd"/>
      <w:r w:rsidR="00A1100F">
        <w:rPr>
          <w:sz w:val="20"/>
          <w:szCs w:val="20"/>
        </w:rPr>
        <w:t xml:space="preserve"> is </w:t>
      </w:r>
      <w:r w:rsidR="00A1100F">
        <w:rPr>
          <w:sz w:val="20"/>
          <w:szCs w:val="20"/>
        </w:rPr>
        <w:t xml:space="preserve">run at every decile (10%, 20%, … 100%). At 10% availability, the optimization is run to minimize the cost of solar plus storage to provide 10%. </w:t>
      </w:r>
      <w:r>
        <w:rPr>
          <w:bCs/>
          <w:iCs/>
          <w:color w:val="000000" w:themeColor="text1"/>
          <w:sz w:val="20"/>
          <w:szCs w:val="20"/>
        </w:rPr>
        <w:t xml:space="preserve">After sizing the solar panels and batteries for both the </w:t>
      </w:r>
      <w:r w:rsidR="0091773C">
        <w:rPr>
          <w:bCs/>
          <w:iCs/>
          <w:color w:val="000000" w:themeColor="text1"/>
          <w:sz w:val="20"/>
          <w:szCs w:val="20"/>
        </w:rPr>
        <w:t>5 km</w:t>
      </w:r>
      <w:r>
        <w:rPr>
          <w:bCs/>
          <w:iCs/>
          <w:color w:val="000000" w:themeColor="text1"/>
          <w:sz w:val="20"/>
          <w:szCs w:val="20"/>
        </w:rPr>
        <w:t xml:space="preserve"> and 1</w:t>
      </w:r>
      <w:r w:rsidR="0091773C">
        <w:rPr>
          <w:bCs/>
          <w:iCs/>
          <w:color w:val="000000" w:themeColor="text1"/>
          <w:sz w:val="20"/>
          <w:szCs w:val="20"/>
        </w:rPr>
        <w:t>5 km</w:t>
      </w:r>
      <w:r>
        <w:rPr>
          <w:bCs/>
          <w:iCs/>
          <w:color w:val="000000" w:themeColor="text1"/>
          <w:sz w:val="20"/>
          <w:szCs w:val="20"/>
        </w:rPr>
        <w:t xml:space="preserve"> radius, </w:t>
      </w:r>
      <w:r w:rsidR="00E65624" w:rsidRPr="00E65624">
        <w:rPr>
          <w:bCs/>
          <w:iCs/>
          <w:color w:val="000000" w:themeColor="text1"/>
          <w:sz w:val="20"/>
          <w:szCs w:val="20"/>
        </w:rPr>
        <w:t>served heat is summed across facilities and expressed as a share of total replaceable heat, with fleet LCOH weighted by served heat</w:t>
      </w:r>
      <w:r>
        <w:rPr>
          <w:bCs/>
          <w:iCs/>
          <w:color w:val="000000" w:themeColor="text1"/>
          <w:sz w:val="20"/>
          <w:szCs w:val="20"/>
        </w:rPr>
        <w:t xml:space="preserve">. </w:t>
      </w:r>
    </w:p>
    <w:p w14:paraId="3D1E4E62" w14:textId="77777777" w:rsidR="00FF39E7" w:rsidRDefault="00FF39E7" w:rsidP="00832424">
      <w:pPr>
        <w:pStyle w:val="PaperHeading"/>
        <w:rPr>
          <w:color w:val="000000" w:themeColor="text1"/>
        </w:rPr>
      </w:pPr>
      <w:r>
        <w:rPr>
          <w:color w:val="000000" w:themeColor="text1"/>
        </w:rPr>
        <w:t>3</w:t>
      </w:r>
      <w:r>
        <w:rPr>
          <w:color w:val="000000" w:themeColor="text1"/>
        </w:rPr>
        <w:tab/>
        <w:t>Results</w:t>
      </w:r>
    </w:p>
    <w:p w14:paraId="2A3FCB18" w14:textId="5C8310E9" w:rsidR="00526588" w:rsidRPr="00FA7C25" w:rsidRDefault="00526588" w:rsidP="00832424">
      <w:pPr>
        <w:jc w:val="both"/>
        <w:rPr>
          <w:i/>
          <w:iCs/>
          <w:sz w:val="20"/>
          <w:szCs w:val="20"/>
        </w:rPr>
      </w:pPr>
      <w:r w:rsidRPr="00FA7C25">
        <w:rPr>
          <w:i/>
          <w:iCs/>
          <w:sz w:val="20"/>
          <w:szCs w:val="20"/>
        </w:rPr>
        <w:t>Table 2</w:t>
      </w:r>
      <w:r w:rsidR="00FA7C25" w:rsidRPr="00FA7C25">
        <w:rPr>
          <w:i/>
          <w:iCs/>
          <w:sz w:val="20"/>
          <w:szCs w:val="20"/>
        </w:rPr>
        <w:t>:</w:t>
      </w:r>
      <w:r w:rsidRPr="00FA7C25">
        <w:rPr>
          <w:i/>
          <w:iCs/>
          <w:sz w:val="20"/>
          <w:szCs w:val="20"/>
        </w:rPr>
        <w:t xml:space="preserve"> Share of replaceable process heat served and leveli</w:t>
      </w:r>
      <w:r w:rsidR="00BA7495">
        <w:rPr>
          <w:i/>
          <w:iCs/>
          <w:sz w:val="20"/>
          <w:szCs w:val="20"/>
        </w:rPr>
        <w:t>s</w:t>
      </w:r>
      <w:r w:rsidRPr="00FA7C25">
        <w:rPr>
          <w:i/>
          <w:iCs/>
          <w:sz w:val="20"/>
          <w:szCs w:val="20"/>
        </w:rPr>
        <w:t xml:space="preserve">ed cost of heat (LCOH) at </w:t>
      </w:r>
      <w:r w:rsidR="0091773C">
        <w:rPr>
          <w:i/>
          <w:iCs/>
          <w:sz w:val="20"/>
          <w:szCs w:val="20"/>
        </w:rPr>
        <w:t>5 km</w:t>
      </w:r>
      <w:r w:rsidRPr="00FA7C25">
        <w:rPr>
          <w:i/>
          <w:iCs/>
          <w:sz w:val="20"/>
          <w:szCs w:val="20"/>
        </w:rPr>
        <w:t xml:space="preserve"> and </w:t>
      </w:r>
      <w:r w:rsidR="0024473B">
        <w:rPr>
          <w:i/>
          <w:iCs/>
          <w:sz w:val="20"/>
          <w:szCs w:val="20"/>
        </w:rPr>
        <w:t>1</w:t>
      </w:r>
      <w:r w:rsidR="0091773C">
        <w:rPr>
          <w:i/>
          <w:iCs/>
          <w:sz w:val="20"/>
          <w:szCs w:val="20"/>
        </w:rPr>
        <w:t>5 km</w:t>
      </w:r>
      <w:r w:rsidRPr="00FA7C25">
        <w:rPr>
          <w:i/>
          <w:iCs/>
          <w:sz w:val="20"/>
          <w:szCs w:val="20"/>
        </w:rPr>
        <w:t xml:space="preserve"> buffer zones</w:t>
      </w:r>
    </w:p>
    <w:tbl>
      <w:tblPr>
        <w:tblW w:w="4535" w:type="dxa"/>
        <w:tblBorders>
          <w:top w:val="single" w:sz="8" w:space="0" w:color="auto"/>
          <w:bottom w:val="single" w:sz="8" w:space="0" w:color="auto"/>
        </w:tblBorders>
        <w:tblLayout w:type="fixed"/>
        <w:tblLook w:val="04A0" w:firstRow="1" w:lastRow="0" w:firstColumn="1" w:lastColumn="0" w:noHBand="0" w:noVBand="1"/>
      </w:tblPr>
      <w:tblGrid>
        <w:gridCol w:w="2195"/>
        <w:gridCol w:w="1170"/>
        <w:gridCol w:w="1170"/>
      </w:tblGrid>
      <w:tr w:rsidR="00526588" w:rsidRPr="008756EA" w14:paraId="232B1098" w14:textId="77777777" w:rsidTr="00C96D5F">
        <w:trPr>
          <w:trHeight w:val="153"/>
          <w:tblHeader/>
        </w:trPr>
        <w:tc>
          <w:tcPr>
            <w:tcW w:w="2195" w:type="dxa"/>
            <w:tcBorders>
              <w:bottom w:val="single" w:sz="8" w:space="0" w:color="auto"/>
            </w:tcBorders>
            <w:hideMark/>
          </w:tcPr>
          <w:p w14:paraId="6C5F1BD4" w14:textId="77777777" w:rsidR="00526588" w:rsidRPr="008756EA" w:rsidRDefault="00526588" w:rsidP="00832424">
            <w:pPr>
              <w:pStyle w:val="PaperHeading"/>
              <w:spacing w:after="0"/>
              <w:rPr>
                <w:color w:val="000000" w:themeColor="text1"/>
                <w:sz w:val="20"/>
                <w:szCs w:val="20"/>
                <w:lang w:val="en-US"/>
              </w:rPr>
            </w:pPr>
          </w:p>
        </w:tc>
        <w:tc>
          <w:tcPr>
            <w:tcW w:w="1170" w:type="dxa"/>
            <w:tcBorders>
              <w:bottom w:val="single" w:sz="8" w:space="0" w:color="auto"/>
            </w:tcBorders>
            <w:hideMark/>
          </w:tcPr>
          <w:p w14:paraId="17BB7221" w14:textId="6A82511C" w:rsidR="00526588" w:rsidRPr="008756EA" w:rsidRDefault="0091773C" w:rsidP="00832424">
            <w:pPr>
              <w:pStyle w:val="PaperHeading"/>
              <w:spacing w:after="0"/>
              <w:rPr>
                <w:color w:val="000000" w:themeColor="text1"/>
                <w:sz w:val="20"/>
                <w:szCs w:val="20"/>
                <w:lang w:val="en-US"/>
              </w:rPr>
            </w:pPr>
            <w:r>
              <w:rPr>
                <w:color w:val="000000" w:themeColor="text1"/>
                <w:sz w:val="20"/>
                <w:szCs w:val="20"/>
                <w:lang w:val="en-US"/>
              </w:rPr>
              <w:t>5 km</w:t>
            </w:r>
          </w:p>
        </w:tc>
        <w:tc>
          <w:tcPr>
            <w:tcW w:w="1170" w:type="dxa"/>
            <w:tcBorders>
              <w:bottom w:val="single" w:sz="8" w:space="0" w:color="auto"/>
            </w:tcBorders>
            <w:hideMark/>
          </w:tcPr>
          <w:p w14:paraId="0D1614DD" w14:textId="41470A2C" w:rsidR="00526588" w:rsidRPr="008756EA" w:rsidRDefault="0024473B" w:rsidP="00832424">
            <w:pPr>
              <w:pStyle w:val="PaperHeading"/>
              <w:spacing w:after="0"/>
              <w:rPr>
                <w:color w:val="000000" w:themeColor="text1"/>
                <w:sz w:val="20"/>
                <w:szCs w:val="20"/>
                <w:lang w:val="en-US"/>
              </w:rPr>
            </w:pPr>
            <w:r>
              <w:rPr>
                <w:color w:val="000000" w:themeColor="text1"/>
                <w:sz w:val="20"/>
                <w:szCs w:val="20"/>
                <w:lang w:val="en-US"/>
              </w:rPr>
              <w:t>1</w:t>
            </w:r>
            <w:r w:rsidR="0091773C">
              <w:rPr>
                <w:color w:val="000000" w:themeColor="text1"/>
                <w:sz w:val="20"/>
                <w:szCs w:val="20"/>
                <w:lang w:val="en-US"/>
              </w:rPr>
              <w:t>5 km</w:t>
            </w:r>
          </w:p>
        </w:tc>
      </w:tr>
      <w:tr w:rsidR="00526588" w:rsidRPr="008756EA" w14:paraId="226DCDA2" w14:textId="77777777" w:rsidTr="00C96D5F">
        <w:trPr>
          <w:trHeight w:val="728"/>
        </w:trPr>
        <w:tc>
          <w:tcPr>
            <w:tcW w:w="2195" w:type="dxa"/>
            <w:hideMark/>
          </w:tcPr>
          <w:p w14:paraId="4628546F" w14:textId="77777777" w:rsidR="00526588" w:rsidRPr="00F256C4" w:rsidRDefault="00526588" w:rsidP="00832424">
            <w:pPr>
              <w:pStyle w:val="PaperHeading"/>
              <w:spacing w:after="0"/>
              <w:rPr>
                <w:color w:val="000000" w:themeColor="text1"/>
                <w:sz w:val="20"/>
                <w:szCs w:val="20"/>
                <w:lang w:val="en-US"/>
              </w:rPr>
            </w:pPr>
            <w:r>
              <w:rPr>
                <w:color w:val="000000" w:themeColor="text1"/>
                <w:sz w:val="20"/>
                <w:szCs w:val="20"/>
                <w:lang w:val="en-US"/>
              </w:rPr>
              <w:t>Served (highest served under gas prices)</w:t>
            </w:r>
          </w:p>
        </w:tc>
        <w:tc>
          <w:tcPr>
            <w:tcW w:w="1170" w:type="dxa"/>
            <w:hideMark/>
          </w:tcPr>
          <w:p w14:paraId="143C0F87" w14:textId="77777777" w:rsidR="00526588" w:rsidRDefault="00526588" w:rsidP="00832424">
            <w:pPr>
              <w:pStyle w:val="PaperHeading"/>
              <w:spacing w:after="0"/>
              <w:rPr>
                <w:b w:val="0"/>
                <w:bCs/>
                <w:color w:val="000000" w:themeColor="text1"/>
                <w:sz w:val="20"/>
                <w:szCs w:val="20"/>
                <w:lang w:val="en-US"/>
              </w:rPr>
            </w:pPr>
            <w:r>
              <w:rPr>
                <w:b w:val="0"/>
                <w:bCs/>
                <w:color w:val="000000" w:themeColor="text1"/>
                <w:sz w:val="20"/>
                <w:szCs w:val="20"/>
                <w:lang w:val="en-US"/>
              </w:rPr>
              <w:t>58.8%</w:t>
            </w:r>
          </w:p>
          <w:p w14:paraId="5F2C626B" w14:textId="77777777" w:rsidR="00526588" w:rsidRPr="008756EA" w:rsidRDefault="00526588" w:rsidP="00832424">
            <w:pPr>
              <w:pStyle w:val="PaperHeading"/>
              <w:spacing w:after="0"/>
              <w:rPr>
                <w:b w:val="0"/>
                <w:bCs/>
                <w:color w:val="000000" w:themeColor="text1"/>
                <w:sz w:val="20"/>
                <w:szCs w:val="20"/>
                <w:lang w:val="en-US"/>
              </w:rPr>
            </w:pPr>
            <w:r>
              <w:rPr>
                <w:b w:val="0"/>
                <w:bCs/>
                <w:color w:val="000000" w:themeColor="text1"/>
                <w:sz w:val="20"/>
                <w:szCs w:val="20"/>
                <w:lang w:val="en-US"/>
              </w:rPr>
              <w:t>(307 TWh)</w:t>
            </w:r>
          </w:p>
        </w:tc>
        <w:tc>
          <w:tcPr>
            <w:tcW w:w="1170" w:type="dxa"/>
            <w:hideMark/>
          </w:tcPr>
          <w:p w14:paraId="44C87B70" w14:textId="77777777" w:rsidR="00526588" w:rsidRDefault="00526588" w:rsidP="00832424">
            <w:pPr>
              <w:pStyle w:val="PaperHeading"/>
              <w:spacing w:after="0"/>
              <w:rPr>
                <w:b w:val="0"/>
                <w:bCs/>
                <w:color w:val="000000" w:themeColor="text1"/>
                <w:sz w:val="20"/>
                <w:szCs w:val="20"/>
                <w:lang w:val="en-US"/>
              </w:rPr>
            </w:pPr>
            <w:r>
              <w:rPr>
                <w:b w:val="0"/>
                <w:bCs/>
                <w:color w:val="000000" w:themeColor="text1"/>
                <w:sz w:val="20"/>
                <w:szCs w:val="20"/>
                <w:lang w:val="en-US"/>
              </w:rPr>
              <w:t>84.4%</w:t>
            </w:r>
          </w:p>
          <w:p w14:paraId="5A3445FC" w14:textId="77777777" w:rsidR="00526588" w:rsidRPr="008756EA" w:rsidRDefault="00526588" w:rsidP="00832424">
            <w:pPr>
              <w:pStyle w:val="PaperHeading"/>
              <w:spacing w:after="0"/>
              <w:rPr>
                <w:b w:val="0"/>
                <w:bCs/>
                <w:color w:val="000000" w:themeColor="text1"/>
                <w:sz w:val="20"/>
                <w:szCs w:val="20"/>
                <w:lang w:val="en-US"/>
              </w:rPr>
            </w:pPr>
            <w:r>
              <w:rPr>
                <w:b w:val="0"/>
                <w:bCs/>
                <w:color w:val="000000" w:themeColor="text1"/>
                <w:sz w:val="20"/>
                <w:szCs w:val="20"/>
                <w:lang w:val="en-US"/>
              </w:rPr>
              <w:t>(441 TWh)</w:t>
            </w:r>
          </w:p>
        </w:tc>
      </w:tr>
      <w:tr w:rsidR="00526588" w:rsidRPr="008756EA" w14:paraId="6EE85365" w14:textId="77777777" w:rsidTr="00C96D5F">
        <w:trPr>
          <w:trHeight w:val="477"/>
        </w:trPr>
        <w:tc>
          <w:tcPr>
            <w:tcW w:w="2195" w:type="dxa"/>
            <w:hideMark/>
          </w:tcPr>
          <w:p w14:paraId="697687B5" w14:textId="77777777" w:rsidR="00526588" w:rsidRPr="008756EA" w:rsidRDefault="00526588" w:rsidP="00832424">
            <w:pPr>
              <w:pStyle w:val="PaperHeading"/>
              <w:spacing w:after="0"/>
              <w:rPr>
                <w:color w:val="000000" w:themeColor="text1"/>
                <w:sz w:val="20"/>
                <w:szCs w:val="20"/>
                <w:lang w:val="en-US"/>
              </w:rPr>
            </w:pPr>
            <w:r>
              <w:rPr>
                <w:color w:val="000000" w:themeColor="text1"/>
                <w:sz w:val="20"/>
                <w:szCs w:val="20"/>
                <w:lang w:val="en-US"/>
              </w:rPr>
              <w:t>LCOH (highest served under gas prices)</w:t>
            </w:r>
          </w:p>
        </w:tc>
        <w:tc>
          <w:tcPr>
            <w:tcW w:w="1170" w:type="dxa"/>
            <w:hideMark/>
          </w:tcPr>
          <w:p w14:paraId="03410C04" w14:textId="77777777" w:rsidR="00526588" w:rsidRPr="008756EA" w:rsidRDefault="00526588" w:rsidP="00832424">
            <w:pPr>
              <w:pStyle w:val="PaperHeading"/>
              <w:spacing w:after="0"/>
              <w:rPr>
                <w:b w:val="0"/>
                <w:bCs/>
                <w:color w:val="000000" w:themeColor="text1"/>
                <w:sz w:val="20"/>
                <w:szCs w:val="20"/>
                <w:lang w:val="en-US"/>
              </w:rPr>
            </w:pPr>
            <w:r>
              <w:rPr>
                <w:b w:val="0"/>
                <w:bCs/>
                <w:color w:val="000000" w:themeColor="text1"/>
                <w:sz w:val="20"/>
                <w:szCs w:val="20"/>
                <w:lang w:val="en-US"/>
              </w:rPr>
              <w:t>€55</w:t>
            </w:r>
          </w:p>
        </w:tc>
        <w:tc>
          <w:tcPr>
            <w:tcW w:w="1170" w:type="dxa"/>
            <w:hideMark/>
          </w:tcPr>
          <w:p w14:paraId="7176A016" w14:textId="77777777" w:rsidR="00526588" w:rsidRPr="008756EA" w:rsidRDefault="00526588" w:rsidP="00832424">
            <w:pPr>
              <w:pStyle w:val="PaperHeading"/>
              <w:spacing w:after="0"/>
              <w:rPr>
                <w:b w:val="0"/>
                <w:bCs/>
                <w:color w:val="000000" w:themeColor="text1"/>
                <w:sz w:val="20"/>
                <w:szCs w:val="20"/>
                <w:lang w:val="en-US"/>
              </w:rPr>
            </w:pPr>
            <w:r>
              <w:rPr>
                <w:b w:val="0"/>
                <w:bCs/>
                <w:color w:val="000000" w:themeColor="text1"/>
                <w:sz w:val="20"/>
                <w:szCs w:val="20"/>
                <w:lang w:val="en-US"/>
              </w:rPr>
              <w:t>€62</w:t>
            </w:r>
          </w:p>
        </w:tc>
      </w:tr>
      <w:tr w:rsidR="00526588" w:rsidRPr="008756EA" w14:paraId="2153D822" w14:textId="77777777" w:rsidTr="00C96D5F">
        <w:trPr>
          <w:trHeight w:val="504"/>
        </w:trPr>
        <w:tc>
          <w:tcPr>
            <w:tcW w:w="2195" w:type="dxa"/>
            <w:hideMark/>
          </w:tcPr>
          <w:p w14:paraId="61D42D92" w14:textId="77777777" w:rsidR="00526588" w:rsidRDefault="00526588" w:rsidP="00832424">
            <w:pPr>
              <w:pStyle w:val="PaperHeading"/>
              <w:spacing w:after="0"/>
              <w:rPr>
                <w:color w:val="000000" w:themeColor="text1"/>
                <w:sz w:val="20"/>
                <w:szCs w:val="20"/>
                <w:lang w:val="en-US"/>
              </w:rPr>
            </w:pPr>
            <w:r>
              <w:rPr>
                <w:color w:val="000000" w:themeColor="text1"/>
                <w:sz w:val="20"/>
                <w:szCs w:val="20"/>
                <w:lang w:val="en-US"/>
              </w:rPr>
              <w:t xml:space="preserve">Served </w:t>
            </w:r>
          </w:p>
          <w:p w14:paraId="23E518D3" w14:textId="77777777" w:rsidR="00526588" w:rsidRPr="008756EA" w:rsidRDefault="00526588" w:rsidP="00832424">
            <w:pPr>
              <w:pStyle w:val="PaperHeading"/>
              <w:spacing w:after="0"/>
              <w:rPr>
                <w:color w:val="000000" w:themeColor="text1"/>
                <w:sz w:val="20"/>
                <w:szCs w:val="20"/>
                <w:lang w:val="en-US"/>
              </w:rPr>
            </w:pPr>
            <w:r>
              <w:rPr>
                <w:color w:val="000000" w:themeColor="text1"/>
                <w:sz w:val="20"/>
                <w:szCs w:val="20"/>
                <w:lang w:val="en-US"/>
              </w:rPr>
              <w:t>(max savings vs €93)</w:t>
            </w:r>
          </w:p>
        </w:tc>
        <w:tc>
          <w:tcPr>
            <w:tcW w:w="1170" w:type="dxa"/>
            <w:hideMark/>
          </w:tcPr>
          <w:p w14:paraId="26F627E0" w14:textId="3B7547E7" w:rsidR="00526588" w:rsidRDefault="00526588" w:rsidP="00832424">
            <w:pPr>
              <w:pStyle w:val="PaperHeading"/>
              <w:spacing w:after="0"/>
              <w:rPr>
                <w:b w:val="0"/>
                <w:bCs/>
                <w:color w:val="000000" w:themeColor="text1"/>
                <w:sz w:val="20"/>
                <w:szCs w:val="20"/>
                <w:lang w:val="en-US"/>
              </w:rPr>
            </w:pPr>
            <w:r>
              <w:rPr>
                <w:b w:val="0"/>
                <w:bCs/>
                <w:color w:val="000000" w:themeColor="text1"/>
                <w:sz w:val="20"/>
                <w:szCs w:val="20"/>
                <w:lang w:val="en-US"/>
              </w:rPr>
              <w:t>53.</w:t>
            </w:r>
            <w:r w:rsidR="00B049EC">
              <w:rPr>
                <w:b w:val="0"/>
                <w:bCs/>
                <w:color w:val="000000" w:themeColor="text1"/>
                <w:sz w:val="20"/>
                <w:szCs w:val="20"/>
                <w:lang w:val="en-US"/>
              </w:rPr>
              <w:t>4</w:t>
            </w:r>
            <w:r>
              <w:rPr>
                <w:b w:val="0"/>
                <w:bCs/>
                <w:color w:val="000000" w:themeColor="text1"/>
                <w:sz w:val="20"/>
                <w:szCs w:val="20"/>
                <w:lang w:val="en-US"/>
              </w:rPr>
              <w:t>%</w:t>
            </w:r>
          </w:p>
          <w:p w14:paraId="4C649251" w14:textId="77777777" w:rsidR="00526588" w:rsidRPr="008756EA" w:rsidRDefault="00526588" w:rsidP="00832424">
            <w:pPr>
              <w:pStyle w:val="PaperHeading"/>
              <w:spacing w:after="0"/>
              <w:rPr>
                <w:b w:val="0"/>
                <w:bCs/>
                <w:color w:val="000000" w:themeColor="text1"/>
                <w:sz w:val="20"/>
                <w:szCs w:val="20"/>
                <w:lang w:val="en-US"/>
              </w:rPr>
            </w:pPr>
            <w:r>
              <w:rPr>
                <w:b w:val="0"/>
                <w:bCs/>
                <w:color w:val="000000" w:themeColor="text1"/>
                <w:sz w:val="20"/>
                <w:szCs w:val="20"/>
                <w:lang w:val="en-US"/>
              </w:rPr>
              <w:t>(278 TWh)</w:t>
            </w:r>
          </w:p>
        </w:tc>
        <w:tc>
          <w:tcPr>
            <w:tcW w:w="1170" w:type="dxa"/>
            <w:hideMark/>
          </w:tcPr>
          <w:p w14:paraId="494E1461" w14:textId="32F9DB38" w:rsidR="00526588" w:rsidRDefault="00526588" w:rsidP="00832424">
            <w:pPr>
              <w:pStyle w:val="PaperHeading"/>
              <w:spacing w:after="0"/>
              <w:rPr>
                <w:b w:val="0"/>
                <w:bCs/>
                <w:color w:val="000000" w:themeColor="text1"/>
                <w:sz w:val="20"/>
                <w:szCs w:val="20"/>
                <w:lang w:val="en-US"/>
              </w:rPr>
            </w:pPr>
            <w:r>
              <w:rPr>
                <w:b w:val="0"/>
                <w:bCs/>
                <w:color w:val="000000" w:themeColor="text1"/>
                <w:sz w:val="20"/>
                <w:szCs w:val="20"/>
                <w:lang w:val="en-US"/>
              </w:rPr>
              <w:t>7</w:t>
            </w:r>
            <w:r w:rsidR="00B049EC">
              <w:rPr>
                <w:b w:val="0"/>
                <w:bCs/>
                <w:color w:val="000000" w:themeColor="text1"/>
                <w:sz w:val="20"/>
                <w:szCs w:val="20"/>
                <w:lang w:val="en-US"/>
              </w:rPr>
              <w:t>3</w:t>
            </w:r>
            <w:r>
              <w:rPr>
                <w:b w:val="0"/>
                <w:bCs/>
                <w:color w:val="000000" w:themeColor="text1"/>
                <w:sz w:val="20"/>
                <w:szCs w:val="20"/>
                <w:lang w:val="en-US"/>
              </w:rPr>
              <w:t>.</w:t>
            </w:r>
            <w:r w:rsidR="00B049EC">
              <w:rPr>
                <w:b w:val="0"/>
                <w:bCs/>
                <w:color w:val="000000" w:themeColor="text1"/>
                <w:sz w:val="20"/>
                <w:szCs w:val="20"/>
                <w:lang w:val="en-US"/>
              </w:rPr>
              <w:t>9</w:t>
            </w:r>
            <w:r>
              <w:rPr>
                <w:b w:val="0"/>
                <w:bCs/>
                <w:color w:val="000000" w:themeColor="text1"/>
                <w:sz w:val="20"/>
                <w:szCs w:val="20"/>
                <w:lang w:val="en-US"/>
              </w:rPr>
              <w:t>%</w:t>
            </w:r>
          </w:p>
          <w:p w14:paraId="537096BE" w14:textId="77777777" w:rsidR="00526588" w:rsidRPr="008756EA" w:rsidRDefault="00526588" w:rsidP="00832424">
            <w:pPr>
              <w:pStyle w:val="PaperHeading"/>
              <w:spacing w:after="0"/>
              <w:rPr>
                <w:b w:val="0"/>
                <w:bCs/>
                <w:color w:val="000000" w:themeColor="text1"/>
                <w:sz w:val="20"/>
                <w:szCs w:val="20"/>
                <w:lang w:val="en-US"/>
              </w:rPr>
            </w:pPr>
            <w:r>
              <w:rPr>
                <w:b w:val="0"/>
                <w:bCs/>
                <w:color w:val="000000" w:themeColor="text1"/>
                <w:sz w:val="20"/>
                <w:szCs w:val="20"/>
                <w:lang w:val="en-US"/>
              </w:rPr>
              <w:t>(377 TWh)</w:t>
            </w:r>
          </w:p>
        </w:tc>
      </w:tr>
      <w:tr w:rsidR="00526588" w:rsidRPr="008756EA" w14:paraId="474BF787" w14:textId="77777777" w:rsidTr="00C96D5F">
        <w:trPr>
          <w:trHeight w:val="486"/>
        </w:trPr>
        <w:tc>
          <w:tcPr>
            <w:tcW w:w="2195" w:type="dxa"/>
            <w:hideMark/>
          </w:tcPr>
          <w:p w14:paraId="2897536A" w14:textId="77777777" w:rsidR="00526588" w:rsidRDefault="00526588" w:rsidP="00832424">
            <w:pPr>
              <w:pStyle w:val="PaperHeading"/>
              <w:spacing w:after="0"/>
              <w:rPr>
                <w:color w:val="000000" w:themeColor="text1"/>
                <w:sz w:val="20"/>
                <w:szCs w:val="20"/>
                <w:lang w:val="en-US"/>
              </w:rPr>
            </w:pPr>
            <w:r>
              <w:rPr>
                <w:color w:val="000000" w:themeColor="text1"/>
                <w:sz w:val="20"/>
                <w:szCs w:val="20"/>
                <w:lang w:val="en-US"/>
              </w:rPr>
              <w:t xml:space="preserve">LCOH </w:t>
            </w:r>
          </w:p>
          <w:p w14:paraId="5067D2C9" w14:textId="77777777" w:rsidR="00526588" w:rsidRPr="008756EA" w:rsidRDefault="00526588" w:rsidP="00832424">
            <w:pPr>
              <w:pStyle w:val="PaperHeading"/>
              <w:spacing w:after="0"/>
              <w:rPr>
                <w:color w:val="000000" w:themeColor="text1"/>
                <w:sz w:val="20"/>
                <w:szCs w:val="20"/>
                <w:lang w:val="en-US"/>
              </w:rPr>
            </w:pPr>
            <w:r>
              <w:rPr>
                <w:color w:val="000000" w:themeColor="text1"/>
                <w:sz w:val="20"/>
                <w:szCs w:val="20"/>
                <w:lang w:val="en-US"/>
              </w:rPr>
              <w:t>(max savings vs €93)</w:t>
            </w:r>
          </w:p>
        </w:tc>
        <w:tc>
          <w:tcPr>
            <w:tcW w:w="1170" w:type="dxa"/>
            <w:hideMark/>
          </w:tcPr>
          <w:p w14:paraId="3A0E5B96" w14:textId="77777777" w:rsidR="00526588" w:rsidRPr="008756EA" w:rsidRDefault="00526588" w:rsidP="00832424">
            <w:pPr>
              <w:pStyle w:val="PaperHeading"/>
              <w:spacing w:after="0"/>
              <w:rPr>
                <w:b w:val="0"/>
                <w:bCs/>
                <w:color w:val="000000" w:themeColor="text1"/>
                <w:sz w:val="20"/>
                <w:szCs w:val="20"/>
                <w:lang w:val="en-US"/>
              </w:rPr>
            </w:pPr>
            <w:r>
              <w:rPr>
                <w:b w:val="0"/>
                <w:bCs/>
                <w:color w:val="000000" w:themeColor="text1"/>
                <w:sz w:val="20"/>
                <w:szCs w:val="20"/>
                <w:lang w:val="en-US"/>
              </w:rPr>
              <w:t>€41</w:t>
            </w:r>
          </w:p>
        </w:tc>
        <w:tc>
          <w:tcPr>
            <w:tcW w:w="1170" w:type="dxa"/>
            <w:hideMark/>
          </w:tcPr>
          <w:p w14:paraId="53DC58EA" w14:textId="77777777" w:rsidR="00526588" w:rsidRPr="008756EA" w:rsidRDefault="00526588" w:rsidP="00832424">
            <w:pPr>
              <w:pStyle w:val="PaperHeading"/>
              <w:spacing w:after="0"/>
              <w:rPr>
                <w:b w:val="0"/>
                <w:bCs/>
                <w:color w:val="000000" w:themeColor="text1"/>
                <w:sz w:val="20"/>
                <w:szCs w:val="20"/>
                <w:lang w:val="en-US"/>
              </w:rPr>
            </w:pPr>
            <w:r>
              <w:rPr>
                <w:b w:val="0"/>
                <w:bCs/>
                <w:color w:val="000000" w:themeColor="text1"/>
                <w:sz w:val="20"/>
                <w:szCs w:val="20"/>
                <w:lang w:val="en-US"/>
              </w:rPr>
              <w:t>€42</w:t>
            </w:r>
          </w:p>
        </w:tc>
      </w:tr>
    </w:tbl>
    <w:p w14:paraId="467FA73E" w14:textId="761496B9" w:rsidR="00526588" w:rsidRPr="00972F34" w:rsidRDefault="006C5425" w:rsidP="00832424">
      <w:pPr>
        <w:spacing w:after="200"/>
        <w:jc w:val="both"/>
        <w:rPr>
          <w:sz w:val="20"/>
          <w:szCs w:val="20"/>
        </w:rPr>
      </w:pPr>
      <w:r>
        <w:rPr>
          <w:sz w:val="20"/>
          <w:szCs w:val="20"/>
        </w:rPr>
        <w:t>A</w:t>
      </w:r>
      <w:r w:rsidRPr="006C5425">
        <w:rPr>
          <w:sz w:val="20"/>
          <w:szCs w:val="20"/>
        </w:rPr>
        <w:t>t 5 km, 59% of replaceable heat is below country gas at €55/MWh</w:t>
      </w:r>
      <w:r>
        <w:rPr>
          <w:sz w:val="20"/>
          <w:szCs w:val="20"/>
        </w:rPr>
        <w:t>,</w:t>
      </w:r>
      <w:r w:rsidRPr="006C5425">
        <w:rPr>
          <w:sz w:val="20"/>
          <w:szCs w:val="20"/>
        </w:rPr>
        <w:t xml:space="preserve"> expanding to 15 km reaches 84% at €62/MWh</w:t>
      </w:r>
      <w:r>
        <w:rPr>
          <w:sz w:val="20"/>
          <w:szCs w:val="20"/>
        </w:rPr>
        <w:t>.</w:t>
      </w:r>
      <w:r w:rsidRPr="006C5425">
        <w:rPr>
          <w:sz w:val="20"/>
          <w:szCs w:val="20"/>
        </w:rPr>
        <w:t xml:space="preserve"> </w:t>
      </w:r>
      <w:r>
        <w:rPr>
          <w:sz w:val="20"/>
          <w:szCs w:val="20"/>
        </w:rPr>
        <w:t>S</w:t>
      </w:r>
      <w:r w:rsidRPr="006C5425">
        <w:rPr>
          <w:sz w:val="20"/>
          <w:szCs w:val="20"/>
        </w:rPr>
        <w:t xml:space="preserve">topping at max savings leaves more money on the table but only 53% </w:t>
      </w:r>
      <w:r w:rsidR="006E555D">
        <w:rPr>
          <w:sz w:val="20"/>
          <w:szCs w:val="20"/>
        </w:rPr>
        <w:t xml:space="preserve">and </w:t>
      </w:r>
      <w:r w:rsidRPr="006C5425">
        <w:rPr>
          <w:sz w:val="20"/>
          <w:szCs w:val="20"/>
        </w:rPr>
        <w:t>74% of heat</w:t>
      </w:r>
      <w:r w:rsidR="006E555D">
        <w:rPr>
          <w:sz w:val="20"/>
          <w:szCs w:val="20"/>
        </w:rPr>
        <w:t xml:space="preserve"> for 5 km and 15 km buffer zones respectively</w:t>
      </w:r>
      <w:r w:rsidRPr="006C5425">
        <w:rPr>
          <w:sz w:val="20"/>
          <w:szCs w:val="20"/>
        </w:rPr>
        <w:t>.</w:t>
      </w:r>
      <w:r w:rsidR="003941C0">
        <w:rPr>
          <w:sz w:val="20"/>
          <w:szCs w:val="20"/>
        </w:rPr>
        <w:t xml:space="preserve"> The LCOH at 90% for solar plus storage is still almost </w:t>
      </w:r>
      <w:r w:rsidR="003941C0">
        <w:rPr>
          <w:bCs/>
          <w:color w:val="000000" w:themeColor="text1"/>
          <w:sz w:val="20"/>
          <w:szCs w:val="20"/>
        </w:rPr>
        <w:t>€</w:t>
      </w:r>
      <w:r w:rsidR="003941C0">
        <w:rPr>
          <w:bCs/>
          <w:color w:val="000000" w:themeColor="text1"/>
          <w:sz w:val="20"/>
          <w:szCs w:val="20"/>
        </w:rPr>
        <w:t xml:space="preserve">100 under the grid electricity LCOH. </w:t>
      </w:r>
    </w:p>
    <w:p w14:paraId="45A07EB4" w14:textId="77777777" w:rsidR="00C35915" w:rsidRDefault="00FC7E69" w:rsidP="00C35915">
      <w:pPr>
        <w:jc w:val="both"/>
        <w:rPr>
          <w:i/>
          <w:iCs/>
          <w:sz w:val="20"/>
          <w:szCs w:val="20"/>
        </w:rPr>
      </w:pPr>
      <w:r>
        <w:rPr>
          <w:i/>
          <w:iCs/>
          <w:sz w:val="20"/>
          <w:szCs w:val="20"/>
        </w:rPr>
        <w:t>3.1 Total heat % served and LCOH</w:t>
      </w:r>
    </w:p>
    <w:p w14:paraId="0DEAE4CC" w14:textId="5B8C6DA2" w:rsidR="00B16241" w:rsidRDefault="00B16241" w:rsidP="00B16241">
      <w:pPr>
        <w:spacing w:after="200"/>
        <w:jc w:val="both"/>
        <w:rPr>
          <w:i/>
          <w:iCs/>
          <w:sz w:val="20"/>
          <w:szCs w:val="20"/>
        </w:rPr>
      </w:pPr>
      <w:r>
        <w:rPr>
          <w:sz w:val="20"/>
          <w:szCs w:val="20"/>
        </w:rPr>
        <w:t xml:space="preserve">The aggregate replaceable heat demand served is </w:t>
      </w:r>
      <w:proofErr w:type="spellStart"/>
      <w:r>
        <w:rPr>
          <w:sz w:val="20"/>
          <w:szCs w:val="20"/>
        </w:rPr>
        <w:t>analysed</w:t>
      </w:r>
      <w:proofErr w:type="spellEnd"/>
      <w:r>
        <w:rPr>
          <w:sz w:val="20"/>
          <w:szCs w:val="20"/>
        </w:rPr>
        <w:t xml:space="preserve"> in two ways: </w:t>
      </w:r>
      <w:proofErr w:type="spellStart"/>
      <w:r>
        <w:rPr>
          <w:sz w:val="20"/>
          <w:szCs w:val="20"/>
        </w:rPr>
        <w:t>maximising</w:t>
      </w:r>
      <w:proofErr w:type="spellEnd"/>
      <w:r>
        <w:rPr>
          <w:sz w:val="20"/>
          <w:szCs w:val="20"/>
        </w:rPr>
        <w:t xml:space="preserve"> savings and </w:t>
      </w:r>
      <w:proofErr w:type="spellStart"/>
      <w:r>
        <w:rPr>
          <w:sz w:val="20"/>
          <w:szCs w:val="20"/>
        </w:rPr>
        <w:t>maximising</w:t>
      </w:r>
      <w:proofErr w:type="spellEnd"/>
      <w:r>
        <w:rPr>
          <w:sz w:val="20"/>
          <w:szCs w:val="20"/>
        </w:rPr>
        <w:t xml:space="preserve"> heat demand. </w:t>
      </w:r>
      <w:r>
        <w:rPr>
          <w:bCs/>
          <w:iCs/>
          <w:color w:val="000000" w:themeColor="text1"/>
          <w:sz w:val="20"/>
          <w:szCs w:val="20"/>
        </w:rPr>
        <w:t xml:space="preserve">To maximise savings, a facility should aim for availability up to the maximum savings points. The remaining can be met with grid electricity or gas. To maximise heat demand served, a facility could overbuild solar panels while still being under gas prices resulting in a lower marginal benefit but is still gas competitive. Table 2 </w:t>
      </w:r>
      <w:proofErr w:type="spellStart"/>
      <w:r>
        <w:rPr>
          <w:bCs/>
          <w:iCs/>
          <w:color w:val="000000" w:themeColor="text1"/>
          <w:sz w:val="20"/>
          <w:szCs w:val="20"/>
        </w:rPr>
        <w:t>summarises</w:t>
      </w:r>
      <w:proofErr w:type="spellEnd"/>
      <w:r>
        <w:rPr>
          <w:bCs/>
          <w:iCs/>
          <w:color w:val="000000" w:themeColor="text1"/>
          <w:sz w:val="20"/>
          <w:szCs w:val="20"/>
        </w:rPr>
        <w:t xml:space="preserve"> both framings at the 5 km and 15 km buffer zones.  </w:t>
      </w:r>
    </w:p>
    <w:p w14:paraId="75848461" w14:textId="77777777" w:rsidR="00FC7E69" w:rsidRDefault="00FC7E69" w:rsidP="00832424">
      <w:pPr>
        <w:pStyle w:val="PaperHeading"/>
        <w:spacing w:before="40" w:after="40"/>
        <w:rPr>
          <w:color w:val="000000" w:themeColor="text1"/>
        </w:rPr>
      </w:pPr>
      <w:r>
        <w:rPr>
          <w:noProof/>
          <w:color w:val="000000" w:themeColor="text1"/>
          <w:lang w:val="en-US"/>
        </w:rPr>
        <w:drawing>
          <wp:inline distT="0" distB="0" distL="0" distR="0" wp14:anchorId="3E336DCE" wp14:editId="6F6835A1">
            <wp:extent cx="3149193" cy="2111320"/>
            <wp:effectExtent l="0" t="0" r="0" b="0"/>
            <wp:docPr id="43" name="Picture 42">
              <a:extLst xmlns:a="http://schemas.openxmlformats.org/drawingml/2006/main">
                <a:ext uri="{FF2B5EF4-FFF2-40B4-BE49-F238E27FC236}">
                  <a16:creationId xmlns:a16="http://schemas.microsoft.com/office/drawing/2014/main" id="{4CA1F17E-93ED-B0C3-F2E1-9848C34000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2">
                      <a:extLst>
                        <a:ext uri="{FF2B5EF4-FFF2-40B4-BE49-F238E27FC236}">
                          <a16:creationId xmlns:a16="http://schemas.microsoft.com/office/drawing/2014/main" id="{4CA1F17E-93ED-B0C3-F2E1-9848C3400015}"/>
                        </a:ext>
                      </a:extLst>
                    </pic:cNvPr>
                    <pic:cNvPicPr>
                      <a:picLocks noChangeAspect="1"/>
                    </pic:cNvPicPr>
                  </pic:nvPicPr>
                  <pic:blipFill>
                    <a:blip r:embed="rId11"/>
                    <a:srcRect b="975"/>
                    <a:stretch>
                      <a:fillRect/>
                    </a:stretch>
                  </pic:blipFill>
                  <pic:spPr>
                    <a:xfrm>
                      <a:off x="0" y="0"/>
                      <a:ext cx="3149193" cy="2111320"/>
                    </a:xfrm>
                    <a:prstGeom prst="rect">
                      <a:avLst/>
                    </a:prstGeom>
                  </pic:spPr>
                </pic:pic>
              </a:graphicData>
            </a:graphic>
          </wp:inline>
        </w:drawing>
      </w:r>
    </w:p>
    <w:p w14:paraId="77D77CFD" w14:textId="3CC06A53" w:rsidR="00370CC9" w:rsidRDefault="00000000" w:rsidP="00832424">
      <w:pPr>
        <w:jc w:val="both"/>
        <w:rPr>
          <w:i/>
          <w:iCs/>
          <w:sz w:val="20"/>
          <w:szCs w:val="20"/>
        </w:rPr>
      </w:pPr>
      <w:r w:rsidRPr="00512636">
        <w:rPr>
          <w:i/>
          <w:iCs/>
          <w:sz w:val="20"/>
          <w:szCs w:val="20"/>
        </w:rPr>
        <w:t>Fig. 2</w:t>
      </w:r>
      <w:r w:rsidR="00512636" w:rsidRPr="00512636">
        <w:rPr>
          <w:i/>
          <w:iCs/>
          <w:sz w:val="20"/>
          <w:szCs w:val="20"/>
        </w:rPr>
        <w:t>:</w:t>
      </w:r>
      <w:r w:rsidRPr="00512636">
        <w:rPr>
          <w:i/>
          <w:iCs/>
          <w:sz w:val="20"/>
          <w:szCs w:val="20"/>
        </w:rPr>
        <w:t xml:space="preserve"> EU fleet-average LCOH vs. availability achieved at </w:t>
      </w:r>
      <w:r w:rsidR="0091773C">
        <w:rPr>
          <w:i/>
          <w:iCs/>
          <w:sz w:val="20"/>
          <w:szCs w:val="20"/>
        </w:rPr>
        <w:t>5 km</w:t>
      </w:r>
      <w:r w:rsidRPr="00512636">
        <w:rPr>
          <w:i/>
          <w:iCs/>
          <w:sz w:val="20"/>
          <w:szCs w:val="20"/>
        </w:rPr>
        <w:t xml:space="preserve"> and </w:t>
      </w:r>
      <w:r w:rsidR="0024473B">
        <w:rPr>
          <w:i/>
          <w:iCs/>
          <w:sz w:val="20"/>
          <w:szCs w:val="20"/>
        </w:rPr>
        <w:t>1</w:t>
      </w:r>
      <w:r w:rsidR="0091773C">
        <w:rPr>
          <w:i/>
          <w:iCs/>
          <w:sz w:val="20"/>
          <w:szCs w:val="20"/>
        </w:rPr>
        <w:t>5 km</w:t>
      </w:r>
      <w:r w:rsidRPr="00512636">
        <w:rPr>
          <w:i/>
          <w:iCs/>
          <w:sz w:val="20"/>
          <w:szCs w:val="20"/>
        </w:rPr>
        <w:t xml:space="preserve"> land buffer zones, relative to the €93/MWh gas-heat and €171/MWh grid-electricity benchmarks</w:t>
      </w:r>
      <w:r w:rsidR="00C35915">
        <w:rPr>
          <w:i/>
          <w:iCs/>
          <w:sz w:val="20"/>
          <w:szCs w:val="20"/>
        </w:rPr>
        <w:t>.</w:t>
      </w:r>
    </w:p>
    <w:p w14:paraId="72D0A573" w14:textId="77777777" w:rsidR="00C35915" w:rsidRDefault="00C35915" w:rsidP="00832424">
      <w:pPr>
        <w:jc w:val="both"/>
        <w:rPr>
          <w:i/>
          <w:iCs/>
          <w:sz w:val="20"/>
          <w:szCs w:val="20"/>
        </w:rPr>
      </w:pPr>
    </w:p>
    <w:p w14:paraId="5E9FF4E0" w14:textId="0702646E" w:rsidR="00931E67" w:rsidRDefault="004A2889" w:rsidP="00832424">
      <w:pPr>
        <w:spacing w:before="40" w:after="40"/>
        <w:jc w:val="both"/>
        <w:rPr>
          <w:sz w:val="20"/>
          <w:szCs w:val="20"/>
        </w:rPr>
      </w:pPr>
      <w:r>
        <w:rPr>
          <w:noProof/>
          <w:color w:val="000000" w:themeColor="text1"/>
        </w:rPr>
        <w:lastRenderedPageBreak/>
        <w:drawing>
          <wp:inline distT="0" distB="0" distL="0" distR="0" wp14:anchorId="01D3791A" wp14:editId="28D98335">
            <wp:extent cx="3149193" cy="3251229"/>
            <wp:effectExtent l="0" t="0" r="0" b="0"/>
            <wp:docPr id="8" name="Picture 7">
              <a:extLst xmlns:a="http://schemas.openxmlformats.org/drawingml/2006/main">
                <a:ext uri="{FF2B5EF4-FFF2-40B4-BE49-F238E27FC236}" cx="3149193" cy="3251229">
                  <a16:creationId xmlns:a16="http://schemas.microsoft.com/office/drawing/2014/main" id="{67EFD8DF-80C4-940D-6ADB-51652F760F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cx="3149193" cy="3251229">
                          <a16:creationId xmlns:a16="http://schemas.microsoft.com/office/drawing/2014/main" id="{67EFD8DF-80C4-940D-6ADB-51652F760FFE}"/>
                        </a:ext>
                      </a:extLst>
                    </pic:cNvPr>
                    <pic:cNvPicPr>
                      <a:picLocks noChangeAspect="1"/>
                    </pic:cNvPicPr>
                  </pic:nvPicPr>
                  <pic:blipFill>
                    <a:blip r:embed="rId12"/>
                    <a:stretch>
                      <a:fillRect/>
                    </a:stretch>
                  </pic:blipFill>
                  <pic:spPr>
                    <a:xfrm>
                      <a:off x="0" y="0"/>
                      <a:ext cx="3149193" cy="3251229"/>
                    </a:xfrm>
                    <a:prstGeom prst="rect">
                      <a:avLst/>
                    </a:prstGeom>
                  </pic:spPr>
                </pic:pic>
              </a:graphicData>
            </a:graphic>
          </wp:inline>
        </w:drawing>
      </w:r>
    </w:p>
    <w:p w14:paraId="3CF22A38" w14:textId="77777777" w:rsidR="004A2889" w:rsidRDefault="004A2889" w:rsidP="004A2889">
      <w:pPr>
        <w:jc w:val="both"/>
        <w:rPr>
          <w:i/>
          <w:iCs/>
          <w:sz w:val="20"/>
          <w:szCs w:val="20"/>
        </w:rPr>
      </w:pPr>
      <w:r w:rsidRPr="00BC1F80">
        <w:rPr>
          <w:i/>
          <w:iCs/>
          <w:sz w:val="20"/>
          <w:szCs w:val="20"/>
        </w:rPr>
        <w:t>Fig. 3: LCOH vs. availability for land-capped industries at 5 km and 15 km: (a) iron and steel, (b) steam cracking. Lines: gas €93/MWh, grid electricity €171/MWh</w:t>
      </w:r>
    </w:p>
    <w:p w14:paraId="384BE616" w14:textId="77777777" w:rsidR="009B38E9" w:rsidRPr="00BC1F80" w:rsidRDefault="009B38E9" w:rsidP="004A2889">
      <w:pPr>
        <w:jc w:val="both"/>
        <w:rPr>
          <w:i/>
          <w:iCs/>
          <w:sz w:val="20"/>
          <w:szCs w:val="20"/>
        </w:rPr>
      </w:pPr>
    </w:p>
    <w:p w14:paraId="20E2EA93" w14:textId="314A80C9" w:rsidR="00FC7E69" w:rsidRPr="00526DB7" w:rsidRDefault="00FC7E69" w:rsidP="00832424">
      <w:pPr>
        <w:jc w:val="both"/>
        <w:rPr>
          <w:i/>
          <w:iCs/>
          <w:sz w:val="20"/>
          <w:szCs w:val="20"/>
        </w:rPr>
      </w:pPr>
      <w:r>
        <w:rPr>
          <w:i/>
          <w:iCs/>
          <w:sz w:val="20"/>
          <w:szCs w:val="20"/>
        </w:rPr>
        <w:t>3.2 High temperature sector comparison</w:t>
      </w:r>
    </w:p>
    <w:p w14:paraId="12055F5B" w14:textId="5E4A4910" w:rsidR="00814067" w:rsidRDefault="006A5B10" w:rsidP="00832424">
      <w:pPr>
        <w:spacing w:after="200"/>
        <w:jc w:val="both"/>
        <w:rPr>
          <w:sz w:val="20"/>
          <w:szCs w:val="20"/>
        </w:rPr>
      </w:pPr>
      <w:r w:rsidRPr="006A5B10">
        <w:rPr>
          <w:sz w:val="20"/>
          <w:szCs w:val="20"/>
        </w:rPr>
        <w:t>Steam cracking and iron and steel</w:t>
      </w:r>
      <w:r>
        <w:rPr>
          <w:sz w:val="20"/>
          <w:szCs w:val="20"/>
        </w:rPr>
        <w:t xml:space="preserve"> </w:t>
      </w:r>
      <w:r w:rsidR="00814067">
        <w:rPr>
          <w:sz w:val="20"/>
          <w:szCs w:val="20"/>
        </w:rPr>
        <w:t xml:space="preserve">sector have very large sites and have more heat intense processes (&gt; 500°C) resulting in much higher heat loads. These sectors require more hybrid solutions: increased land availability, </w:t>
      </w:r>
      <w:r w:rsidR="0000008E">
        <w:rPr>
          <w:sz w:val="20"/>
          <w:szCs w:val="20"/>
        </w:rPr>
        <w:t>utilising</w:t>
      </w:r>
      <w:r w:rsidR="00814067">
        <w:rPr>
          <w:sz w:val="20"/>
          <w:szCs w:val="20"/>
        </w:rPr>
        <w:t xml:space="preserve"> grid electricity, co-firing with gas plants. By increasing buffer zone around each site, over 80% of heat can be served in both sectors under gas prices. </w:t>
      </w:r>
      <w:r w:rsidR="009042E8">
        <w:rPr>
          <w:sz w:val="20"/>
          <w:szCs w:val="20"/>
        </w:rPr>
        <w:t>Increasing buffer zones from 5 km to 15km, availability for steel increases from</w:t>
      </w:r>
      <w:r w:rsidR="009042E8" w:rsidRPr="009042E8">
        <w:rPr>
          <w:sz w:val="20"/>
          <w:szCs w:val="20"/>
        </w:rPr>
        <w:t xml:space="preserve"> 40% </w:t>
      </w:r>
      <w:r w:rsidR="009042E8">
        <w:rPr>
          <w:sz w:val="20"/>
          <w:szCs w:val="20"/>
        </w:rPr>
        <w:t>to</w:t>
      </w:r>
      <w:r w:rsidR="009042E8" w:rsidRPr="009042E8">
        <w:rPr>
          <w:sz w:val="20"/>
          <w:szCs w:val="20"/>
        </w:rPr>
        <w:t xml:space="preserve"> 80%, </w:t>
      </w:r>
      <w:r w:rsidR="009042E8">
        <w:rPr>
          <w:sz w:val="20"/>
          <w:szCs w:val="20"/>
        </w:rPr>
        <w:t xml:space="preserve">for </w:t>
      </w:r>
      <w:r w:rsidR="009042E8" w:rsidRPr="009042E8">
        <w:rPr>
          <w:sz w:val="20"/>
          <w:szCs w:val="20"/>
        </w:rPr>
        <w:t>steam</w:t>
      </w:r>
      <w:r w:rsidR="009042E8">
        <w:rPr>
          <w:sz w:val="20"/>
          <w:szCs w:val="20"/>
        </w:rPr>
        <w:t>, from</w:t>
      </w:r>
      <w:r w:rsidR="009042E8" w:rsidRPr="009042E8">
        <w:rPr>
          <w:sz w:val="20"/>
          <w:szCs w:val="20"/>
        </w:rPr>
        <w:t xml:space="preserve"> 30% </w:t>
      </w:r>
      <w:r w:rsidR="009042E8">
        <w:rPr>
          <w:sz w:val="20"/>
          <w:szCs w:val="20"/>
        </w:rPr>
        <w:t>to</w:t>
      </w:r>
      <w:r w:rsidR="009042E8" w:rsidRPr="009042E8">
        <w:rPr>
          <w:sz w:val="20"/>
          <w:szCs w:val="20"/>
        </w:rPr>
        <w:t xml:space="preserve"> 80%</w:t>
      </w:r>
      <w:r w:rsidR="009042E8">
        <w:rPr>
          <w:sz w:val="20"/>
          <w:szCs w:val="20"/>
        </w:rPr>
        <w:t>. Grid</w:t>
      </w:r>
      <w:r w:rsidR="00814067">
        <w:rPr>
          <w:sz w:val="20"/>
          <w:szCs w:val="20"/>
        </w:rPr>
        <w:t xml:space="preserve"> electricity or gas plants are still needed to provide for the last 10-30% of demand</w:t>
      </w:r>
      <w:r w:rsidR="00442611">
        <w:rPr>
          <w:sz w:val="20"/>
          <w:szCs w:val="20"/>
        </w:rPr>
        <w:t xml:space="preserve"> at 15 km buffer zones</w:t>
      </w:r>
      <w:r w:rsidR="00814067">
        <w:rPr>
          <w:sz w:val="20"/>
          <w:szCs w:val="20"/>
        </w:rPr>
        <w:t>.</w:t>
      </w:r>
    </w:p>
    <w:p w14:paraId="4854048B" w14:textId="77777777" w:rsidR="000670F8" w:rsidRDefault="000670F8" w:rsidP="000670F8">
      <w:pPr>
        <w:jc w:val="both"/>
        <w:rPr>
          <w:i/>
          <w:iCs/>
          <w:sz w:val="20"/>
          <w:szCs w:val="20"/>
        </w:rPr>
      </w:pPr>
      <w:r>
        <w:rPr>
          <w:i/>
          <w:iCs/>
          <w:sz w:val="20"/>
          <w:szCs w:val="20"/>
        </w:rPr>
        <w:t>3.3 Country-level comparison</w:t>
      </w:r>
    </w:p>
    <w:p w14:paraId="7327DCD4" w14:textId="3DF1D10D" w:rsidR="00896905" w:rsidRPr="00BF7B6C" w:rsidRDefault="000670F8" w:rsidP="00832424">
      <w:pPr>
        <w:spacing w:after="200"/>
        <w:jc w:val="both"/>
        <w:rPr>
          <w:color w:val="000000" w:themeColor="text1"/>
          <w:sz w:val="20"/>
          <w:szCs w:val="20"/>
        </w:rPr>
      </w:pPr>
      <w:r>
        <w:rPr>
          <w:color w:val="000000" w:themeColor="text1"/>
          <w:sz w:val="20"/>
          <w:szCs w:val="20"/>
        </w:rPr>
        <w:t>Germany, the Netherlands, and France have very large process-heat demand. With a ~15 km land buffer, a large majority can be served below country gas. At 5 km, Germany and the Netherlands remain more land constrained. Southern Europe (Greece, Spain, Italy, Portugal) is the strongest fit. Those sites tend to be smaller, with better solar yield.</w:t>
      </w:r>
      <w:r w:rsidRPr="00E50A98">
        <w:rPr>
          <w:color w:val="000000" w:themeColor="text1"/>
          <w:sz w:val="20"/>
          <w:szCs w:val="20"/>
        </w:rPr>
        <w:t xml:space="preserve"> </w:t>
      </w:r>
      <w:r>
        <w:rPr>
          <w:color w:val="000000" w:themeColor="text1"/>
          <w:sz w:val="20"/>
          <w:szCs w:val="20"/>
        </w:rPr>
        <w:t>~95% of demand served at LCOH roughly 70–75% of country gas cost.</w:t>
      </w:r>
    </w:p>
    <w:p w14:paraId="3FFB65E4" w14:textId="77777777" w:rsidR="00A61599" w:rsidRDefault="00A61599" w:rsidP="00832424">
      <w:pPr>
        <w:jc w:val="both"/>
        <w:rPr>
          <w:sz w:val="20"/>
          <w:szCs w:val="20"/>
        </w:rPr>
      </w:pPr>
    </w:p>
    <w:p w14:paraId="52B274B8" w14:textId="6A470733" w:rsidR="00FC7E69" w:rsidRDefault="00F50040" w:rsidP="00832424">
      <w:pPr>
        <w:pStyle w:val="PaperHeading"/>
        <w:spacing w:before="40" w:after="40"/>
        <w:rPr>
          <w:color w:val="000000" w:themeColor="text1"/>
        </w:rPr>
      </w:pPr>
      <w:r w:rsidRPr="00F50040">
        <w:rPr>
          <w:noProof/>
          <w:color w:val="000000" w:themeColor="text1"/>
          <w:lang w:val="en-US"/>
        </w:rPr>
        <w:drawing>
          <wp:inline distT="0" distB="0" distL="0" distR="0" wp14:anchorId="41EC167B" wp14:editId="6F475156">
            <wp:extent cx="3149193" cy="3463030"/>
            <wp:effectExtent l="0" t="0" r="0" b="4445"/>
            <wp:docPr id="2" name="Picture 1">
              <a:extLst xmlns:a="http://schemas.openxmlformats.org/drawingml/2006/main">
                <a:ext uri="{FF2B5EF4-FFF2-40B4-BE49-F238E27FC236}" cx="3149193" cy="3463030">
                  <a16:creationId xmlns:a16="http://schemas.microsoft.com/office/drawing/2014/main" id="{41F35331-102A-3A0B-B60D-AE887B6C9A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cx="3149193" cy="3463030">
                          <a16:creationId xmlns:a16="http://schemas.microsoft.com/office/drawing/2014/main" id="{41F35331-102A-3A0B-B60D-AE887B6C9A18}"/>
                        </a:ext>
                      </a:extLst>
                    </pic:cNvPr>
                    <pic:cNvPicPr>
                      <a:picLocks noChangeAspect="1"/>
                    </pic:cNvPicPr>
                  </pic:nvPicPr>
                  <pic:blipFill>
                    <a:blip r:embed="rId13"/>
                    <a:srcRect t="355"/>
                    <a:stretch>
                      <a:fillRect/>
                    </a:stretch>
                  </pic:blipFill>
                  <pic:spPr>
                    <a:xfrm>
                      <a:off x="0" y="0"/>
                      <a:ext cx="3149193" cy="3463030"/>
                    </a:xfrm>
                    <a:prstGeom prst="rect">
                      <a:avLst/>
                    </a:prstGeom>
                  </pic:spPr>
                </pic:pic>
              </a:graphicData>
            </a:graphic>
          </wp:inline>
        </w:drawing>
      </w:r>
    </w:p>
    <w:p w14:paraId="2334A8ED" w14:textId="12F658FF" w:rsidR="00370CC9" w:rsidRDefault="00000000" w:rsidP="00832424">
      <w:pPr>
        <w:jc w:val="both"/>
        <w:rPr>
          <w:i/>
          <w:iCs/>
          <w:sz w:val="20"/>
          <w:szCs w:val="20"/>
        </w:rPr>
      </w:pPr>
      <w:r w:rsidRPr="00423E3E">
        <w:rPr>
          <w:i/>
          <w:iCs/>
          <w:sz w:val="20"/>
          <w:szCs w:val="20"/>
        </w:rPr>
        <w:t>Fig. 4: Country-level LCOH vs. heat served at each country’s gas-heat price, relative to €93/MWh: (a) 5 km, (b) 15 km</w:t>
      </w:r>
    </w:p>
    <w:p w14:paraId="37864ED7" w14:textId="77777777" w:rsidR="00127E21" w:rsidRPr="00423E3E" w:rsidRDefault="00127E21" w:rsidP="00832424">
      <w:pPr>
        <w:jc w:val="both"/>
        <w:rPr>
          <w:i/>
          <w:iCs/>
          <w:sz w:val="20"/>
          <w:szCs w:val="20"/>
        </w:rPr>
      </w:pPr>
    </w:p>
    <w:p w14:paraId="36414173" w14:textId="77777777" w:rsidR="00774434" w:rsidRDefault="00774434" w:rsidP="00832424">
      <w:pPr>
        <w:jc w:val="both"/>
        <w:rPr>
          <w:i/>
          <w:iCs/>
          <w:sz w:val="20"/>
          <w:szCs w:val="20"/>
        </w:rPr>
      </w:pPr>
      <w:r>
        <w:rPr>
          <w:i/>
          <w:iCs/>
          <w:sz w:val="20"/>
          <w:szCs w:val="20"/>
        </w:rPr>
        <w:t>3.4 Facility specific analysis for solar radiation impacts</w:t>
      </w:r>
    </w:p>
    <w:p w14:paraId="007898D8" w14:textId="7B7E68C1" w:rsidR="003C566F" w:rsidRDefault="00AE72DC" w:rsidP="00832424">
      <w:pPr>
        <w:spacing w:after="200"/>
        <w:jc w:val="both"/>
        <w:rPr>
          <w:color w:val="000000" w:themeColor="text1"/>
          <w:sz w:val="20"/>
          <w:szCs w:val="20"/>
        </w:rPr>
      </w:pPr>
      <w:r>
        <w:rPr>
          <w:color w:val="000000" w:themeColor="text1"/>
          <w:sz w:val="20"/>
          <w:szCs w:val="20"/>
        </w:rPr>
        <w:t>Where land is comparable, solar resource drives how much PV overbuild high-temperature sites need. Two high temperature steel plants, Linz in Austria and Taranto in Italy, have similar temperature needs (900°C) and heat demand (5</w:t>
      </w:r>
      <w:r w:rsidR="008E492E">
        <w:rPr>
          <w:color w:val="000000" w:themeColor="text1"/>
          <w:sz w:val="20"/>
          <w:szCs w:val="20"/>
        </w:rPr>
        <w:t xml:space="preserve"> </w:t>
      </w:r>
      <w:r>
        <w:rPr>
          <w:color w:val="000000" w:themeColor="text1"/>
          <w:sz w:val="20"/>
          <w:szCs w:val="20"/>
        </w:rPr>
        <w:t>TWh). Taranto has 20% solar capacity factor while Linz has 15%. Both have enough land available at 1</w:t>
      </w:r>
      <w:r w:rsidR="0091773C">
        <w:rPr>
          <w:color w:val="000000" w:themeColor="text1"/>
          <w:sz w:val="20"/>
          <w:szCs w:val="20"/>
        </w:rPr>
        <w:t>5 km</w:t>
      </w:r>
      <w:r>
        <w:rPr>
          <w:color w:val="000000" w:themeColor="text1"/>
          <w:sz w:val="20"/>
          <w:szCs w:val="20"/>
        </w:rPr>
        <w:t xml:space="preserve"> to meet 90% of their heat demand, but Linz need</w:t>
      </w:r>
      <w:r w:rsidR="00D57176">
        <w:rPr>
          <w:color w:val="000000" w:themeColor="text1"/>
          <w:sz w:val="20"/>
          <w:szCs w:val="20"/>
        </w:rPr>
        <w:t>s</w:t>
      </w:r>
      <w:r>
        <w:rPr>
          <w:color w:val="000000" w:themeColor="text1"/>
          <w:sz w:val="20"/>
          <w:szCs w:val="20"/>
        </w:rPr>
        <w:t xml:space="preserve"> to overbuild 15x load while Taranto would only need to build 5.3x their load.  Higher-irradiance sites can hit high-T reliability with less overbuild and much lower LCOH. Table 3 </w:t>
      </w:r>
      <w:proofErr w:type="spellStart"/>
      <w:r w:rsidR="0024473B">
        <w:rPr>
          <w:color w:val="000000" w:themeColor="text1"/>
          <w:sz w:val="20"/>
          <w:szCs w:val="20"/>
        </w:rPr>
        <w:t>summaris</w:t>
      </w:r>
      <w:r>
        <w:rPr>
          <w:color w:val="000000" w:themeColor="text1"/>
          <w:sz w:val="20"/>
          <w:szCs w:val="20"/>
        </w:rPr>
        <w:t>es</w:t>
      </w:r>
      <w:proofErr w:type="spellEnd"/>
      <w:r>
        <w:rPr>
          <w:color w:val="000000" w:themeColor="text1"/>
          <w:sz w:val="20"/>
          <w:szCs w:val="20"/>
        </w:rPr>
        <w:t xml:space="preserve"> the comparison. </w:t>
      </w:r>
    </w:p>
    <w:p w14:paraId="2D8C558F" w14:textId="77984FCE" w:rsidR="00370CC9" w:rsidRPr="00203FE1" w:rsidRDefault="00000000" w:rsidP="00832424">
      <w:pPr>
        <w:jc w:val="both"/>
        <w:rPr>
          <w:i/>
          <w:iCs/>
          <w:sz w:val="20"/>
          <w:szCs w:val="20"/>
        </w:rPr>
      </w:pPr>
      <w:r w:rsidRPr="00203FE1">
        <w:rPr>
          <w:i/>
          <w:iCs/>
          <w:sz w:val="20"/>
          <w:szCs w:val="20"/>
        </w:rPr>
        <w:t>Table 3</w:t>
      </w:r>
      <w:r w:rsidR="00203FE1" w:rsidRPr="00203FE1">
        <w:rPr>
          <w:i/>
          <w:iCs/>
          <w:sz w:val="20"/>
          <w:szCs w:val="20"/>
        </w:rPr>
        <w:t>:</w:t>
      </w:r>
      <w:r w:rsidRPr="00203FE1">
        <w:rPr>
          <w:i/>
          <w:iCs/>
          <w:sz w:val="20"/>
          <w:szCs w:val="20"/>
        </w:rPr>
        <w:t xml:space="preserve"> Solar overbuild, capacity, land use, and LCOH for two high-temperature steel sites at </w:t>
      </w:r>
      <w:r w:rsidR="0024473B">
        <w:rPr>
          <w:i/>
          <w:iCs/>
          <w:sz w:val="20"/>
          <w:szCs w:val="20"/>
        </w:rPr>
        <w:t>1</w:t>
      </w:r>
      <w:r w:rsidR="0091773C">
        <w:rPr>
          <w:i/>
          <w:iCs/>
          <w:sz w:val="20"/>
          <w:szCs w:val="20"/>
        </w:rPr>
        <w:t>5 km</w:t>
      </w:r>
      <w:r w:rsidRPr="00203FE1">
        <w:rPr>
          <w:i/>
          <w:iCs/>
          <w:sz w:val="20"/>
          <w:szCs w:val="20"/>
        </w:rPr>
        <w:t xml:space="preserve"> buffer zone (90% availability)</w:t>
      </w:r>
    </w:p>
    <w:tbl>
      <w:tblPr>
        <w:tblW w:w="4950" w:type="dxa"/>
        <w:tblBorders>
          <w:top w:val="single" w:sz="8" w:space="0" w:color="auto"/>
          <w:bottom w:val="single" w:sz="8" w:space="0" w:color="auto"/>
        </w:tblBorders>
        <w:tblLayout w:type="fixed"/>
        <w:tblCellMar>
          <w:top w:w="15" w:type="dxa"/>
          <w:left w:w="15" w:type="dxa"/>
          <w:bottom w:w="15" w:type="dxa"/>
          <w:right w:w="15" w:type="dxa"/>
        </w:tblCellMar>
        <w:tblLook w:val="04A0" w:firstRow="1" w:lastRow="0" w:firstColumn="1" w:lastColumn="0" w:noHBand="0" w:noVBand="1"/>
      </w:tblPr>
      <w:tblGrid>
        <w:gridCol w:w="1170"/>
        <w:gridCol w:w="1260"/>
        <w:gridCol w:w="990"/>
        <w:gridCol w:w="720"/>
        <w:gridCol w:w="810"/>
      </w:tblGrid>
      <w:tr w:rsidR="00984FB7" w14:paraId="1DFC8410" w14:textId="77777777" w:rsidTr="00164B08">
        <w:tc>
          <w:tcPr>
            <w:tcW w:w="1170" w:type="dxa"/>
            <w:tcBorders>
              <w:bottom w:val="single" w:sz="8" w:space="0" w:color="auto"/>
            </w:tcBorders>
          </w:tcPr>
          <w:p w14:paraId="7BBB268A" w14:textId="77777777" w:rsidR="00984FB7" w:rsidRPr="00984FB7" w:rsidRDefault="00984FB7" w:rsidP="00832424">
            <w:pPr>
              <w:jc w:val="both"/>
              <w:rPr>
                <w:rFonts w:ascii="-apple-system" w:hAnsi="-apple-system"/>
                <w:sz w:val="20"/>
                <w:szCs w:val="20"/>
              </w:rPr>
            </w:pPr>
          </w:p>
        </w:tc>
        <w:tc>
          <w:tcPr>
            <w:tcW w:w="1260" w:type="dxa"/>
            <w:tcBorders>
              <w:bottom w:val="single" w:sz="8" w:space="0" w:color="auto"/>
            </w:tcBorders>
            <w:noWrap/>
            <w:tcMar>
              <w:top w:w="75" w:type="dxa"/>
              <w:left w:w="135" w:type="dxa"/>
              <w:bottom w:w="75" w:type="dxa"/>
              <w:right w:w="135" w:type="dxa"/>
            </w:tcMar>
            <w:hideMark/>
          </w:tcPr>
          <w:p w14:paraId="55C26E6F" w14:textId="00F01BB9" w:rsidR="00984FB7" w:rsidRPr="00984FB7" w:rsidRDefault="00984FB7" w:rsidP="00832424">
            <w:pPr>
              <w:jc w:val="both"/>
              <w:rPr>
                <w:rFonts w:ascii="-apple-system" w:hAnsi="-apple-system"/>
                <w:sz w:val="20"/>
                <w:szCs w:val="20"/>
              </w:rPr>
            </w:pPr>
            <w:r>
              <w:rPr>
                <w:rFonts w:ascii="-apple-system" w:hAnsi="-apple-system"/>
                <w:sz w:val="20"/>
                <w:szCs w:val="20"/>
              </w:rPr>
              <w:t>Solar/load</w:t>
            </w:r>
          </w:p>
        </w:tc>
        <w:tc>
          <w:tcPr>
            <w:tcW w:w="990" w:type="dxa"/>
            <w:tcBorders>
              <w:bottom w:val="single" w:sz="8" w:space="0" w:color="auto"/>
            </w:tcBorders>
            <w:noWrap/>
            <w:tcMar>
              <w:top w:w="75" w:type="dxa"/>
              <w:left w:w="135" w:type="dxa"/>
              <w:bottom w:w="75" w:type="dxa"/>
              <w:right w:w="135" w:type="dxa"/>
            </w:tcMar>
            <w:hideMark/>
          </w:tcPr>
          <w:p w14:paraId="1F1388F2" w14:textId="77777777" w:rsidR="00984FB7" w:rsidRPr="00984FB7" w:rsidRDefault="00984FB7" w:rsidP="00832424">
            <w:pPr>
              <w:jc w:val="both"/>
              <w:rPr>
                <w:rFonts w:ascii="-apple-system" w:hAnsi="-apple-system"/>
                <w:sz w:val="20"/>
                <w:szCs w:val="20"/>
              </w:rPr>
            </w:pPr>
            <w:r>
              <w:rPr>
                <w:rFonts w:ascii="-apple-system" w:hAnsi="-apple-system"/>
                <w:sz w:val="20"/>
                <w:szCs w:val="20"/>
              </w:rPr>
              <w:t>PV built</w:t>
            </w:r>
          </w:p>
        </w:tc>
        <w:tc>
          <w:tcPr>
            <w:tcW w:w="720" w:type="dxa"/>
            <w:tcBorders>
              <w:bottom w:val="single" w:sz="8" w:space="0" w:color="auto"/>
            </w:tcBorders>
            <w:noWrap/>
            <w:tcMar>
              <w:top w:w="75" w:type="dxa"/>
              <w:left w:w="135" w:type="dxa"/>
              <w:bottom w:w="75" w:type="dxa"/>
              <w:right w:w="135" w:type="dxa"/>
            </w:tcMar>
            <w:hideMark/>
          </w:tcPr>
          <w:p w14:paraId="4B795F9D" w14:textId="77777777" w:rsidR="00984FB7" w:rsidRPr="00984FB7" w:rsidRDefault="00984FB7" w:rsidP="00832424">
            <w:pPr>
              <w:jc w:val="both"/>
              <w:rPr>
                <w:rFonts w:ascii="-apple-system" w:hAnsi="-apple-system"/>
                <w:sz w:val="20"/>
                <w:szCs w:val="20"/>
              </w:rPr>
            </w:pPr>
            <w:r>
              <w:rPr>
                <w:rFonts w:ascii="-apple-system" w:hAnsi="-apple-system"/>
                <w:sz w:val="20"/>
                <w:szCs w:val="20"/>
              </w:rPr>
              <w:t>Land used</w:t>
            </w:r>
          </w:p>
        </w:tc>
        <w:tc>
          <w:tcPr>
            <w:tcW w:w="810" w:type="dxa"/>
            <w:tcBorders>
              <w:bottom w:val="single" w:sz="8" w:space="0" w:color="auto"/>
              <w:right w:val="nil"/>
            </w:tcBorders>
            <w:noWrap/>
            <w:tcMar>
              <w:top w:w="75" w:type="dxa"/>
              <w:left w:w="135" w:type="dxa"/>
              <w:bottom w:w="75" w:type="dxa"/>
              <w:right w:w="135" w:type="dxa"/>
            </w:tcMar>
            <w:hideMark/>
          </w:tcPr>
          <w:p w14:paraId="0A55F09E" w14:textId="77777777" w:rsidR="00984FB7" w:rsidRPr="00984FB7" w:rsidRDefault="00984FB7" w:rsidP="00832424">
            <w:pPr>
              <w:jc w:val="both"/>
              <w:rPr>
                <w:rFonts w:ascii="-apple-system" w:hAnsi="-apple-system"/>
                <w:sz w:val="20"/>
                <w:szCs w:val="20"/>
              </w:rPr>
            </w:pPr>
            <w:r>
              <w:rPr>
                <w:rFonts w:ascii="-apple-system" w:hAnsi="-apple-system"/>
                <w:sz w:val="20"/>
                <w:szCs w:val="20"/>
              </w:rPr>
              <w:t>LCOH</w:t>
            </w:r>
          </w:p>
        </w:tc>
      </w:tr>
      <w:tr w:rsidR="00984FB7" w14:paraId="5CB6D3B5" w14:textId="77777777" w:rsidTr="00164B08">
        <w:tc>
          <w:tcPr>
            <w:tcW w:w="1170" w:type="dxa"/>
            <w:tcMar>
              <w:top w:w="75" w:type="dxa"/>
              <w:left w:w="135" w:type="dxa"/>
              <w:bottom w:w="75" w:type="dxa"/>
              <w:right w:w="135" w:type="dxa"/>
            </w:tcMar>
            <w:hideMark/>
          </w:tcPr>
          <w:p w14:paraId="7B632929" w14:textId="77777777" w:rsidR="00984FB7" w:rsidRPr="00984FB7" w:rsidRDefault="00984FB7" w:rsidP="00832424">
            <w:pPr>
              <w:jc w:val="both"/>
              <w:rPr>
                <w:rFonts w:ascii="-apple-system" w:hAnsi="-apple-system"/>
                <w:sz w:val="20"/>
                <w:szCs w:val="20"/>
              </w:rPr>
            </w:pPr>
            <w:r>
              <w:rPr>
                <w:rStyle w:val="font-semibold"/>
                <w:rFonts w:ascii="-apple-system" w:hAnsi="-apple-system"/>
                <w:sz w:val="20"/>
                <w:szCs w:val="20"/>
              </w:rPr>
              <w:t>Taranto</w:t>
            </w:r>
          </w:p>
        </w:tc>
        <w:tc>
          <w:tcPr>
            <w:tcW w:w="1260" w:type="dxa"/>
            <w:tcMar>
              <w:top w:w="75" w:type="dxa"/>
              <w:left w:w="135" w:type="dxa"/>
              <w:bottom w:w="75" w:type="dxa"/>
              <w:right w:w="135" w:type="dxa"/>
            </w:tcMar>
            <w:hideMark/>
          </w:tcPr>
          <w:p w14:paraId="262EF173" w14:textId="77777777" w:rsidR="00984FB7" w:rsidRPr="00984FB7" w:rsidRDefault="00984FB7" w:rsidP="00832424">
            <w:pPr>
              <w:jc w:val="both"/>
              <w:rPr>
                <w:rFonts w:ascii="-apple-system" w:hAnsi="-apple-system"/>
                <w:sz w:val="20"/>
                <w:szCs w:val="20"/>
              </w:rPr>
            </w:pPr>
            <w:r>
              <w:rPr>
                <w:rStyle w:val="font-semibold"/>
                <w:rFonts w:ascii="-apple-system" w:hAnsi="-apple-system"/>
                <w:sz w:val="20"/>
                <w:szCs w:val="20"/>
              </w:rPr>
              <w:t>5.3×</w:t>
            </w:r>
          </w:p>
        </w:tc>
        <w:tc>
          <w:tcPr>
            <w:tcW w:w="990" w:type="dxa"/>
            <w:tcMar>
              <w:top w:w="75" w:type="dxa"/>
              <w:left w:w="135" w:type="dxa"/>
              <w:bottom w:w="75" w:type="dxa"/>
              <w:right w:w="135" w:type="dxa"/>
            </w:tcMar>
            <w:hideMark/>
          </w:tcPr>
          <w:p w14:paraId="71F17D4D" w14:textId="77777777" w:rsidR="00984FB7" w:rsidRPr="00984FB7" w:rsidRDefault="00984FB7" w:rsidP="00832424">
            <w:pPr>
              <w:jc w:val="both"/>
              <w:rPr>
                <w:rFonts w:ascii="-apple-system" w:hAnsi="-apple-system"/>
                <w:sz w:val="20"/>
                <w:szCs w:val="20"/>
              </w:rPr>
            </w:pPr>
            <w:r>
              <w:rPr>
                <w:rFonts w:ascii="-apple-system" w:hAnsi="-apple-system"/>
                <w:sz w:val="20"/>
                <w:szCs w:val="20"/>
              </w:rPr>
              <w:t>3.0 GW</w:t>
            </w:r>
          </w:p>
        </w:tc>
        <w:tc>
          <w:tcPr>
            <w:tcW w:w="720" w:type="dxa"/>
            <w:tcMar>
              <w:top w:w="75" w:type="dxa"/>
              <w:left w:w="135" w:type="dxa"/>
              <w:bottom w:w="75" w:type="dxa"/>
              <w:right w:w="135" w:type="dxa"/>
            </w:tcMar>
            <w:hideMark/>
          </w:tcPr>
          <w:p w14:paraId="5860D979" w14:textId="77777777" w:rsidR="00984FB7" w:rsidRPr="00984FB7" w:rsidRDefault="00984FB7" w:rsidP="00832424">
            <w:pPr>
              <w:jc w:val="both"/>
              <w:rPr>
                <w:rFonts w:ascii="-apple-system" w:hAnsi="-apple-system"/>
                <w:sz w:val="20"/>
                <w:szCs w:val="20"/>
              </w:rPr>
            </w:pPr>
            <w:r>
              <w:rPr>
                <w:rStyle w:val="font-semibold"/>
                <w:rFonts w:ascii="-apple-system" w:hAnsi="-apple-system"/>
                <w:sz w:val="20"/>
                <w:szCs w:val="20"/>
              </w:rPr>
              <w:t>32%</w:t>
            </w:r>
          </w:p>
        </w:tc>
        <w:tc>
          <w:tcPr>
            <w:tcW w:w="810" w:type="dxa"/>
            <w:tcBorders>
              <w:right w:val="nil"/>
            </w:tcBorders>
            <w:tcMar>
              <w:top w:w="75" w:type="dxa"/>
              <w:left w:w="135" w:type="dxa"/>
              <w:bottom w:w="75" w:type="dxa"/>
              <w:right w:w="135" w:type="dxa"/>
            </w:tcMar>
            <w:hideMark/>
          </w:tcPr>
          <w:p w14:paraId="1683E362" w14:textId="77777777" w:rsidR="00984FB7" w:rsidRPr="00984FB7" w:rsidRDefault="00984FB7" w:rsidP="00832424">
            <w:pPr>
              <w:jc w:val="both"/>
              <w:rPr>
                <w:rFonts w:ascii="-apple-system" w:hAnsi="-apple-system"/>
                <w:sz w:val="20"/>
                <w:szCs w:val="20"/>
              </w:rPr>
            </w:pPr>
            <w:r>
              <w:rPr>
                <w:rStyle w:val="font-semibold"/>
                <w:rFonts w:ascii="-apple-system" w:hAnsi="-apple-system"/>
                <w:sz w:val="20"/>
                <w:szCs w:val="20"/>
              </w:rPr>
              <w:t>€33</w:t>
            </w:r>
          </w:p>
        </w:tc>
      </w:tr>
      <w:tr w:rsidR="00984FB7" w14:paraId="295EC712" w14:textId="77777777" w:rsidTr="00164B08">
        <w:tc>
          <w:tcPr>
            <w:tcW w:w="1170" w:type="dxa"/>
            <w:tcBorders>
              <w:bottom w:val="nil"/>
            </w:tcBorders>
            <w:tcMar>
              <w:top w:w="75" w:type="dxa"/>
              <w:left w:w="135" w:type="dxa"/>
              <w:bottom w:w="75" w:type="dxa"/>
              <w:right w:w="135" w:type="dxa"/>
            </w:tcMar>
            <w:hideMark/>
          </w:tcPr>
          <w:p w14:paraId="6CE4ADEE" w14:textId="77777777" w:rsidR="00984FB7" w:rsidRPr="00984FB7" w:rsidRDefault="00984FB7" w:rsidP="00832424">
            <w:pPr>
              <w:jc w:val="both"/>
              <w:rPr>
                <w:rFonts w:ascii="-apple-system" w:hAnsi="-apple-system"/>
                <w:sz w:val="20"/>
                <w:szCs w:val="20"/>
              </w:rPr>
            </w:pPr>
            <w:r>
              <w:rPr>
                <w:rStyle w:val="font-semibold"/>
                <w:rFonts w:ascii="-apple-system" w:hAnsi="-apple-system"/>
                <w:sz w:val="20"/>
                <w:szCs w:val="20"/>
              </w:rPr>
              <w:t>Linz</w:t>
            </w:r>
          </w:p>
        </w:tc>
        <w:tc>
          <w:tcPr>
            <w:tcW w:w="1260" w:type="dxa"/>
            <w:tcBorders>
              <w:bottom w:val="nil"/>
            </w:tcBorders>
            <w:tcMar>
              <w:top w:w="75" w:type="dxa"/>
              <w:left w:w="135" w:type="dxa"/>
              <w:bottom w:w="75" w:type="dxa"/>
              <w:right w:w="135" w:type="dxa"/>
            </w:tcMar>
            <w:hideMark/>
          </w:tcPr>
          <w:p w14:paraId="1BF161E0" w14:textId="77777777" w:rsidR="00984FB7" w:rsidRPr="00984FB7" w:rsidRDefault="00984FB7" w:rsidP="00832424">
            <w:pPr>
              <w:jc w:val="both"/>
              <w:rPr>
                <w:rFonts w:ascii="-apple-system" w:hAnsi="-apple-system"/>
                <w:sz w:val="20"/>
                <w:szCs w:val="20"/>
              </w:rPr>
            </w:pPr>
            <w:r>
              <w:rPr>
                <w:rStyle w:val="font-semibold"/>
                <w:rFonts w:ascii="-apple-system" w:hAnsi="-apple-system"/>
                <w:sz w:val="20"/>
                <w:szCs w:val="20"/>
              </w:rPr>
              <w:t>15.0×</w:t>
            </w:r>
          </w:p>
        </w:tc>
        <w:tc>
          <w:tcPr>
            <w:tcW w:w="990" w:type="dxa"/>
            <w:tcBorders>
              <w:bottom w:val="nil"/>
            </w:tcBorders>
            <w:tcMar>
              <w:top w:w="75" w:type="dxa"/>
              <w:left w:w="135" w:type="dxa"/>
              <w:bottom w:w="75" w:type="dxa"/>
              <w:right w:w="135" w:type="dxa"/>
            </w:tcMar>
            <w:hideMark/>
          </w:tcPr>
          <w:p w14:paraId="16447CC2" w14:textId="77777777" w:rsidR="00984FB7" w:rsidRPr="00984FB7" w:rsidRDefault="00984FB7" w:rsidP="00832424">
            <w:pPr>
              <w:jc w:val="both"/>
              <w:rPr>
                <w:rFonts w:ascii="-apple-system" w:hAnsi="-apple-system"/>
                <w:sz w:val="20"/>
                <w:szCs w:val="20"/>
              </w:rPr>
            </w:pPr>
            <w:r>
              <w:rPr>
                <w:rFonts w:ascii="-apple-system" w:hAnsi="-apple-system"/>
                <w:sz w:val="20"/>
                <w:szCs w:val="20"/>
              </w:rPr>
              <w:t>8.5 GW</w:t>
            </w:r>
          </w:p>
        </w:tc>
        <w:tc>
          <w:tcPr>
            <w:tcW w:w="720" w:type="dxa"/>
            <w:tcBorders>
              <w:bottom w:val="nil"/>
            </w:tcBorders>
            <w:tcMar>
              <w:top w:w="75" w:type="dxa"/>
              <w:left w:w="135" w:type="dxa"/>
              <w:bottom w:w="75" w:type="dxa"/>
              <w:right w:w="135" w:type="dxa"/>
            </w:tcMar>
            <w:hideMark/>
          </w:tcPr>
          <w:p w14:paraId="5C72E2A9" w14:textId="77777777" w:rsidR="00984FB7" w:rsidRPr="00984FB7" w:rsidRDefault="00984FB7" w:rsidP="00832424">
            <w:pPr>
              <w:jc w:val="both"/>
              <w:rPr>
                <w:rFonts w:ascii="-apple-system" w:hAnsi="-apple-system"/>
                <w:sz w:val="20"/>
                <w:szCs w:val="20"/>
              </w:rPr>
            </w:pPr>
            <w:r>
              <w:rPr>
                <w:rStyle w:val="font-semibold"/>
                <w:rFonts w:ascii="-apple-system" w:hAnsi="-apple-system"/>
                <w:sz w:val="20"/>
                <w:szCs w:val="20"/>
              </w:rPr>
              <w:t>80%</w:t>
            </w:r>
          </w:p>
        </w:tc>
        <w:tc>
          <w:tcPr>
            <w:tcW w:w="810" w:type="dxa"/>
            <w:tcBorders>
              <w:bottom w:val="nil"/>
              <w:right w:val="nil"/>
            </w:tcBorders>
            <w:tcMar>
              <w:top w:w="75" w:type="dxa"/>
              <w:left w:w="135" w:type="dxa"/>
              <w:bottom w:w="75" w:type="dxa"/>
              <w:right w:w="135" w:type="dxa"/>
            </w:tcMar>
            <w:hideMark/>
          </w:tcPr>
          <w:p w14:paraId="3E6E5279" w14:textId="77777777" w:rsidR="00984FB7" w:rsidRPr="00984FB7" w:rsidRDefault="00984FB7" w:rsidP="00832424">
            <w:pPr>
              <w:jc w:val="both"/>
              <w:rPr>
                <w:rFonts w:ascii="-apple-system" w:hAnsi="-apple-system"/>
                <w:sz w:val="20"/>
                <w:szCs w:val="20"/>
              </w:rPr>
            </w:pPr>
            <w:r>
              <w:rPr>
                <w:rStyle w:val="font-semibold"/>
                <w:rFonts w:ascii="-apple-system" w:hAnsi="-apple-system"/>
                <w:sz w:val="20"/>
                <w:szCs w:val="20"/>
              </w:rPr>
              <w:t>€85</w:t>
            </w:r>
          </w:p>
        </w:tc>
      </w:tr>
    </w:tbl>
    <w:p w14:paraId="4B6B2894" w14:textId="77777777" w:rsidR="004B022C" w:rsidRDefault="004B022C" w:rsidP="00FA0AC4">
      <w:pPr>
        <w:jc w:val="both"/>
        <w:rPr>
          <w:i/>
          <w:iCs/>
          <w:sz w:val="20"/>
          <w:szCs w:val="20"/>
        </w:rPr>
      </w:pPr>
    </w:p>
    <w:p w14:paraId="2B267E30" w14:textId="06C19483" w:rsidR="003D21D6" w:rsidRDefault="003D21D6" w:rsidP="00FA0AC4">
      <w:pPr>
        <w:jc w:val="both"/>
        <w:rPr>
          <w:i/>
          <w:iCs/>
          <w:sz w:val="20"/>
          <w:szCs w:val="20"/>
        </w:rPr>
      </w:pPr>
      <w:r>
        <w:rPr>
          <w:i/>
          <w:iCs/>
          <w:sz w:val="20"/>
          <w:szCs w:val="20"/>
        </w:rPr>
        <w:t>3.5 Impacts of land constraint</w:t>
      </w:r>
    </w:p>
    <w:p w14:paraId="7EC3CC07" w14:textId="730F6427" w:rsidR="00CD60CA" w:rsidRDefault="00275377" w:rsidP="00832424">
      <w:pPr>
        <w:spacing w:after="200"/>
        <w:jc w:val="both"/>
        <w:rPr>
          <w:noProof/>
        </w:rPr>
      </w:pPr>
      <w:r>
        <w:rPr>
          <w:sz w:val="20"/>
          <w:szCs w:val="20"/>
        </w:rPr>
        <w:t xml:space="preserve">For large sites with high temperature processes, there are concentrated areas where the land resources just cannot provide most of the energy at </w:t>
      </w:r>
      <w:r w:rsidR="0091773C">
        <w:rPr>
          <w:sz w:val="20"/>
          <w:szCs w:val="20"/>
        </w:rPr>
        <w:t>5 km</w:t>
      </w:r>
      <w:r>
        <w:rPr>
          <w:sz w:val="20"/>
          <w:szCs w:val="20"/>
        </w:rPr>
        <w:t xml:space="preserve"> buffer zone.  The major shortfall areas are in the Rhine-Meuse region where steel and</w:t>
      </w:r>
      <w:r w:rsidR="00DD3CB5">
        <w:rPr>
          <w:sz w:val="20"/>
          <w:szCs w:val="20"/>
        </w:rPr>
        <w:t xml:space="preserve"> </w:t>
      </w:r>
      <w:r>
        <w:rPr>
          <w:sz w:val="20"/>
          <w:szCs w:val="20"/>
        </w:rPr>
        <w:t xml:space="preserve">steam cracking facilities are. These sites typically have ~8–50 km²/TWh land and ~12–14% solar capacity factor. </w:t>
      </w:r>
      <w:r w:rsidR="00985394">
        <w:rPr>
          <w:sz w:val="20"/>
          <w:szCs w:val="20"/>
        </w:rPr>
        <w:t>M</w:t>
      </w:r>
      <w:r w:rsidR="004E4564" w:rsidRPr="004E4564">
        <w:rPr>
          <w:sz w:val="20"/>
          <w:szCs w:val="20"/>
        </w:rPr>
        <w:t>ost sites that miss 50% at 5 km recover at 15 km.</w:t>
      </w:r>
      <w:r>
        <w:rPr>
          <w:sz w:val="20"/>
          <w:szCs w:val="20"/>
        </w:rPr>
        <w:t xml:space="preserve"> Expanding to 1</w:t>
      </w:r>
      <w:r w:rsidR="0091773C">
        <w:rPr>
          <w:sz w:val="20"/>
          <w:szCs w:val="20"/>
        </w:rPr>
        <w:t>5 km</w:t>
      </w:r>
      <w:r>
        <w:rPr>
          <w:sz w:val="20"/>
          <w:szCs w:val="20"/>
        </w:rPr>
        <w:t xml:space="preserve"> allows all sites, except for 3, to reach over 50% availability.</w:t>
      </w:r>
      <w:r>
        <w:rPr>
          <w:noProof/>
        </w:rPr>
        <w:t xml:space="preserve"> </w:t>
      </w:r>
    </w:p>
    <w:p w14:paraId="19328B7E" w14:textId="77777777" w:rsidR="00D330F3" w:rsidRDefault="00D330F3" w:rsidP="00D330F3">
      <w:pPr>
        <w:pStyle w:val="PaperHeading"/>
        <w:rPr>
          <w:color w:val="000000" w:themeColor="text1"/>
        </w:rPr>
      </w:pPr>
      <w:r>
        <w:rPr>
          <w:color w:val="000000" w:themeColor="text1"/>
        </w:rPr>
        <w:lastRenderedPageBreak/>
        <w:t>4</w:t>
      </w:r>
      <w:r>
        <w:rPr>
          <w:color w:val="000000" w:themeColor="text1"/>
        </w:rPr>
        <w:tab/>
        <w:t>Discussion</w:t>
      </w:r>
    </w:p>
    <w:p w14:paraId="431E1E97" w14:textId="77777777" w:rsidR="00D330F3" w:rsidRPr="00D128B1" w:rsidRDefault="00D330F3" w:rsidP="00D330F3">
      <w:pPr>
        <w:pStyle w:val="PaperHeading"/>
        <w:spacing w:after="0"/>
        <w:rPr>
          <w:b w:val="0"/>
          <w:bCs/>
          <w:color w:val="000000" w:themeColor="text1"/>
          <w:sz w:val="20"/>
          <w:szCs w:val="20"/>
        </w:rPr>
      </w:pPr>
      <w:r>
        <w:rPr>
          <w:b w:val="0"/>
          <w:bCs/>
          <w:i/>
          <w:iCs/>
          <w:color w:val="000000" w:themeColor="text1"/>
          <w:sz w:val="20"/>
          <w:szCs w:val="20"/>
        </w:rPr>
        <w:t>4.1 Motivation for off-grid renewable solution</w:t>
      </w:r>
    </w:p>
    <w:p w14:paraId="26CCC872" w14:textId="0B1AC80A" w:rsidR="00D330F3" w:rsidRPr="00D330F3" w:rsidRDefault="00D330F3" w:rsidP="00832424">
      <w:pPr>
        <w:spacing w:after="200"/>
        <w:jc w:val="both"/>
        <w:rPr>
          <w:color w:val="000000" w:themeColor="text1"/>
          <w:sz w:val="20"/>
          <w:szCs w:val="20"/>
        </w:rPr>
      </w:pPr>
      <w:r>
        <w:rPr>
          <w:color w:val="000000" w:themeColor="text1"/>
          <w:sz w:val="20"/>
          <w:szCs w:val="20"/>
        </w:rPr>
        <w:t xml:space="preserve">One of the major roadblocks to industrial electrification is the cost and delay to connecting to electricity grid infrastructure. However, with on-site renewable site, there is enough availability served such that industrial sites can use those resources. This study examines how much heat generation can be served on-site without connecting to grid infrastructure and how much that would cost. With even 5 km of buffer zone, 58.8% of replaceable heat demand in the EU can be met with solar + heat pump/heat battery at a cost below natural gas fuel costs with carbon tax. This solar + storage solution does not require the whole system to be decarbonized, nor a new interconnection, for meaningful cost and emissions reductions. </w:t>
      </w:r>
      <w:r w:rsidRPr="00BB07AE">
        <w:rPr>
          <w:color w:val="000000" w:themeColor="text1"/>
          <w:sz w:val="20"/>
          <w:szCs w:val="20"/>
        </w:rPr>
        <w:t>Facilities that cannot reach high availability on-site can still build to the maximum-savings point (53% of fleet heat at 5 km) and meet the remainder with gas or grid electricity.</w:t>
      </w:r>
    </w:p>
    <w:p w14:paraId="4ECD5446" w14:textId="77777777" w:rsidR="00DB6E4D" w:rsidRDefault="00CD60CA" w:rsidP="00832424">
      <w:pPr>
        <w:spacing w:before="40" w:after="40"/>
        <w:jc w:val="both"/>
        <w:rPr>
          <w:b/>
          <w:bCs/>
          <w:color w:val="000000" w:themeColor="text1"/>
          <w:sz w:val="20"/>
          <w:szCs w:val="20"/>
        </w:rPr>
      </w:pPr>
      <w:r>
        <w:rPr>
          <w:noProof/>
          <w:sz w:val="20"/>
          <w:szCs w:val="20"/>
        </w:rPr>
        <w:drawing>
          <wp:inline distT="0" distB="0" distL="114300" distR="114300" wp14:anchorId="3B74C155" wp14:editId="173E8943">
            <wp:extent cx="3149193" cy="4388967"/>
            <wp:effectExtent l="0" t="0" r="0" b="4445"/>
            <wp:docPr id="121027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7641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49193" cy="4388967"/>
                    </a:xfrm>
                    <a:prstGeom prst="rect">
                      <a:avLst/>
                    </a:prstGeom>
                  </pic:spPr>
                </pic:pic>
              </a:graphicData>
            </a:graphic>
          </wp:inline>
        </w:drawing>
      </w:r>
      <w:r>
        <w:rPr>
          <w:b/>
          <w:bCs/>
          <w:color w:val="000000" w:themeColor="text1"/>
          <w:sz w:val="20"/>
          <w:szCs w:val="20"/>
        </w:rPr>
        <w:t xml:space="preserve"> </w:t>
      </w:r>
    </w:p>
    <w:p w14:paraId="3626DBCB" w14:textId="56FCDAC6" w:rsidR="00370CC9" w:rsidRPr="00061F27" w:rsidRDefault="00000000" w:rsidP="00832424">
      <w:pPr>
        <w:jc w:val="both"/>
        <w:rPr>
          <w:i/>
          <w:iCs/>
          <w:sz w:val="20"/>
          <w:szCs w:val="20"/>
        </w:rPr>
      </w:pPr>
      <w:r w:rsidRPr="00061F27">
        <w:rPr>
          <w:i/>
          <w:iCs/>
          <w:sz w:val="20"/>
          <w:szCs w:val="20"/>
        </w:rPr>
        <w:t>Fig. 5</w:t>
      </w:r>
      <w:r w:rsidR="00061F27" w:rsidRPr="00061F27">
        <w:rPr>
          <w:i/>
          <w:iCs/>
          <w:sz w:val="20"/>
          <w:szCs w:val="20"/>
        </w:rPr>
        <w:t>:</w:t>
      </w:r>
      <w:r w:rsidRPr="00061F27">
        <w:rPr>
          <w:i/>
          <w:iCs/>
          <w:sz w:val="20"/>
          <w:szCs w:val="20"/>
        </w:rPr>
        <w:t xml:space="preserve"> Facility-level heat availability achieved by land-constraint category: (a) </w:t>
      </w:r>
      <w:r w:rsidR="0091773C">
        <w:rPr>
          <w:i/>
          <w:iCs/>
          <w:sz w:val="20"/>
          <w:szCs w:val="20"/>
        </w:rPr>
        <w:t>5 km</w:t>
      </w:r>
      <w:r w:rsidRPr="00061F27">
        <w:rPr>
          <w:i/>
          <w:iCs/>
          <w:sz w:val="20"/>
          <w:szCs w:val="20"/>
        </w:rPr>
        <w:t xml:space="preserve"> buffer zone, (b) </w:t>
      </w:r>
      <w:r w:rsidR="0024473B">
        <w:rPr>
          <w:i/>
          <w:iCs/>
          <w:sz w:val="20"/>
          <w:szCs w:val="20"/>
        </w:rPr>
        <w:t>1</w:t>
      </w:r>
      <w:r w:rsidR="0091773C">
        <w:rPr>
          <w:i/>
          <w:iCs/>
          <w:sz w:val="20"/>
          <w:szCs w:val="20"/>
        </w:rPr>
        <w:t>5 km</w:t>
      </w:r>
      <w:r w:rsidRPr="00061F27">
        <w:rPr>
          <w:i/>
          <w:iCs/>
          <w:sz w:val="20"/>
          <w:szCs w:val="20"/>
        </w:rPr>
        <w:t xml:space="preserve"> buffer zone</w:t>
      </w:r>
    </w:p>
    <w:p w14:paraId="0CA502C7" w14:textId="77777777" w:rsidR="00FC4415" w:rsidRDefault="00CE7915" w:rsidP="00064CFF">
      <w:pPr>
        <w:pStyle w:val="PaperHeading"/>
        <w:spacing w:after="0"/>
        <w:rPr>
          <w:b w:val="0"/>
          <w:bCs/>
          <w:color w:val="000000" w:themeColor="text1"/>
          <w:sz w:val="20"/>
          <w:szCs w:val="20"/>
        </w:rPr>
      </w:pPr>
      <w:r>
        <w:rPr>
          <w:b w:val="0"/>
          <w:bCs/>
          <w:i/>
          <w:iCs/>
          <w:color w:val="000000" w:themeColor="text1"/>
          <w:sz w:val="20"/>
          <w:szCs w:val="20"/>
        </w:rPr>
        <w:t>4.2 Trade-off between solar resource and land availability</w:t>
      </w:r>
    </w:p>
    <w:p w14:paraId="3168379A" w14:textId="3A9DE9E4" w:rsidR="00CE7915" w:rsidRPr="00D14F37" w:rsidRDefault="007954EF" w:rsidP="009D06C2">
      <w:pPr>
        <w:spacing w:after="200"/>
        <w:jc w:val="both"/>
        <w:rPr>
          <w:color w:val="000000" w:themeColor="text1"/>
          <w:sz w:val="20"/>
          <w:szCs w:val="20"/>
        </w:rPr>
      </w:pPr>
      <w:r>
        <w:rPr>
          <w:color w:val="000000" w:themeColor="text1"/>
          <w:sz w:val="20"/>
          <w:szCs w:val="20"/>
        </w:rPr>
        <w:t>The interaction between solar radiance and land availability</w:t>
      </w:r>
      <w:r w:rsidR="00FC4415">
        <w:rPr>
          <w:color w:val="000000" w:themeColor="text1"/>
          <w:sz w:val="20"/>
          <w:szCs w:val="20"/>
        </w:rPr>
        <w:t xml:space="preserve"> makes the cost considerations different for each site. The decision to </w:t>
      </w:r>
      <w:r w:rsidR="0024473B">
        <w:rPr>
          <w:color w:val="000000" w:themeColor="text1"/>
          <w:sz w:val="20"/>
          <w:szCs w:val="20"/>
        </w:rPr>
        <w:t>maximis</w:t>
      </w:r>
      <w:r w:rsidR="00FC4415">
        <w:rPr>
          <w:color w:val="000000" w:themeColor="text1"/>
          <w:sz w:val="20"/>
          <w:szCs w:val="20"/>
        </w:rPr>
        <w:t xml:space="preserve">e cost savings versus </w:t>
      </w:r>
      <w:r w:rsidR="0024473B">
        <w:rPr>
          <w:color w:val="000000" w:themeColor="text1"/>
          <w:sz w:val="20"/>
          <w:szCs w:val="20"/>
        </w:rPr>
        <w:t>maximis</w:t>
      </w:r>
      <w:r w:rsidR="00FC4415">
        <w:rPr>
          <w:color w:val="000000" w:themeColor="text1"/>
          <w:sz w:val="20"/>
          <w:szCs w:val="20"/>
        </w:rPr>
        <w:t>e heat demand served depends on how much solar panel overbuilding might be enough to justify the cost and benefit</w:t>
      </w:r>
      <w:r w:rsidR="00F22D29">
        <w:rPr>
          <w:color w:val="000000" w:themeColor="text1"/>
          <w:sz w:val="20"/>
          <w:szCs w:val="20"/>
        </w:rPr>
        <w:t xml:space="preserve"> at each site</w:t>
      </w:r>
      <w:r w:rsidR="00FC4415">
        <w:rPr>
          <w:color w:val="000000" w:themeColor="text1"/>
          <w:sz w:val="20"/>
          <w:szCs w:val="20"/>
        </w:rPr>
        <w:t>.</w:t>
      </w:r>
      <w:r w:rsidR="00161756">
        <w:rPr>
          <w:color w:val="000000" w:themeColor="text1"/>
          <w:sz w:val="20"/>
          <w:szCs w:val="20"/>
        </w:rPr>
        <w:t xml:space="preserve"> </w:t>
      </w:r>
      <w:r w:rsidR="00161756" w:rsidRPr="00161756">
        <w:rPr>
          <w:color w:val="000000" w:themeColor="text1"/>
          <w:sz w:val="20"/>
          <w:szCs w:val="20"/>
        </w:rPr>
        <w:t xml:space="preserve">Where land is comparable, solar resource sets the overbuild. The Linz and Taranto steel plants have similar heat demand </w:t>
      </w:r>
      <w:r w:rsidR="00161756" w:rsidRPr="00161756">
        <w:rPr>
          <w:color w:val="000000" w:themeColor="text1"/>
          <w:sz w:val="20"/>
          <w:szCs w:val="20"/>
        </w:rPr>
        <w:t>(~5 TWh</w:t>
      </w:r>
      <w:proofErr w:type="gramStart"/>
      <w:r w:rsidR="00161756" w:rsidRPr="00161756">
        <w:rPr>
          <w:color w:val="000000" w:themeColor="text1"/>
          <w:sz w:val="20"/>
          <w:szCs w:val="20"/>
        </w:rPr>
        <w:t>)</w:t>
      </w:r>
      <w:proofErr w:type="gramEnd"/>
      <w:r w:rsidR="00161756" w:rsidRPr="00161756">
        <w:rPr>
          <w:color w:val="000000" w:themeColor="text1"/>
          <w:sz w:val="20"/>
          <w:szCs w:val="20"/>
        </w:rPr>
        <w:t xml:space="preserve"> and both can meet 90% availability at 15 km, but Linz (15% capacity factor) needs 15× load versus 5.3× at Taranto (21%). </w:t>
      </w:r>
      <w:r w:rsidR="009D06C2" w:rsidRPr="009D06C2">
        <w:rPr>
          <w:color w:val="000000" w:themeColor="text1"/>
          <w:sz w:val="20"/>
          <w:szCs w:val="20"/>
        </w:rPr>
        <w:t xml:space="preserve">Those sites are the natural candidates for a hybrid remainder: gas, or grid electricity where industrial tariffs fall. </w:t>
      </w:r>
      <w:r w:rsidR="00FC4415">
        <w:rPr>
          <w:color w:val="000000" w:themeColor="text1"/>
          <w:sz w:val="20"/>
          <w:szCs w:val="20"/>
        </w:rPr>
        <w:t>In the Rhine-Meuse region</w:t>
      </w:r>
      <w:r w:rsidR="00FF4B8A">
        <w:rPr>
          <w:color w:val="000000" w:themeColor="text1"/>
          <w:sz w:val="20"/>
          <w:szCs w:val="20"/>
        </w:rPr>
        <w:t>,</w:t>
      </w:r>
      <w:r w:rsidR="00FC4415">
        <w:rPr>
          <w:color w:val="000000" w:themeColor="text1"/>
          <w:sz w:val="20"/>
          <w:szCs w:val="20"/>
        </w:rPr>
        <w:t xml:space="preserve"> where high temperature and large industrial facilities are</w:t>
      </w:r>
      <w:r w:rsidR="007A76CE">
        <w:rPr>
          <w:color w:val="000000" w:themeColor="text1"/>
          <w:sz w:val="20"/>
          <w:szCs w:val="20"/>
        </w:rPr>
        <w:t xml:space="preserve"> </w:t>
      </w:r>
      <w:r w:rsidR="009D06C2">
        <w:rPr>
          <w:color w:val="000000" w:themeColor="text1"/>
          <w:sz w:val="20"/>
          <w:szCs w:val="20"/>
        </w:rPr>
        <w:t>clustered.</w:t>
      </w:r>
      <w:r w:rsidR="007A76CE">
        <w:rPr>
          <w:color w:val="000000" w:themeColor="text1"/>
          <w:sz w:val="20"/>
          <w:szCs w:val="20"/>
        </w:rPr>
        <w:t xml:space="preserve"> </w:t>
      </w:r>
      <w:r w:rsidR="009D06C2">
        <w:rPr>
          <w:color w:val="000000" w:themeColor="text1"/>
          <w:sz w:val="20"/>
          <w:szCs w:val="20"/>
        </w:rPr>
        <w:t>Land is the binding constraint. Regional</w:t>
      </w:r>
      <w:r w:rsidR="00FC4415">
        <w:rPr>
          <w:color w:val="000000" w:themeColor="text1"/>
          <w:sz w:val="20"/>
          <w:szCs w:val="20"/>
        </w:rPr>
        <w:t xml:space="preserve"> regulation and electricity prices might </w:t>
      </w:r>
      <w:r w:rsidR="00FF4B8A">
        <w:rPr>
          <w:color w:val="000000" w:themeColor="text1"/>
          <w:sz w:val="20"/>
          <w:szCs w:val="20"/>
        </w:rPr>
        <w:t xml:space="preserve">help with </w:t>
      </w:r>
      <w:r w:rsidR="00A66837">
        <w:rPr>
          <w:color w:val="000000" w:themeColor="text1"/>
          <w:sz w:val="20"/>
          <w:szCs w:val="20"/>
        </w:rPr>
        <w:t>decarbonis</w:t>
      </w:r>
      <w:r w:rsidR="00FF4B8A">
        <w:rPr>
          <w:color w:val="000000" w:themeColor="text1"/>
          <w:sz w:val="20"/>
          <w:szCs w:val="20"/>
        </w:rPr>
        <w:t xml:space="preserve">ation by enabling cheaper electricity prices to meet </w:t>
      </w:r>
      <w:r w:rsidR="00231159">
        <w:rPr>
          <w:color w:val="000000" w:themeColor="text1"/>
          <w:sz w:val="20"/>
          <w:szCs w:val="20"/>
        </w:rPr>
        <w:t>part of the</w:t>
      </w:r>
      <w:r w:rsidR="00FF4B8A">
        <w:rPr>
          <w:color w:val="000000" w:themeColor="text1"/>
          <w:sz w:val="20"/>
          <w:szCs w:val="20"/>
        </w:rPr>
        <w:t xml:space="preserve"> heat demand </w:t>
      </w:r>
      <w:r w:rsidR="00CF39EE">
        <w:rPr>
          <w:color w:val="000000" w:themeColor="text1"/>
          <w:sz w:val="20"/>
          <w:szCs w:val="20"/>
        </w:rPr>
        <w:t xml:space="preserve">with grid electricity. </w:t>
      </w:r>
      <w:r w:rsidR="005904B6">
        <w:rPr>
          <w:color w:val="000000" w:themeColor="text1"/>
          <w:sz w:val="20"/>
          <w:szCs w:val="20"/>
        </w:rPr>
        <w:t xml:space="preserve">Some countries in the EU have begun changing electricity prices for industrial customers. </w:t>
      </w:r>
      <w:r w:rsidR="005927A5">
        <w:rPr>
          <w:color w:val="000000" w:themeColor="text1"/>
          <w:sz w:val="20"/>
          <w:szCs w:val="20"/>
        </w:rPr>
        <w:t xml:space="preserve">Germany </w:t>
      </w:r>
      <w:r w:rsidR="00FC4415">
        <w:rPr>
          <w:color w:val="000000" w:themeColor="text1"/>
          <w:sz w:val="20"/>
          <w:szCs w:val="20"/>
        </w:rPr>
        <w:t xml:space="preserve">has implemented state </w:t>
      </w:r>
      <w:r w:rsidR="0024473B">
        <w:rPr>
          <w:color w:val="000000" w:themeColor="text1"/>
          <w:sz w:val="20"/>
          <w:szCs w:val="20"/>
        </w:rPr>
        <w:t>subsidis</w:t>
      </w:r>
      <w:r w:rsidR="00FC4415">
        <w:rPr>
          <w:color w:val="000000" w:themeColor="text1"/>
          <w:sz w:val="20"/>
          <w:szCs w:val="20"/>
        </w:rPr>
        <w:t>ed electricity prices that would help support electrification efforts</w:t>
      </w:r>
      <w:r w:rsidR="009E2C62">
        <w:rPr>
          <w:color w:val="000000" w:themeColor="text1"/>
          <w:sz w:val="20"/>
          <w:szCs w:val="20"/>
        </w:rPr>
        <w:t xml:space="preserve"> </w:t>
      </w:r>
      <w:r w:rsidR="00FC4415">
        <w:rPr>
          <w:color w:val="000000" w:themeColor="text1"/>
          <w:sz w:val="20"/>
          <w:szCs w:val="20"/>
        </w:rPr>
        <w:fldChar w:fldCharType="begin"/>
      </w:r>
      <w:r w:rsidR="004000C5">
        <w:rPr>
          <w:color w:val="000000" w:themeColor="text1"/>
          <w:sz w:val="20"/>
          <w:szCs w:val="20"/>
        </w:rPr>
        <w:instrText xml:space="preserve"> ADDIN ZOTERO_ITEM CSL_CITATION {"citationID":"Sa08XTKb","properties":{"unsorted":false,"formattedCitation":"[25]","plainCitation":"[25]","noteIndex":0},"citationItems":[{"id":369,"uris":["http://zotero.org/users/20280584/items/DEFEF82K"],"itemData":{"id":369,"type":"post-weblog","abstract":"With the publication of the funding guideline on May 6, 2026, the legal framework for the German industrial electricity price is in place.","citation-key":"wiedemannIndustrialElectricityPrice2026","container-title":"KPMG-Law","language":"en-US","title":"The industrial electricity price - cost relief with new requirements and verification obligations","URL":"https://kpmg-law.de/en/the-industrial-electricity-price-cost-relief-with-new-requirements-and-verification-obligations/","author":[{"family":"Wiedemann","given":"Simone"}],"accessed":{"date-parts":[["2026",8,6]]},"issued":{"date-parts":[["2026",5,26]]}}}],"schema":"https://github.com/citation-style-language/schema/raw/master/csl-citation.json"} </w:instrText>
      </w:r>
      <w:r w:rsidR="00FC4415">
        <w:rPr>
          <w:color w:val="000000" w:themeColor="text1"/>
          <w:sz w:val="20"/>
          <w:szCs w:val="20"/>
        </w:rPr>
        <w:fldChar w:fldCharType="separate"/>
      </w:r>
      <w:r w:rsidR="004000C5">
        <w:rPr>
          <w:noProof/>
          <w:color w:val="000000" w:themeColor="text1"/>
          <w:sz w:val="20"/>
          <w:szCs w:val="20"/>
        </w:rPr>
        <w:t>[25]</w:t>
      </w:r>
      <w:r w:rsidR="00FC4415">
        <w:rPr>
          <w:color w:val="000000" w:themeColor="text1"/>
          <w:sz w:val="20"/>
          <w:szCs w:val="20"/>
        </w:rPr>
        <w:fldChar w:fldCharType="end"/>
      </w:r>
      <w:r w:rsidR="00FC4415">
        <w:rPr>
          <w:color w:val="000000" w:themeColor="text1"/>
          <w:sz w:val="20"/>
          <w:szCs w:val="20"/>
        </w:rPr>
        <w:t xml:space="preserve">. </w:t>
      </w:r>
      <w:r w:rsidR="00625317">
        <w:rPr>
          <w:color w:val="000000" w:themeColor="text1"/>
          <w:sz w:val="20"/>
          <w:szCs w:val="20"/>
        </w:rPr>
        <w:t xml:space="preserve">Even with cost competitive grid electricity, the impacts on the distribution and transmission grid might prevent electrification from being approved or delay the electrification. </w:t>
      </w:r>
      <w:r w:rsidR="00161756">
        <w:rPr>
          <w:color w:val="000000" w:themeColor="text1"/>
          <w:sz w:val="20"/>
          <w:szCs w:val="20"/>
        </w:rPr>
        <w:t>With t</w:t>
      </w:r>
      <w:r w:rsidR="009C7B8C" w:rsidRPr="009C7B8C">
        <w:rPr>
          <w:color w:val="000000" w:themeColor="text1"/>
          <w:sz w:val="20"/>
          <w:szCs w:val="20"/>
        </w:rPr>
        <w:t>he cost of solar panels and storage</w:t>
      </w:r>
      <w:r w:rsidR="00161756">
        <w:rPr>
          <w:color w:val="000000" w:themeColor="text1"/>
          <w:sz w:val="20"/>
          <w:szCs w:val="20"/>
        </w:rPr>
        <w:t xml:space="preserve"> </w:t>
      </w:r>
      <w:r w:rsidR="009C7B8C" w:rsidRPr="009C7B8C">
        <w:rPr>
          <w:color w:val="000000" w:themeColor="text1"/>
          <w:sz w:val="20"/>
          <w:szCs w:val="20"/>
        </w:rPr>
        <w:t xml:space="preserve">falling </w:t>
      </w:r>
      <w:r w:rsidR="00243138" w:rsidRPr="009C7B8C">
        <w:rPr>
          <w:color w:val="000000" w:themeColor="text1"/>
          <w:sz w:val="20"/>
          <w:szCs w:val="20"/>
        </w:rPr>
        <w:t>rapidly,</w:t>
      </w:r>
      <w:r w:rsidR="00161756">
        <w:rPr>
          <w:color w:val="000000" w:themeColor="text1"/>
          <w:sz w:val="20"/>
          <w:szCs w:val="20"/>
        </w:rPr>
        <w:t xml:space="preserve"> </w:t>
      </w:r>
      <w:r w:rsidR="000C4958">
        <w:rPr>
          <w:color w:val="000000" w:themeColor="text1"/>
          <w:sz w:val="20"/>
          <w:szCs w:val="20"/>
        </w:rPr>
        <w:t xml:space="preserve">this could be a pathway to quicker and sooner </w:t>
      </w:r>
      <w:r w:rsidR="00A66837">
        <w:rPr>
          <w:color w:val="000000" w:themeColor="text1"/>
          <w:sz w:val="20"/>
          <w:szCs w:val="20"/>
        </w:rPr>
        <w:t>decarbonis</w:t>
      </w:r>
      <w:r w:rsidR="000C4958">
        <w:rPr>
          <w:color w:val="000000" w:themeColor="text1"/>
          <w:sz w:val="20"/>
          <w:szCs w:val="20"/>
        </w:rPr>
        <w:t>ation.</w:t>
      </w:r>
      <w:r w:rsidR="00625317">
        <w:rPr>
          <w:color w:val="000000" w:themeColor="text1"/>
          <w:sz w:val="20"/>
          <w:szCs w:val="20"/>
        </w:rPr>
        <w:t xml:space="preserve">  </w:t>
      </w:r>
    </w:p>
    <w:p w14:paraId="0629E857" w14:textId="297A9F81" w:rsidR="00043514" w:rsidRPr="003A5798" w:rsidRDefault="00043514" w:rsidP="00064CFF">
      <w:pPr>
        <w:pStyle w:val="PaperHeading"/>
        <w:spacing w:after="0"/>
        <w:rPr>
          <w:b w:val="0"/>
          <w:bCs/>
          <w:i/>
          <w:iCs/>
          <w:color w:val="000000" w:themeColor="text1"/>
          <w:sz w:val="20"/>
          <w:szCs w:val="20"/>
        </w:rPr>
      </w:pPr>
      <w:r>
        <w:rPr>
          <w:b w:val="0"/>
          <w:bCs/>
          <w:i/>
          <w:iCs/>
          <w:color w:val="000000" w:themeColor="text1"/>
          <w:sz w:val="20"/>
          <w:szCs w:val="20"/>
        </w:rPr>
        <w:t>4.3 Limitation</w:t>
      </w:r>
      <w:r w:rsidR="00373361">
        <w:rPr>
          <w:b w:val="0"/>
          <w:bCs/>
          <w:i/>
          <w:iCs/>
          <w:color w:val="000000" w:themeColor="text1"/>
          <w:sz w:val="20"/>
          <w:szCs w:val="20"/>
        </w:rPr>
        <w:t>s</w:t>
      </w:r>
    </w:p>
    <w:p w14:paraId="28A189B7" w14:textId="1F25A226" w:rsidR="00F162C1" w:rsidRDefault="00AA1DB9" w:rsidP="00F162C1">
      <w:pPr>
        <w:spacing w:after="200"/>
        <w:jc w:val="both"/>
        <w:rPr>
          <w:color w:val="000000" w:themeColor="text1"/>
          <w:sz w:val="20"/>
          <w:szCs w:val="20"/>
        </w:rPr>
      </w:pPr>
      <w:r>
        <w:rPr>
          <w:color w:val="000000" w:themeColor="text1"/>
          <w:sz w:val="20"/>
          <w:szCs w:val="20"/>
        </w:rPr>
        <w:t xml:space="preserve">Heat demand estimations are </w:t>
      </w:r>
      <w:r w:rsidR="008B009A">
        <w:rPr>
          <w:color w:val="000000" w:themeColor="text1"/>
          <w:sz w:val="20"/>
          <w:szCs w:val="20"/>
        </w:rPr>
        <w:t>based on literature sector energy consumption factors and emissions factors, not based on individual facility’s generation. These estimates are calculated based on EU published figures and averages by sector. They are validated by sector and country aggregated figures but may deviate from reference individual facilities</w:t>
      </w:r>
      <w:r w:rsidR="001D5676">
        <w:rPr>
          <w:color w:val="000000" w:themeColor="text1"/>
          <w:sz w:val="20"/>
          <w:szCs w:val="20"/>
        </w:rPr>
        <w:t xml:space="preserve"> significantly</w:t>
      </w:r>
      <w:r w:rsidR="008B009A">
        <w:rPr>
          <w:color w:val="000000" w:themeColor="text1"/>
          <w:sz w:val="20"/>
          <w:szCs w:val="20"/>
        </w:rPr>
        <w:t xml:space="preserve">. </w:t>
      </w:r>
      <w:r w:rsidR="00BF6F2C">
        <w:rPr>
          <w:color w:val="000000" w:themeColor="text1"/>
          <w:sz w:val="20"/>
          <w:szCs w:val="20"/>
        </w:rPr>
        <w:t>With more precise data on combustion plants and fuel types of each facility, the model</w:t>
      </w:r>
      <w:r w:rsidR="004F038B">
        <w:rPr>
          <w:color w:val="000000" w:themeColor="text1"/>
          <w:sz w:val="20"/>
          <w:szCs w:val="20"/>
        </w:rPr>
        <w:t>l</w:t>
      </w:r>
      <w:r w:rsidR="00BF6F2C">
        <w:rPr>
          <w:color w:val="000000" w:themeColor="text1"/>
          <w:sz w:val="20"/>
          <w:szCs w:val="20"/>
        </w:rPr>
        <w:t xml:space="preserve">ed heat generation and LCOH can be better fitted per facility using the same process in this study. </w:t>
      </w:r>
    </w:p>
    <w:p w14:paraId="22E93C59" w14:textId="728347A5" w:rsidR="00996DE3" w:rsidRDefault="00F22FA8" w:rsidP="00832424">
      <w:pPr>
        <w:spacing w:after="200"/>
        <w:jc w:val="both"/>
        <w:rPr>
          <w:color w:val="000000" w:themeColor="text1"/>
          <w:sz w:val="20"/>
          <w:szCs w:val="20"/>
        </w:rPr>
      </w:pPr>
      <w:r>
        <w:rPr>
          <w:color w:val="000000" w:themeColor="text1"/>
          <w:sz w:val="20"/>
          <w:szCs w:val="20"/>
        </w:rPr>
        <w:t xml:space="preserve">This study does not account for the land acquisition process as there is not enough data to systematically incorporate into this study. Only remote sensing </w:t>
      </w:r>
      <w:r w:rsidR="0024473B">
        <w:rPr>
          <w:color w:val="000000" w:themeColor="text1"/>
          <w:sz w:val="20"/>
          <w:szCs w:val="20"/>
        </w:rPr>
        <w:t>categoris</w:t>
      </w:r>
      <w:r>
        <w:rPr>
          <w:color w:val="000000" w:themeColor="text1"/>
          <w:sz w:val="20"/>
          <w:szCs w:val="20"/>
        </w:rPr>
        <w:t>ed data were used to screen available land. Each facility would need to evaluate the land acquisition process</w:t>
      </w:r>
      <w:r w:rsidR="00BF1499">
        <w:rPr>
          <w:color w:val="000000" w:themeColor="text1"/>
          <w:sz w:val="20"/>
          <w:szCs w:val="20"/>
        </w:rPr>
        <w:t xml:space="preserve"> to accommodate the land needed for solar panels. </w:t>
      </w:r>
    </w:p>
    <w:p w14:paraId="09E9C57B" w14:textId="45B3F351" w:rsidR="00691EB6" w:rsidRPr="00691EB6" w:rsidRDefault="001D6672" w:rsidP="00832424">
      <w:pPr>
        <w:pStyle w:val="PaperHeading"/>
        <w:rPr>
          <w:color w:val="000000" w:themeColor="text1"/>
        </w:rPr>
      </w:pPr>
      <w:r>
        <w:rPr>
          <w:color w:val="000000" w:themeColor="text1"/>
        </w:rPr>
        <w:t>5</w:t>
      </w:r>
      <w:r w:rsidR="00691EB6" w:rsidRPr="00691EB6">
        <w:rPr>
          <w:color w:val="000000" w:themeColor="text1"/>
        </w:rPr>
        <w:tab/>
        <w:t>Conclusion</w:t>
      </w:r>
    </w:p>
    <w:p w14:paraId="7292EF0D" w14:textId="74EAC193" w:rsidR="00691EB6" w:rsidRPr="00501A6A" w:rsidRDefault="006C65CF" w:rsidP="00832424">
      <w:pPr>
        <w:spacing w:after="200"/>
        <w:jc w:val="both"/>
        <w:rPr>
          <w:bCs/>
          <w:color w:val="000000" w:themeColor="text1"/>
          <w:sz w:val="20"/>
          <w:szCs w:val="20"/>
          <w:lang w:val="en-GB"/>
        </w:rPr>
      </w:pPr>
      <w:r w:rsidRPr="006C65CF">
        <w:rPr>
          <w:bCs/>
          <w:color w:val="000000" w:themeColor="text1"/>
          <w:sz w:val="20"/>
          <w:szCs w:val="20"/>
          <w:lang w:val="en-GB"/>
        </w:rPr>
        <w:t xml:space="preserve">On-site solar with heat pumps and heat batteries can serve most replaceable EU industrial process heat at costs below the 2025 gas-heat benchmark. </w:t>
      </w:r>
      <w:r w:rsidR="00501A6A">
        <w:rPr>
          <w:bCs/>
          <w:color w:val="000000" w:themeColor="text1"/>
          <w:sz w:val="20"/>
          <w:szCs w:val="20"/>
          <w:lang w:val="en-GB"/>
        </w:rPr>
        <w:t xml:space="preserve">Within a </w:t>
      </w:r>
      <w:r w:rsidR="0091773C">
        <w:rPr>
          <w:bCs/>
          <w:color w:val="000000" w:themeColor="text1"/>
          <w:sz w:val="20"/>
          <w:szCs w:val="20"/>
          <w:lang w:val="en-GB"/>
        </w:rPr>
        <w:t>5 km</w:t>
      </w:r>
      <w:r w:rsidR="00501A6A">
        <w:rPr>
          <w:bCs/>
          <w:color w:val="000000" w:themeColor="text1"/>
          <w:sz w:val="20"/>
          <w:szCs w:val="20"/>
          <w:lang w:val="en-GB"/>
        </w:rPr>
        <w:t xml:space="preserve"> buffer zone, </w:t>
      </w:r>
      <w:r w:rsidR="009D22E7">
        <w:rPr>
          <w:bCs/>
          <w:color w:val="000000" w:themeColor="text1"/>
          <w:sz w:val="20"/>
          <w:szCs w:val="20"/>
          <w:lang w:val="en-GB"/>
        </w:rPr>
        <w:t>58.8</w:t>
      </w:r>
      <w:r w:rsidR="00501A6A">
        <w:rPr>
          <w:bCs/>
          <w:color w:val="000000" w:themeColor="text1"/>
          <w:sz w:val="20"/>
          <w:szCs w:val="20"/>
          <w:lang w:val="en-GB"/>
        </w:rPr>
        <w:t xml:space="preserve">% of replaceable heat demand can be served at an average </w:t>
      </w:r>
      <w:r w:rsidR="00767239">
        <w:rPr>
          <w:bCs/>
          <w:color w:val="000000" w:themeColor="text1"/>
          <w:sz w:val="20"/>
          <w:szCs w:val="20"/>
          <w:lang w:val="en-GB"/>
        </w:rPr>
        <w:t>levelis</w:t>
      </w:r>
      <w:r w:rsidR="00501A6A">
        <w:rPr>
          <w:bCs/>
          <w:color w:val="000000" w:themeColor="text1"/>
          <w:sz w:val="20"/>
          <w:szCs w:val="20"/>
          <w:lang w:val="en-GB"/>
        </w:rPr>
        <w:t xml:space="preserve">ed cost of </w:t>
      </w:r>
      <w:r w:rsidR="00501A6A" w:rsidRPr="00501A6A">
        <w:rPr>
          <w:bCs/>
          <w:color w:val="000000" w:themeColor="text1"/>
          <w:sz w:val="20"/>
          <w:szCs w:val="20"/>
          <w:lang w:val="en-GB"/>
        </w:rPr>
        <w:t>€</w:t>
      </w:r>
      <w:r w:rsidR="008E17F9">
        <w:rPr>
          <w:bCs/>
          <w:color w:val="000000" w:themeColor="text1"/>
          <w:sz w:val="20"/>
          <w:szCs w:val="20"/>
          <w:lang w:val="en-GB"/>
        </w:rPr>
        <w:t>55</w:t>
      </w:r>
      <w:r w:rsidR="00501A6A" w:rsidRPr="00501A6A">
        <w:rPr>
          <w:bCs/>
          <w:color w:val="000000" w:themeColor="text1"/>
          <w:sz w:val="20"/>
          <w:szCs w:val="20"/>
          <w:lang w:val="en-GB"/>
        </w:rPr>
        <w:t>/MWh</w:t>
      </w:r>
      <w:r w:rsidR="00501A6A">
        <w:rPr>
          <w:bCs/>
          <w:color w:val="000000" w:themeColor="text1"/>
          <w:sz w:val="20"/>
          <w:szCs w:val="20"/>
          <w:lang w:val="en-GB"/>
        </w:rPr>
        <w:t>. That rate can be increased to 8</w:t>
      </w:r>
      <w:r w:rsidR="009D22E7">
        <w:rPr>
          <w:bCs/>
          <w:color w:val="000000" w:themeColor="text1"/>
          <w:sz w:val="20"/>
          <w:szCs w:val="20"/>
          <w:lang w:val="en-GB"/>
        </w:rPr>
        <w:t>4.4</w:t>
      </w:r>
      <w:r w:rsidR="00501A6A">
        <w:rPr>
          <w:bCs/>
          <w:color w:val="000000" w:themeColor="text1"/>
          <w:sz w:val="20"/>
          <w:szCs w:val="20"/>
          <w:lang w:val="en-GB"/>
        </w:rPr>
        <w:t xml:space="preserve">% at </w:t>
      </w:r>
      <w:r w:rsidR="00501A6A" w:rsidRPr="00501A6A">
        <w:rPr>
          <w:bCs/>
          <w:color w:val="000000" w:themeColor="text1"/>
          <w:sz w:val="20"/>
          <w:szCs w:val="20"/>
          <w:lang w:val="en-GB"/>
        </w:rPr>
        <w:t>€6</w:t>
      </w:r>
      <w:r w:rsidR="008E17F9">
        <w:rPr>
          <w:bCs/>
          <w:color w:val="000000" w:themeColor="text1"/>
          <w:sz w:val="20"/>
          <w:szCs w:val="20"/>
          <w:lang w:val="en-GB"/>
        </w:rPr>
        <w:t>2</w:t>
      </w:r>
      <w:r w:rsidR="00501A6A" w:rsidRPr="00501A6A">
        <w:rPr>
          <w:bCs/>
          <w:color w:val="000000" w:themeColor="text1"/>
          <w:sz w:val="20"/>
          <w:szCs w:val="20"/>
          <w:lang w:val="en-GB"/>
        </w:rPr>
        <w:t>/MWh</w:t>
      </w:r>
      <w:r w:rsidR="00501A6A">
        <w:rPr>
          <w:bCs/>
          <w:color w:val="000000" w:themeColor="text1"/>
          <w:sz w:val="20"/>
          <w:szCs w:val="20"/>
          <w:lang w:val="en-GB"/>
        </w:rPr>
        <w:t xml:space="preserve"> with a 1</w:t>
      </w:r>
      <w:r w:rsidR="0091773C">
        <w:rPr>
          <w:bCs/>
          <w:color w:val="000000" w:themeColor="text1"/>
          <w:sz w:val="20"/>
          <w:szCs w:val="20"/>
          <w:lang w:val="en-GB"/>
        </w:rPr>
        <w:t>5 km</w:t>
      </w:r>
      <w:r w:rsidR="00501A6A">
        <w:rPr>
          <w:bCs/>
          <w:color w:val="000000" w:themeColor="text1"/>
          <w:sz w:val="20"/>
          <w:szCs w:val="20"/>
          <w:lang w:val="en-GB"/>
        </w:rPr>
        <w:t xml:space="preserve"> buffer zone. </w:t>
      </w:r>
      <w:r w:rsidR="009327A5">
        <w:rPr>
          <w:bCs/>
          <w:color w:val="000000" w:themeColor="text1"/>
          <w:sz w:val="20"/>
          <w:szCs w:val="20"/>
          <w:lang w:val="en-GB"/>
        </w:rPr>
        <w:t xml:space="preserve">Southern European facilities tend to have stronger solar resource and less heat intense industrial facilities which allows them to serve almost their entire replaceable heat demand. The large, land-constrained, high-temperature sites are concentrated in the Rhine-Meuse region which will require hybrid solutions with either grid electricity or gas use to meet </w:t>
      </w:r>
      <w:r w:rsidR="00B265CE">
        <w:rPr>
          <w:bCs/>
          <w:color w:val="000000" w:themeColor="text1"/>
          <w:sz w:val="20"/>
          <w:szCs w:val="20"/>
          <w:lang w:val="en-GB"/>
        </w:rPr>
        <w:t>all</w:t>
      </w:r>
      <w:r w:rsidR="009327A5">
        <w:rPr>
          <w:bCs/>
          <w:color w:val="000000" w:themeColor="text1"/>
          <w:sz w:val="20"/>
          <w:szCs w:val="20"/>
          <w:lang w:val="en-GB"/>
        </w:rPr>
        <w:t xml:space="preserve"> its needs. </w:t>
      </w:r>
      <w:r w:rsidR="005F46E6">
        <w:rPr>
          <w:bCs/>
          <w:color w:val="000000" w:themeColor="text1"/>
          <w:sz w:val="20"/>
          <w:szCs w:val="20"/>
          <w:lang w:val="en-GB"/>
        </w:rPr>
        <w:t xml:space="preserve">Because this pathway is cost-competitive without requiring full </w:t>
      </w:r>
      <w:r w:rsidR="00A66837">
        <w:rPr>
          <w:bCs/>
          <w:color w:val="000000" w:themeColor="text1"/>
          <w:sz w:val="20"/>
          <w:szCs w:val="20"/>
          <w:lang w:val="en-GB"/>
        </w:rPr>
        <w:t>decarbonis</w:t>
      </w:r>
      <w:r w:rsidR="005F46E6">
        <w:rPr>
          <w:bCs/>
          <w:color w:val="000000" w:themeColor="text1"/>
          <w:sz w:val="20"/>
          <w:szCs w:val="20"/>
          <w:lang w:val="en-GB"/>
        </w:rPr>
        <w:t xml:space="preserve">ation </w:t>
      </w:r>
      <w:r w:rsidR="0075041E">
        <w:rPr>
          <w:bCs/>
          <w:color w:val="000000" w:themeColor="text1"/>
          <w:sz w:val="20"/>
          <w:szCs w:val="20"/>
          <w:lang w:val="en-GB"/>
        </w:rPr>
        <w:t>of the heat demand or a new interconnection</w:t>
      </w:r>
      <w:r w:rsidR="005F46E6">
        <w:rPr>
          <w:bCs/>
          <w:color w:val="000000" w:themeColor="text1"/>
          <w:sz w:val="20"/>
          <w:szCs w:val="20"/>
          <w:lang w:val="en-GB"/>
        </w:rPr>
        <w:t xml:space="preserve">, it offers industrial facilities a deployable, near-term solution to reduce emissions and lower exposure to gas price volatility. </w:t>
      </w:r>
    </w:p>
    <w:p w14:paraId="63CBEAF6" w14:textId="4E294A57" w:rsidR="00832424" w:rsidRDefault="00832424" w:rsidP="00832424">
      <w:pPr>
        <w:pStyle w:val="PaperHeading"/>
        <w:rPr>
          <w:color w:val="000000" w:themeColor="text1"/>
        </w:rPr>
      </w:pPr>
      <w:r>
        <w:rPr>
          <w:color w:val="000000" w:themeColor="text1"/>
        </w:rPr>
        <w:t>6</w:t>
      </w:r>
      <w:r>
        <w:rPr>
          <w:color w:val="000000" w:themeColor="text1"/>
        </w:rPr>
        <w:tab/>
        <w:t>References</w:t>
      </w:r>
    </w:p>
    <w:p w14:paraId="0ABF57D4" w14:textId="2BB1F6F5" w:rsidR="005866EA" w:rsidRPr="005866EA" w:rsidRDefault="005866EA" w:rsidP="005866EA">
      <w:pPr>
        <w:pStyle w:val="Bibliography"/>
        <w:rPr>
          <w:rFonts w:eastAsia="Calibri"/>
          <w:color w:val="000000"/>
          <w:sz w:val="20"/>
          <w:lang w:eastAsia="en-GB"/>
        </w:rPr>
      </w:pPr>
      <w:r w:rsidRPr="005866EA">
        <w:rPr>
          <w:rFonts w:eastAsia="Calibri"/>
          <w:color w:val="000000"/>
          <w:sz w:val="20"/>
          <w:lang w:eastAsia="en-GB"/>
        </w:rPr>
        <w:t>1</w:t>
      </w:r>
      <w:r w:rsidRPr="005866EA">
        <w:rPr>
          <w:rFonts w:eastAsia="Calibri"/>
          <w:color w:val="000000"/>
          <w:sz w:val="20"/>
          <w:lang w:eastAsia="en-GB"/>
        </w:rPr>
        <w:tab/>
        <w:t xml:space="preserve">Matthias Rehfeldt, Simon Bußmann, Tobias Fleiter, Jeffrey Rissman: ‘Direct electrification of industrial </w:t>
      </w:r>
      <w:r w:rsidRPr="005866EA">
        <w:rPr>
          <w:rFonts w:eastAsia="Calibri"/>
          <w:color w:val="000000"/>
          <w:sz w:val="20"/>
          <w:lang w:eastAsia="en-GB"/>
        </w:rPr>
        <w:lastRenderedPageBreak/>
        <w:t>process heat. An assessment of technologies, potentials and future prospects for the EU’ (Fraunhofer ISI, 2024)</w:t>
      </w:r>
    </w:p>
    <w:p w14:paraId="69991882" w14:textId="77777777" w:rsidR="005866EA" w:rsidRPr="005866EA" w:rsidRDefault="005866EA" w:rsidP="005866EA">
      <w:pPr>
        <w:pStyle w:val="Bibliography"/>
        <w:rPr>
          <w:rFonts w:eastAsia="Calibri"/>
          <w:color w:val="000000"/>
          <w:sz w:val="20"/>
          <w:lang w:eastAsia="en-GB"/>
        </w:rPr>
      </w:pPr>
      <w:r w:rsidRPr="005866EA">
        <w:rPr>
          <w:rFonts w:eastAsia="Calibri"/>
          <w:color w:val="000000"/>
          <w:sz w:val="20"/>
          <w:lang w:eastAsia="en-GB"/>
        </w:rPr>
        <w:t>2</w:t>
      </w:r>
      <w:r w:rsidRPr="005866EA">
        <w:rPr>
          <w:rFonts w:eastAsia="Calibri"/>
          <w:color w:val="000000"/>
          <w:sz w:val="20"/>
          <w:lang w:eastAsia="en-GB"/>
        </w:rPr>
        <w:tab/>
        <w:t xml:space="preserve">Madeddu, S., Ueckerdt, F., Pehl, M., </w:t>
      </w:r>
      <w:r w:rsidRPr="005866EA">
        <w:rPr>
          <w:rFonts w:eastAsia="Calibri"/>
          <w:i/>
          <w:iCs/>
          <w:color w:val="000000"/>
          <w:sz w:val="20"/>
          <w:lang w:eastAsia="en-GB"/>
        </w:rPr>
        <w:t>et al.</w:t>
      </w:r>
      <w:r w:rsidRPr="005866EA">
        <w:rPr>
          <w:rFonts w:eastAsia="Calibri"/>
          <w:color w:val="000000"/>
          <w:sz w:val="20"/>
          <w:lang w:eastAsia="en-GB"/>
        </w:rPr>
        <w:t>: ‘The CO2 reduction potential for the European industry via direct electrification of heat supply (power-to-heat)’</w:t>
      </w:r>
      <w:r w:rsidRPr="005866EA">
        <w:rPr>
          <w:rFonts w:eastAsia="Calibri"/>
          <w:i/>
          <w:iCs/>
          <w:color w:val="000000"/>
          <w:sz w:val="20"/>
          <w:lang w:eastAsia="en-GB"/>
        </w:rPr>
        <w:t>Environ. Res. Lett.</w:t>
      </w:r>
      <w:r w:rsidRPr="005866EA">
        <w:rPr>
          <w:rFonts w:eastAsia="Calibri"/>
          <w:color w:val="000000"/>
          <w:sz w:val="20"/>
          <w:lang w:eastAsia="en-GB"/>
        </w:rPr>
        <w:t xml:space="preserve">, 2020, </w:t>
      </w:r>
      <w:r w:rsidRPr="005866EA">
        <w:rPr>
          <w:rFonts w:eastAsia="Calibri"/>
          <w:b/>
          <w:bCs/>
          <w:color w:val="000000"/>
          <w:sz w:val="20"/>
          <w:lang w:eastAsia="en-GB"/>
        </w:rPr>
        <w:t>15</w:t>
      </w:r>
      <w:r w:rsidRPr="005866EA">
        <w:rPr>
          <w:rFonts w:eastAsia="Calibri"/>
          <w:color w:val="000000"/>
          <w:sz w:val="20"/>
          <w:lang w:eastAsia="en-GB"/>
        </w:rPr>
        <w:t xml:space="preserve">, (12), p. 124004. </w:t>
      </w:r>
    </w:p>
    <w:p w14:paraId="314E31C8" w14:textId="1815E773" w:rsidR="005866EA" w:rsidRPr="005866EA" w:rsidRDefault="005866EA" w:rsidP="005866EA">
      <w:pPr>
        <w:pStyle w:val="Bibliography"/>
        <w:rPr>
          <w:rFonts w:eastAsia="Calibri"/>
          <w:color w:val="000000"/>
          <w:sz w:val="20"/>
          <w:lang w:eastAsia="en-GB"/>
        </w:rPr>
      </w:pPr>
      <w:r w:rsidRPr="005866EA">
        <w:rPr>
          <w:rFonts w:eastAsia="Calibri"/>
          <w:color w:val="000000"/>
          <w:sz w:val="20"/>
          <w:lang w:eastAsia="en-GB"/>
        </w:rPr>
        <w:t>3</w:t>
      </w:r>
      <w:r w:rsidRPr="005866EA">
        <w:rPr>
          <w:rFonts w:eastAsia="Calibri"/>
          <w:color w:val="000000"/>
          <w:sz w:val="20"/>
          <w:lang w:eastAsia="en-GB"/>
        </w:rPr>
        <w:tab/>
      </w:r>
      <w:r w:rsidR="00303923">
        <w:rPr>
          <w:rFonts w:eastAsia="Calibri"/>
          <w:color w:val="000000"/>
          <w:sz w:val="20"/>
          <w:lang w:eastAsia="en-GB"/>
        </w:rPr>
        <w:fldChar w:fldCharType="begin"/>
      </w:r>
      <w:r w:rsidR="00303923">
        <w:rPr>
          <w:rFonts w:eastAsia="Calibri"/>
          <w:color w:val="000000"/>
          <w:sz w:val="20"/>
          <w:lang w:eastAsia="en-GB"/>
        </w:rPr>
        <w:instrText xml:space="preserve"> ADDIN ZOTERO_BIBL {"uncited":[],"omitted":[],"custom":[]} CSL_BIBLIOGRAPHY </w:instrText>
      </w:r>
      <w:r w:rsidR="00303923">
        <w:rPr>
          <w:rFonts w:eastAsia="Calibri"/>
          <w:color w:val="000000"/>
          <w:sz w:val="20"/>
          <w:lang w:eastAsia="en-GB"/>
        </w:rPr>
        <w:fldChar w:fldCharType="separate"/>
      </w:r>
      <w:r w:rsidR="00303923">
        <w:rPr>
          <w:rFonts w:eastAsia="Calibri"/>
          <w:noProof/>
          <w:color w:val="000000"/>
          <w:sz w:val="20"/>
          <w:lang w:eastAsia="en-GB"/>
        </w:rPr>
        <w:t>{Citation}</w:t>
      </w:r>
      <w:r w:rsidR="00303923">
        <w:rPr>
          <w:rFonts w:eastAsia="Calibri"/>
          <w:color w:val="000000"/>
          <w:sz w:val="20"/>
          <w:lang w:eastAsia="en-GB"/>
        </w:rPr>
        <w:fldChar w:fldCharType="end"/>
      </w:r>
      <w:r w:rsidRPr="005866EA">
        <w:rPr>
          <w:rFonts w:eastAsia="Calibri"/>
          <w:color w:val="000000"/>
          <w:sz w:val="20"/>
          <w:lang w:eastAsia="en-GB"/>
        </w:rPr>
        <w:t>‘Executive summary – Renewables for Industry – Analysis’, https://www.iea.org/reports/renewables-for-industry/executive-summary, accessed August 2026</w:t>
      </w:r>
    </w:p>
    <w:p w14:paraId="1FD8977B" w14:textId="77777777" w:rsidR="005866EA" w:rsidRPr="005866EA" w:rsidRDefault="005866EA" w:rsidP="005866EA">
      <w:pPr>
        <w:pStyle w:val="Bibliography"/>
        <w:rPr>
          <w:rFonts w:eastAsia="Calibri"/>
          <w:color w:val="000000"/>
          <w:sz w:val="20"/>
          <w:lang w:eastAsia="en-GB"/>
        </w:rPr>
      </w:pPr>
      <w:r w:rsidRPr="005866EA">
        <w:rPr>
          <w:rFonts w:eastAsia="Calibri"/>
          <w:color w:val="000000"/>
          <w:sz w:val="20"/>
          <w:lang w:eastAsia="en-GB"/>
        </w:rPr>
        <w:t>4</w:t>
      </w:r>
      <w:r w:rsidRPr="005866EA">
        <w:rPr>
          <w:rFonts w:eastAsia="Calibri"/>
          <w:color w:val="000000"/>
          <w:sz w:val="20"/>
          <w:lang w:eastAsia="en-GB"/>
        </w:rPr>
        <w:tab/>
        <w:t>‘How It Works - Rondo Energy’, https://www.rondo.com/how-it-works, accessed July 2026</w:t>
      </w:r>
    </w:p>
    <w:p w14:paraId="53380AA5" w14:textId="77777777" w:rsidR="005866EA" w:rsidRPr="005866EA" w:rsidRDefault="005866EA" w:rsidP="005866EA">
      <w:pPr>
        <w:pStyle w:val="Bibliography"/>
        <w:rPr>
          <w:rFonts w:eastAsia="Calibri"/>
          <w:color w:val="000000"/>
          <w:sz w:val="20"/>
          <w:lang w:eastAsia="en-GB"/>
        </w:rPr>
      </w:pPr>
      <w:r w:rsidRPr="005866EA">
        <w:rPr>
          <w:rFonts w:eastAsia="Calibri"/>
          <w:color w:val="000000"/>
          <w:sz w:val="20"/>
          <w:lang w:eastAsia="en-GB"/>
        </w:rPr>
        <w:t>5</w:t>
      </w:r>
      <w:r w:rsidRPr="005866EA">
        <w:rPr>
          <w:rFonts w:eastAsia="Calibri"/>
          <w:color w:val="000000"/>
          <w:sz w:val="20"/>
          <w:lang w:eastAsia="en-GB"/>
        </w:rPr>
        <w:tab/>
        <w:t>Wikoff, H.M., Garfield, D., Hwang, S., Ribo, M.M., Ruth, M., Reese, S.B.: ‘Benchmarking thermal energy storage cost for industrial process heat’</w:t>
      </w:r>
      <w:r w:rsidRPr="005866EA">
        <w:rPr>
          <w:rFonts w:eastAsia="Calibri"/>
          <w:i/>
          <w:iCs/>
          <w:color w:val="000000"/>
          <w:sz w:val="20"/>
          <w:lang w:eastAsia="en-GB"/>
        </w:rPr>
        <w:t>Applied Energy</w:t>
      </w:r>
      <w:r w:rsidRPr="005866EA">
        <w:rPr>
          <w:rFonts w:eastAsia="Calibri"/>
          <w:color w:val="000000"/>
          <w:sz w:val="20"/>
          <w:lang w:eastAsia="en-GB"/>
        </w:rPr>
        <w:t xml:space="preserve">, 2025, </w:t>
      </w:r>
      <w:r w:rsidRPr="005866EA">
        <w:rPr>
          <w:rFonts w:eastAsia="Calibri"/>
          <w:b/>
          <w:bCs/>
          <w:color w:val="000000"/>
          <w:sz w:val="20"/>
          <w:lang w:eastAsia="en-GB"/>
        </w:rPr>
        <w:t>402</w:t>
      </w:r>
      <w:r w:rsidRPr="005866EA">
        <w:rPr>
          <w:rFonts w:eastAsia="Calibri"/>
          <w:color w:val="000000"/>
          <w:sz w:val="20"/>
          <w:lang w:eastAsia="en-GB"/>
        </w:rPr>
        <w:t xml:space="preserve">, p. 126873. </w:t>
      </w:r>
    </w:p>
    <w:p w14:paraId="27FD484A" w14:textId="77777777" w:rsidR="005866EA" w:rsidRPr="005866EA" w:rsidRDefault="005866EA" w:rsidP="005866EA">
      <w:pPr>
        <w:pStyle w:val="Bibliography"/>
        <w:rPr>
          <w:rFonts w:eastAsia="Calibri"/>
          <w:color w:val="000000"/>
          <w:sz w:val="20"/>
          <w:lang w:eastAsia="en-GB"/>
        </w:rPr>
      </w:pPr>
      <w:r w:rsidRPr="005866EA">
        <w:rPr>
          <w:rFonts w:eastAsia="Calibri"/>
          <w:color w:val="000000"/>
          <w:sz w:val="20"/>
          <w:lang w:eastAsia="en-GB"/>
        </w:rPr>
        <w:t>6</w:t>
      </w:r>
      <w:r w:rsidRPr="005866EA">
        <w:rPr>
          <w:rFonts w:eastAsia="Calibri"/>
          <w:color w:val="000000"/>
          <w:sz w:val="20"/>
          <w:lang w:eastAsia="en-GB"/>
        </w:rPr>
        <w:tab/>
        <w:t>Rosenow, J., Oxenaar, S.: ‘Opportunities for heat electrification and energy efficiency in European industry’</w:t>
      </w:r>
      <w:r w:rsidRPr="005866EA">
        <w:rPr>
          <w:rFonts w:eastAsia="Calibri"/>
          <w:i/>
          <w:iCs/>
          <w:color w:val="000000"/>
          <w:sz w:val="20"/>
          <w:lang w:eastAsia="en-GB"/>
        </w:rPr>
        <w:t>Nature Reviews Clean Technology</w:t>
      </w:r>
      <w:r w:rsidRPr="005866EA">
        <w:rPr>
          <w:rFonts w:eastAsia="Calibri"/>
          <w:color w:val="000000"/>
          <w:sz w:val="20"/>
          <w:lang w:eastAsia="en-GB"/>
        </w:rPr>
        <w:t xml:space="preserve">, 2025, </w:t>
      </w:r>
      <w:r w:rsidRPr="005866EA">
        <w:rPr>
          <w:rFonts w:eastAsia="Calibri"/>
          <w:b/>
          <w:bCs/>
          <w:color w:val="000000"/>
          <w:sz w:val="20"/>
          <w:lang w:eastAsia="en-GB"/>
        </w:rPr>
        <w:t>1</w:t>
      </w:r>
      <w:r w:rsidRPr="005866EA">
        <w:rPr>
          <w:rFonts w:eastAsia="Calibri"/>
          <w:color w:val="000000"/>
          <w:sz w:val="20"/>
          <w:lang w:eastAsia="en-GB"/>
        </w:rPr>
        <w:t xml:space="preserve">, (10), pp. 671–672. </w:t>
      </w:r>
    </w:p>
    <w:p w14:paraId="3ACB0B63" w14:textId="77777777" w:rsidR="005866EA" w:rsidRPr="005866EA" w:rsidRDefault="005866EA" w:rsidP="005866EA">
      <w:pPr>
        <w:pStyle w:val="Bibliography"/>
        <w:rPr>
          <w:rFonts w:eastAsia="Calibri"/>
          <w:color w:val="000000"/>
          <w:sz w:val="20"/>
          <w:lang w:eastAsia="en-GB"/>
        </w:rPr>
      </w:pPr>
      <w:r w:rsidRPr="005866EA">
        <w:rPr>
          <w:rFonts w:eastAsia="Calibri"/>
          <w:color w:val="000000"/>
          <w:sz w:val="20"/>
          <w:lang w:eastAsia="en-GB"/>
        </w:rPr>
        <w:t>7</w:t>
      </w:r>
      <w:r w:rsidRPr="005866EA">
        <w:rPr>
          <w:rFonts w:eastAsia="Calibri"/>
          <w:color w:val="000000"/>
          <w:sz w:val="20"/>
          <w:lang w:eastAsia="en-GB"/>
        </w:rPr>
        <w:tab/>
        <w:t>Rosenow, J., Arpagaus, C., Lechtenböhmer, S., Oxenaar, S., Pusceddu, E.: ‘The heat is on: Policy solutions for industrial electrification’</w:t>
      </w:r>
      <w:r w:rsidRPr="005866EA">
        <w:rPr>
          <w:rFonts w:eastAsia="Calibri"/>
          <w:i/>
          <w:iCs/>
          <w:color w:val="000000"/>
          <w:sz w:val="20"/>
          <w:lang w:eastAsia="en-GB"/>
        </w:rPr>
        <w:t>Energy Research &amp; Social Science</w:t>
      </w:r>
      <w:r w:rsidRPr="005866EA">
        <w:rPr>
          <w:rFonts w:eastAsia="Calibri"/>
          <w:color w:val="000000"/>
          <w:sz w:val="20"/>
          <w:lang w:eastAsia="en-GB"/>
        </w:rPr>
        <w:t xml:space="preserve">, 2025, </w:t>
      </w:r>
      <w:r w:rsidRPr="005866EA">
        <w:rPr>
          <w:rFonts w:eastAsia="Calibri"/>
          <w:b/>
          <w:bCs/>
          <w:color w:val="000000"/>
          <w:sz w:val="20"/>
          <w:lang w:eastAsia="en-GB"/>
        </w:rPr>
        <w:t>127</w:t>
      </w:r>
      <w:r w:rsidRPr="005866EA">
        <w:rPr>
          <w:rFonts w:eastAsia="Calibri"/>
          <w:color w:val="000000"/>
          <w:sz w:val="20"/>
          <w:lang w:eastAsia="en-GB"/>
        </w:rPr>
        <w:t xml:space="preserve">, p. 104227. </w:t>
      </w:r>
    </w:p>
    <w:p w14:paraId="1A8099E7" w14:textId="77777777" w:rsidR="005866EA" w:rsidRPr="005866EA" w:rsidRDefault="005866EA" w:rsidP="005866EA">
      <w:pPr>
        <w:pStyle w:val="Bibliography"/>
        <w:rPr>
          <w:rFonts w:eastAsia="Calibri"/>
          <w:color w:val="000000"/>
          <w:sz w:val="20"/>
          <w:lang w:eastAsia="en-GB"/>
        </w:rPr>
      </w:pPr>
      <w:r w:rsidRPr="005866EA">
        <w:rPr>
          <w:rFonts w:eastAsia="Calibri"/>
          <w:color w:val="000000"/>
          <w:sz w:val="20"/>
          <w:lang w:eastAsia="en-GB"/>
        </w:rPr>
        <w:t>8</w:t>
      </w:r>
      <w:r w:rsidRPr="005866EA">
        <w:rPr>
          <w:rFonts w:eastAsia="Calibri"/>
          <w:color w:val="000000"/>
          <w:sz w:val="20"/>
          <w:lang w:eastAsia="en-GB"/>
        </w:rPr>
        <w:tab/>
        <w:t xml:space="preserve">Dominguez, J., Paliwal, U., Phadke, A.: ‘U.S. Can Cost-Effectively Supply One Third of Industrial Heat Demand Using Off-Grid Electric Thermal Storage and Heat Pumps’2026. </w:t>
      </w:r>
    </w:p>
    <w:p w14:paraId="529CEA97" w14:textId="77777777" w:rsidR="005866EA" w:rsidRPr="005866EA" w:rsidRDefault="005866EA" w:rsidP="005866EA">
      <w:pPr>
        <w:pStyle w:val="Bibliography"/>
        <w:rPr>
          <w:rFonts w:eastAsia="Calibri"/>
          <w:color w:val="000000"/>
          <w:sz w:val="20"/>
          <w:lang w:eastAsia="en-GB"/>
        </w:rPr>
      </w:pPr>
      <w:r w:rsidRPr="005866EA">
        <w:rPr>
          <w:rFonts w:eastAsia="Calibri"/>
          <w:color w:val="000000"/>
          <w:sz w:val="20"/>
          <w:lang w:eastAsia="en-GB"/>
        </w:rPr>
        <w:t>9</w:t>
      </w:r>
      <w:r w:rsidRPr="005866EA">
        <w:rPr>
          <w:rFonts w:eastAsia="Calibri"/>
          <w:color w:val="000000"/>
          <w:sz w:val="20"/>
          <w:lang w:eastAsia="en-GB"/>
        </w:rPr>
        <w:tab/>
        <w:t xml:space="preserve">Chojkiewicz, E., Manocha, A., Paliwal, U., Callaway, D., Phadke, A.: ‘Utilizing Noncoincident Needs to Site Data Centers with Solar+Storage at Existing Gas Plants’2026. </w:t>
      </w:r>
    </w:p>
    <w:p w14:paraId="68E07B1E" w14:textId="77777777" w:rsidR="005866EA" w:rsidRPr="005866EA" w:rsidRDefault="005866EA" w:rsidP="005866EA">
      <w:pPr>
        <w:pStyle w:val="Bibliography"/>
        <w:rPr>
          <w:rFonts w:eastAsia="Calibri"/>
          <w:color w:val="000000"/>
          <w:sz w:val="20"/>
          <w:lang w:eastAsia="en-GB"/>
        </w:rPr>
      </w:pPr>
      <w:r w:rsidRPr="005866EA">
        <w:rPr>
          <w:rFonts w:eastAsia="Calibri"/>
          <w:color w:val="000000"/>
          <w:sz w:val="20"/>
          <w:lang w:eastAsia="en-GB"/>
        </w:rPr>
        <w:t>10</w:t>
      </w:r>
      <w:r w:rsidRPr="005866EA">
        <w:rPr>
          <w:rFonts w:eastAsia="Calibri"/>
          <w:color w:val="000000"/>
          <w:sz w:val="20"/>
          <w:lang w:eastAsia="en-GB"/>
        </w:rPr>
        <w:tab/>
        <w:t>Baselovic, M.: ‘A credible gas endgame for Europe’, https://strategicperspectives.eu/a-credible-gas-endgame-for-europe-electrification-and-regional-partnerships/, accessed August 2026</w:t>
      </w:r>
    </w:p>
    <w:p w14:paraId="06E02D0E" w14:textId="77777777" w:rsidR="005866EA" w:rsidRPr="005866EA" w:rsidRDefault="005866EA" w:rsidP="005866EA">
      <w:pPr>
        <w:pStyle w:val="Bibliography"/>
        <w:rPr>
          <w:rFonts w:eastAsia="Calibri"/>
          <w:color w:val="000000"/>
          <w:sz w:val="20"/>
          <w:lang w:eastAsia="en-GB"/>
        </w:rPr>
      </w:pPr>
      <w:r w:rsidRPr="005866EA">
        <w:rPr>
          <w:rFonts w:eastAsia="Calibri"/>
          <w:color w:val="000000"/>
          <w:sz w:val="20"/>
          <w:lang w:eastAsia="en-GB"/>
        </w:rPr>
        <w:t>11</w:t>
      </w:r>
      <w:r w:rsidRPr="005866EA">
        <w:rPr>
          <w:rFonts w:eastAsia="Calibri"/>
          <w:color w:val="000000"/>
          <w:sz w:val="20"/>
          <w:lang w:eastAsia="en-GB"/>
        </w:rPr>
        <w:tab/>
        <w:t>‘Crossed wires꞉ Grid capacity could block EU energy security’, https://ember-energy.org/latest-insights/crossed-wires-grid-capacity-could-block-eu-energy-security, accessed August 2026</w:t>
      </w:r>
    </w:p>
    <w:p w14:paraId="612D2EED" w14:textId="77777777" w:rsidR="005866EA" w:rsidRPr="005866EA" w:rsidRDefault="005866EA" w:rsidP="005866EA">
      <w:pPr>
        <w:pStyle w:val="Bibliography"/>
        <w:rPr>
          <w:rFonts w:eastAsia="Calibri"/>
          <w:color w:val="000000"/>
          <w:sz w:val="20"/>
          <w:lang w:eastAsia="en-GB"/>
        </w:rPr>
      </w:pPr>
      <w:r w:rsidRPr="005866EA">
        <w:rPr>
          <w:rFonts w:eastAsia="Calibri"/>
          <w:color w:val="000000"/>
          <w:sz w:val="20"/>
          <w:lang w:eastAsia="en-GB"/>
        </w:rPr>
        <w:t>12</w:t>
      </w:r>
      <w:r w:rsidRPr="005866EA">
        <w:rPr>
          <w:rFonts w:eastAsia="Calibri"/>
          <w:color w:val="000000"/>
          <w:sz w:val="20"/>
          <w:lang w:eastAsia="en-GB"/>
        </w:rPr>
        <w:tab/>
        <w:t>‘The business case for electrifying industrial heat’ (Agora Industry, Agora Energiewende, Fraunhofer ISI, ECCO Think Tank and Reform Institu, 2026)</w:t>
      </w:r>
    </w:p>
    <w:p w14:paraId="1D6E26D2" w14:textId="77777777" w:rsidR="005866EA" w:rsidRPr="005866EA" w:rsidRDefault="005866EA" w:rsidP="005866EA">
      <w:pPr>
        <w:pStyle w:val="Bibliography"/>
        <w:rPr>
          <w:rFonts w:eastAsia="Calibri"/>
          <w:color w:val="000000"/>
          <w:sz w:val="20"/>
          <w:lang w:eastAsia="en-GB"/>
        </w:rPr>
      </w:pPr>
      <w:r w:rsidRPr="005866EA">
        <w:rPr>
          <w:rFonts w:eastAsia="Calibri"/>
          <w:color w:val="000000"/>
          <w:sz w:val="20"/>
          <w:lang w:eastAsia="en-GB"/>
        </w:rPr>
        <w:t>13</w:t>
      </w:r>
      <w:r w:rsidRPr="005866EA">
        <w:rPr>
          <w:rFonts w:eastAsia="Calibri"/>
          <w:color w:val="000000"/>
          <w:sz w:val="20"/>
          <w:lang w:eastAsia="en-GB"/>
        </w:rPr>
        <w:tab/>
        <w:t>Neuwirth, M., Fleiter, T., Hofmann, R.: ‘Modelling the transformation of energy-intensive industries based on site-specific investment decisions’</w:t>
      </w:r>
      <w:r w:rsidRPr="005866EA">
        <w:rPr>
          <w:rFonts w:eastAsia="Calibri"/>
          <w:i/>
          <w:iCs/>
          <w:color w:val="000000"/>
          <w:sz w:val="20"/>
          <w:lang w:eastAsia="en-GB"/>
        </w:rPr>
        <w:t>Sci Rep</w:t>
      </w:r>
      <w:r w:rsidRPr="005866EA">
        <w:rPr>
          <w:rFonts w:eastAsia="Calibri"/>
          <w:color w:val="000000"/>
          <w:sz w:val="20"/>
          <w:lang w:eastAsia="en-GB"/>
        </w:rPr>
        <w:t xml:space="preserve">, 2024, </w:t>
      </w:r>
      <w:r w:rsidRPr="005866EA">
        <w:rPr>
          <w:rFonts w:eastAsia="Calibri"/>
          <w:b/>
          <w:bCs/>
          <w:color w:val="000000"/>
          <w:sz w:val="20"/>
          <w:lang w:eastAsia="en-GB"/>
        </w:rPr>
        <w:t>14</w:t>
      </w:r>
      <w:r w:rsidRPr="005866EA">
        <w:rPr>
          <w:rFonts w:eastAsia="Calibri"/>
          <w:color w:val="000000"/>
          <w:sz w:val="20"/>
          <w:lang w:eastAsia="en-GB"/>
        </w:rPr>
        <w:t xml:space="preserve">, (1), p. 30552. </w:t>
      </w:r>
    </w:p>
    <w:p w14:paraId="25D40F45" w14:textId="77777777" w:rsidR="005866EA" w:rsidRPr="005866EA" w:rsidRDefault="005866EA" w:rsidP="005866EA">
      <w:pPr>
        <w:pStyle w:val="Bibliography"/>
        <w:rPr>
          <w:rFonts w:eastAsia="Calibri"/>
          <w:color w:val="000000"/>
          <w:sz w:val="20"/>
          <w:lang w:eastAsia="en-GB"/>
        </w:rPr>
      </w:pPr>
      <w:r w:rsidRPr="005866EA">
        <w:rPr>
          <w:rFonts w:eastAsia="Calibri"/>
          <w:color w:val="000000"/>
          <w:sz w:val="20"/>
          <w:lang w:eastAsia="en-GB"/>
        </w:rPr>
        <w:t>14</w:t>
      </w:r>
      <w:r w:rsidRPr="005866EA">
        <w:rPr>
          <w:rFonts w:eastAsia="Calibri"/>
          <w:color w:val="000000"/>
          <w:sz w:val="20"/>
          <w:lang w:eastAsia="en-GB"/>
        </w:rPr>
        <w:tab/>
        <w:t xml:space="preserve">Pezzutto, S., Zambotti, S., Croce, S., </w:t>
      </w:r>
      <w:r w:rsidRPr="005866EA">
        <w:rPr>
          <w:rFonts w:eastAsia="Calibri"/>
          <w:i/>
          <w:iCs/>
          <w:color w:val="000000"/>
          <w:sz w:val="20"/>
          <w:lang w:eastAsia="en-GB"/>
        </w:rPr>
        <w:t>et al.</w:t>
      </w:r>
      <w:r w:rsidRPr="005866EA">
        <w:rPr>
          <w:rFonts w:eastAsia="Calibri"/>
          <w:color w:val="000000"/>
          <w:sz w:val="20"/>
          <w:lang w:eastAsia="en-GB"/>
        </w:rPr>
        <w:t>: ‘Hotmaps project, D2.3 WP2 report – open data set for the EU28’ (EURAC, e-think, TUW, Fraunhofer ISI, 2018)</w:t>
      </w:r>
    </w:p>
    <w:p w14:paraId="535AA0C2" w14:textId="77777777" w:rsidR="005866EA" w:rsidRPr="005866EA" w:rsidRDefault="005866EA" w:rsidP="005866EA">
      <w:pPr>
        <w:pStyle w:val="Bibliography"/>
        <w:rPr>
          <w:rFonts w:eastAsia="Calibri"/>
          <w:color w:val="000000"/>
          <w:sz w:val="20"/>
          <w:lang w:eastAsia="en-GB"/>
        </w:rPr>
      </w:pPr>
      <w:r w:rsidRPr="005866EA">
        <w:rPr>
          <w:rFonts w:eastAsia="Calibri"/>
          <w:color w:val="000000"/>
          <w:sz w:val="20"/>
          <w:lang w:eastAsia="en-GB"/>
        </w:rPr>
        <w:t>15</w:t>
      </w:r>
      <w:r w:rsidRPr="005866EA">
        <w:rPr>
          <w:rFonts w:eastAsia="Calibri"/>
          <w:color w:val="000000"/>
          <w:sz w:val="20"/>
          <w:lang w:eastAsia="en-GB"/>
        </w:rPr>
        <w:tab/>
        <w:t>Gomez, Dario, Watterson, John D.: ‘STATIONARY COMBUSTION’, https://www.ipcc-nggip.iges.or.jp/public/2006gl/pdf/2_Volume2/V2_2_Ch2_Stationary_Combustion.pdf, accessed July 2026</w:t>
      </w:r>
    </w:p>
    <w:p w14:paraId="56D61262" w14:textId="77777777" w:rsidR="005866EA" w:rsidRPr="005866EA" w:rsidRDefault="005866EA" w:rsidP="005866EA">
      <w:pPr>
        <w:pStyle w:val="Bibliography"/>
        <w:rPr>
          <w:rFonts w:eastAsia="Calibri"/>
          <w:color w:val="000000"/>
          <w:sz w:val="20"/>
          <w:lang w:eastAsia="en-GB"/>
        </w:rPr>
      </w:pPr>
      <w:r w:rsidRPr="005866EA">
        <w:rPr>
          <w:rFonts w:eastAsia="Calibri"/>
          <w:color w:val="000000"/>
          <w:sz w:val="20"/>
          <w:lang w:eastAsia="en-GB"/>
        </w:rPr>
        <w:t>16</w:t>
      </w:r>
      <w:r w:rsidRPr="005866EA">
        <w:rPr>
          <w:rFonts w:eastAsia="Calibri"/>
          <w:color w:val="000000"/>
          <w:sz w:val="20"/>
          <w:lang w:eastAsia="en-GB"/>
        </w:rPr>
        <w:tab/>
        <w:t>Eurostat: ‘Disaggregated final energy consumption in industry by NACE Rev. 2 activity - quantities (nrg_d_indq)’ (2024)</w:t>
      </w:r>
    </w:p>
    <w:p w14:paraId="6D8C269F" w14:textId="77777777" w:rsidR="005866EA" w:rsidRPr="005866EA" w:rsidRDefault="005866EA" w:rsidP="005866EA">
      <w:pPr>
        <w:pStyle w:val="Bibliography"/>
        <w:rPr>
          <w:rFonts w:eastAsia="Calibri"/>
          <w:color w:val="000000"/>
          <w:sz w:val="20"/>
          <w:lang w:eastAsia="en-GB"/>
        </w:rPr>
      </w:pPr>
      <w:r w:rsidRPr="005866EA">
        <w:rPr>
          <w:rFonts w:eastAsia="Calibri"/>
          <w:color w:val="000000"/>
          <w:sz w:val="20"/>
          <w:lang w:eastAsia="en-GB"/>
        </w:rPr>
        <w:t>17</w:t>
      </w:r>
      <w:r w:rsidRPr="005866EA">
        <w:rPr>
          <w:rFonts w:eastAsia="Calibri"/>
          <w:color w:val="000000"/>
          <w:sz w:val="20"/>
          <w:lang w:eastAsia="en-GB"/>
        </w:rPr>
        <w:tab/>
        <w:t xml:space="preserve">‘[nrg_d_indq_n] Disaggregated final energy consumption in industry by NACE Rev. 2 activity - quantities’, </w:t>
      </w:r>
      <w:r w:rsidRPr="005866EA">
        <w:rPr>
          <w:rFonts w:eastAsia="Calibri"/>
          <w:color w:val="000000"/>
          <w:sz w:val="20"/>
          <w:lang w:eastAsia="en-GB"/>
        </w:rPr>
        <w:t>https://ec.europa.eu/eurostat/databrowser/view/nrg_d_indq_n/default/table?lang=en, accessed July 2026</w:t>
      </w:r>
    </w:p>
    <w:p w14:paraId="34B2869E" w14:textId="77777777" w:rsidR="005866EA" w:rsidRPr="005866EA" w:rsidRDefault="005866EA" w:rsidP="005866EA">
      <w:pPr>
        <w:pStyle w:val="Bibliography"/>
        <w:rPr>
          <w:rFonts w:eastAsia="Calibri"/>
          <w:color w:val="000000"/>
          <w:sz w:val="20"/>
          <w:lang w:eastAsia="en-GB"/>
        </w:rPr>
      </w:pPr>
      <w:r w:rsidRPr="005866EA">
        <w:rPr>
          <w:rFonts w:eastAsia="Calibri"/>
          <w:color w:val="000000"/>
          <w:sz w:val="20"/>
          <w:lang w:eastAsia="en-GB"/>
        </w:rPr>
        <w:t>18</w:t>
      </w:r>
      <w:r w:rsidRPr="005866EA">
        <w:rPr>
          <w:rFonts w:eastAsia="Calibri"/>
          <w:color w:val="000000"/>
          <w:sz w:val="20"/>
          <w:lang w:eastAsia="en-GB"/>
        </w:rPr>
        <w:tab/>
        <w:t>BloombergNEF: ‘2H 2024 LCOE Data Viewer: country-level solar PV and utility-scale 4 h battery costs, 2030’ (2024)</w:t>
      </w:r>
    </w:p>
    <w:p w14:paraId="3FE3219B" w14:textId="77777777" w:rsidR="005866EA" w:rsidRPr="005866EA" w:rsidRDefault="005866EA" w:rsidP="005866EA">
      <w:pPr>
        <w:pStyle w:val="Bibliography"/>
        <w:rPr>
          <w:rFonts w:eastAsia="Calibri"/>
          <w:color w:val="000000"/>
          <w:sz w:val="20"/>
          <w:lang w:eastAsia="en-GB"/>
        </w:rPr>
      </w:pPr>
      <w:r w:rsidRPr="005866EA">
        <w:rPr>
          <w:rFonts w:eastAsia="Calibri"/>
          <w:color w:val="000000"/>
          <w:sz w:val="20"/>
          <w:lang w:eastAsia="en-GB"/>
        </w:rPr>
        <w:t>19</w:t>
      </w:r>
      <w:r w:rsidRPr="005866EA">
        <w:rPr>
          <w:rFonts w:eastAsia="Calibri"/>
          <w:color w:val="000000"/>
          <w:sz w:val="20"/>
          <w:lang w:eastAsia="en-GB"/>
        </w:rPr>
        <w:tab/>
        <w:t xml:space="preserve">Rissman, J.: ‘Decarbonizing Low-Temperature Industrial Heat in the U.S.’2020. </w:t>
      </w:r>
    </w:p>
    <w:p w14:paraId="078D18B8" w14:textId="77777777" w:rsidR="005866EA" w:rsidRPr="005866EA" w:rsidRDefault="005866EA" w:rsidP="005866EA">
      <w:pPr>
        <w:pStyle w:val="Bibliography"/>
        <w:rPr>
          <w:rFonts w:eastAsia="Calibri"/>
          <w:color w:val="000000"/>
          <w:sz w:val="20"/>
          <w:lang w:eastAsia="en-GB"/>
        </w:rPr>
      </w:pPr>
      <w:r w:rsidRPr="005866EA">
        <w:rPr>
          <w:rFonts w:eastAsia="Calibri"/>
          <w:color w:val="000000"/>
          <w:sz w:val="20"/>
          <w:lang w:eastAsia="en-GB"/>
        </w:rPr>
        <w:t>20</w:t>
      </w:r>
      <w:r w:rsidRPr="005866EA">
        <w:rPr>
          <w:rFonts w:eastAsia="Calibri"/>
          <w:color w:val="000000"/>
          <w:sz w:val="20"/>
          <w:lang w:eastAsia="en-GB"/>
        </w:rPr>
        <w:tab/>
        <w:t xml:space="preserve">Rissman, J., Gimon, E.: ‘Thermal Batteries: Decarbonizing U.S. Industry While Supporting A High-Renewables Grid’2023. </w:t>
      </w:r>
    </w:p>
    <w:p w14:paraId="4AFA036A" w14:textId="77777777" w:rsidR="005866EA" w:rsidRPr="005866EA" w:rsidRDefault="005866EA" w:rsidP="005866EA">
      <w:pPr>
        <w:pStyle w:val="Bibliography"/>
        <w:rPr>
          <w:rFonts w:eastAsia="Calibri"/>
          <w:color w:val="000000"/>
          <w:sz w:val="20"/>
          <w:lang w:eastAsia="en-GB"/>
        </w:rPr>
      </w:pPr>
      <w:r w:rsidRPr="005866EA">
        <w:rPr>
          <w:rFonts w:eastAsia="Calibri"/>
          <w:color w:val="000000"/>
          <w:sz w:val="20"/>
          <w:lang w:eastAsia="en-GB"/>
        </w:rPr>
        <w:t>21</w:t>
      </w:r>
      <w:r w:rsidRPr="005866EA">
        <w:rPr>
          <w:rFonts w:eastAsia="Calibri"/>
          <w:color w:val="000000"/>
          <w:sz w:val="20"/>
          <w:lang w:eastAsia="en-GB"/>
        </w:rPr>
        <w:tab/>
        <w:t>IRENA: ‘Renewable Power Generation Costs in 2024’ (2025)</w:t>
      </w:r>
    </w:p>
    <w:p w14:paraId="7461D8AA" w14:textId="77777777" w:rsidR="005866EA" w:rsidRPr="005866EA" w:rsidRDefault="005866EA" w:rsidP="005866EA">
      <w:pPr>
        <w:pStyle w:val="Bibliography"/>
        <w:rPr>
          <w:rFonts w:eastAsia="Calibri"/>
          <w:color w:val="000000"/>
          <w:sz w:val="20"/>
          <w:lang w:eastAsia="en-GB"/>
        </w:rPr>
      </w:pPr>
      <w:r w:rsidRPr="005866EA">
        <w:rPr>
          <w:rFonts w:eastAsia="Calibri"/>
          <w:color w:val="000000"/>
          <w:sz w:val="20"/>
          <w:lang w:eastAsia="en-GB"/>
        </w:rPr>
        <w:t>22</w:t>
      </w:r>
      <w:r w:rsidRPr="005866EA">
        <w:rPr>
          <w:rFonts w:eastAsia="Calibri"/>
          <w:color w:val="000000"/>
          <w:sz w:val="20"/>
          <w:lang w:eastAsia="en-GB"/>
        </w:rPr>
        <w:tab/>
        <w:t>Eurostat: ‘Gas prices for industrial consumers - bi-annual data (from 2007 onwards)’ (Eurostat, 2026)</w:t>
      </w:r>
    </w:p>
    <w:p w14:paraId="68C1E5D2" w14:textId="77777777" w:rsidR="005866EA" w:rsidRPr="005866EA" w:rsidRDefault="005866EA" w:rsidP="005866EA">
      <w:pPr>
        <w:pStyle w:val="Bibliography"/>
        <w:rPr>
          <w:rFonts w:eastAsia="Calibri"/>
          <w:color w:val="000000"/>
          <w:sz w:val="20"/>
          <w:lang w:eastAsia="en-GB"/>
        </w:rPr>
      </w:pPr>
      <w:r w:rsidRPr="005866EA">
        <w:rPr>
          <w:rFonts w:eastAsia="Calibri"/>
          <w:color w:val="000000"/>
          <w:sz w:val="20"/>
          <w:lang w:eastAsia="en-GB"/>
        </w:rPr>
        <w:t>23</w:t>
      </w:r>
      <w:r w:rsidRPr="005866EA">
        <w:rPr>
          <w:rFonts w:eastAsia="Calibri"/>
          <w:color w:val="000000"/>
          <w:sz w:val="20"/>
          <w:lang w:eastAsia="en-GB"/>
        </w:rPr>
        <w:tab/>
        <w:t>‘Technology factsheet natural gas boiler industry’, https://energy.nl/wp-content/uploads/technology-factsheets-natural-gas-boiler-industry-7.pdf, accessed August 2026</w:t>
      </w:r>
    </w:p>
    <w:p w14:paraId="719A9110" w14:textId="77777777" w:rsidR="005866EA" w:rsidRPr="005866EA" w:rsidRDefault="005866EA" w:rsidP="005866EA">
      <w:pPr>
        <w:pStyle w:val="Bibliography"/>
        <w:rPr>
          <w:rFonts w:eastAsia="Calibri"/>
          <w:color w:val="000000"/>
          <w:sz w:val="20"/>
          <w:lang w:eastAsia="en-GB"/>
        </w:rPr>
      </w:pPr>
      <w:r w:rsidRPr="005866EA">
        <w:rPr>
          <w:rFonts w:eastAsia="Calibri"/>
          <w:color w:val="000000"/>
          <w:sz w:val="20"/>
          <w:lang w:eastAsia="en-GB"/>
        </w:rPr>
        <w:t>24</w:t>
      </w:r>
      <w:r w:rsidRPr="005866EA">
        <w:rPr>
          <w:rFonts w:eastAsia="Calibri"/>
          <w:color w:val="000000"/>
          <w:sz w:val="20"/>
          <w:lang w:eastAsia="en-GB"/>
        </w:rPr>
        <w:tab/>
        <w:t>Wiedemann, S.: ‘The industrial electricity price - cost relief with new requirements and verification obligations’, https://kpmg-law.de/en/the-industrial-electricity-price-cost-relief-with-new-requirements-and-verification-obligations/, accessed August 2026</w:t>
      </w:r>
    </w:p>
    <w:sectPr w:rsidR="005866EA" w:rsidRPr="005866EA" w:rsidSect="00EC323B">
      <w:type w:val="continuous"/>
      <w:pgSz w:w="11906" w:h="16838"/>
      <w:pgMar w:top="1440" w:right="851" w:bottom="1440" w:left="851" w:header="709" w:footer="709" w:gutter="57"/>
      <w:cols w:num="2" w:space="22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8B1B12" w14:textId="77777777" w:rsidR="006C6BE0" w:rsidRDefault="006C6BE0" w:rsidP="006A1E95">
      <w:r>
        <w:separator/>
      </w:r>
    </w:p>
  </w:endnote>
  <w:endnote w:type="continuationSeparator" w:id="0">
    <w:p w14:paraId="357FB79F" w14:textId="77777777" w:rsidR="006C6BE0" w:rsidRDefault="006C6BE0" w:rsidP="006A1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apple-system">
    <w:altName w:val="Cambria"/>
    <w:panose1 w:val="020B0604020202020204"/>
    <w:charset w:val="00"/>
    <w:family w:val="roman"/>
    <w:notTrueType/>
    <w:pitch w:val="default"/>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5E6975" w14:textId="77777777" w:rsidR="006A1E95" w:rsidRDefault="006A1E95">
    <w:pPr>
      <w:pStyle w:val="Footer"/>
      <w:jc w:val="center"/>
    </w:pPr>
    <w:r>
      <w:fldChar w:fldCharType="begin"/>
    </w:r>
    <w:r>
      <w:instrText xml:space="preserve"> PAGE   \* MERGEFORMAT </w:instrText>
    </w:r>
    <w:r>
      <w:fldChar w:fldCharType="separate"/>
    </w:r>
    <w:r w:rsidR="002D5694">
      <w:rPr>
        <w:noProof/>
      </w:rPr>
      <w:t>1</w:t>
    </w:r>
    <w:r>
      <w:rPr>
        <w:noProof/>
      </w:rPr>
      <w:fldChar w:fldCharType="end"/>
    </w:r>
  </w:p>
  <w:p w14:paraId="7E00876A" w14:textId="77777777" w:rsidR="006A1E95" w:rsidRDefault="006A1E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EC3036" w14:textId="77777777" w:rsidR="006C6BE0" w:rsidRDefault="006C6BE0" w:rsidP="006A1E95">
      <w:r>
        <w:separator/>
      </w:r>
    </w:p>
  </w:footnote>
  <w:footnote w:type="continuationSeparator" w:id="0">
    <w:p w14:paraId="38816144" w14:textId="77777777" w:rsidR="006C6BE0" w:rsidRDefault="006C6BE0" w:rsidP="006A1E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B84ADB" w14:textId="77777777" w:rsidR="00691F4B" w:rsidRPr="00691F4B" w:rsidRDefault="006F3D97" w:rsidP="00691F4B">
    <w:pPr>
      <w:pStyle w:val="Header"/>
      <w:jc w:val="center"/>
      <w:rPr>
        <w:rFonts w:asciiTheme="minorHAnsi" w:hAnsiTheme="minorHAnsi" w:cstheme="minorHAnsi"/>
        <w:color w:val="808080" w:themeColor="background1" w:themeShade="80"/>
        <w:sz w:val="18"/>
        <w:szCs w:val="18"/>
      </w:rPr>
    </w:pPr>
    <w:r>
      <w:rPr>
        <w:rFonts w:asciiTheme="minorHAnsi" w:hAnsiTheme="minorHAnsi" w:cstheme="minorHAnsi"/>
        <w:color w:val="808080" w:themeColor="background1" w:themeShade="80"/>
        <w:sz w:val="18"/>
        <w:szCs w:val="18"/>
      </w:rPr>
      <w:t>25</w:t>
    </w:r>
    <w:r w:rsidR="00EC323B" w:rsidRPr="00EC323B">
      <w:rPr>
        <w:rFonts w:asciiTheme="minorHAnsi" w:hAnsiTheme="minorHAnsi" w:cstheme="minorHAnsi"/>
        <w:color w:val="808080" w:themeColor="background1" w:themeShade="80"/>
        <w:sz w:val="18"/>
        <w:szCs w:val="18"/>
        <w:vertAlign w:val="superscript"/>
      </w:rPr>
      <w:t>th</w:t>
    </w:r>
    <w:r w:rsidR="00EC323B">
      <w:rPr>
        <w:rFonts w:asciiTheme="minorHAnsi" w:hAnsiTheme="minorHAnsi" w:cstheme="minorHAnsi"/>
        <w:color w:val="808080" w:themeColor="background1" w:themeShade="80"/>
        <w:sz w:val="18"/>
        <w:szCs w:val="18"/>
      </w:rPr>
      <w:t xml:space="preserve"> </w:t>
    </w:r>
    <w:r w:rsidRPr="006F3D97">
      <w:rPr>
        <w:rFonts w:asciiTheme="minorHAnsi" w:hAnsiTheme="minorHAnsi" w:cstheme="minorHAnsi"/>
        <w:color w:val="808080" w:themeColor="background1" w:themeShade="80"/>
        <w:sz w:val="18"/>
        <w:szCs w:val="18"/>
      </w:rPr>
      <w:t>Wind &amp; Solar</w:t>
    </w:r>
    <w:r w:rsidR="00605658">
      <w:rPr>
        <w:rFonts w:asciiTheme="minorHAnsi" w:hAnsiTheme="minorHAnsi" w:cstheme="minorHAnsi"/>
        <w:color w:val="808080" w:themeColor="background1" w:themeShade="80"/>
        <w:sz w:val="18"/>
        <w:szCs w:val="18"/>
      </w:rPr>
      <w:t xml:space="preserve"> Integration </w:t>
    </w:r>
    <w:r>
      <w:rPr>
        <w:rFonts w:asciiTheme="minorHAnsi" w:hAnsiTheme="minorHAnsi" w:cstheme="minorHAnsi"/>
        <w:color w:val="808080" w:themeColor="background1" w:themeShade="80"/>
        <w:sz w:val="18"/>
        <w:szCs w:val="18"/>
      </w:rPr>
      <w:t>Workshop</w:t>
    </w:r>
    <w:r w:rsidR="00605658">
      <w:rPr>
        <w:rFonts w:asciiTheme="minorHAnsi" w:hAnsiTheme="minorHAnsi" w:cstheme="minorHAnsi"/>
        <w:color w:val="808080" w:themeColor="background1" w:themeShade="80"/>
        <w:sz w:val="18"/>
        <w:szCs w:val="18"/>
      </w:rPr>
      <w:t xml:space="preserve"> </w:t>
    </w:r>
    <w:r w:rsidR="00691F4B" w:rsidRPr="00691F4B">
      <w:rPr>
        <w:rFonts w:asciiTheme="minorHAnsi" w:hAnsiTheme="minorHAnsi" w:cstheme="minorHAnsi"/>
        <w:color w:val="808080" w:themeColor="background1" w:themeShade="80"/>
        <w:sz w:val="18"/>
        <w:szCs w:val="18"/>
      </w:rPr>
      <w:t xml:space="preserve">| </w:t>
    </w:r>
    <w:r w:rsidR="00605658">
      <w:rPr>
        <w:rFonts w:asciiTheme="minorHAnsi" w:hAnsiTheme="minorHAnsi" w:cstheme="minorHAnsi"/>
        <w:color w:val="808080" w:themeColor="background1" w:themeShade="80"/>
        <w:sz w:val="18"/>
        <w:szCs w:val="18"/>
      </w:rPr>
      <w:t>Porto, Portugal</w:t>
    </w:r>
    <w:r w:rsidR="00EE5B01">
      <w:rPr>
        <w:rFonts w:asciiTheme="minorHAnsi" w:hAnsiTheme="minorHAnsi" w:cstheme="minorHAnsi"/>
        <w:color w:val="808080" w:themeColor="background1" w:themeShade="80"/>
        <w:sz w:val="18"/>
        <w:szCs w:val="18"/>
      </w:rPr>
      <w:t xml:space="preserve"> </w:t>
    </w:r>
    <w:r w:rsidR="00691F4B" w:rsidRPr="00691F4B">
      <w:rPr>
        <w:rFonts w:asciiTheme="minorHAnsi" w:hAnsiTheme="minorHAnsi" w:cstheme="minorHAnsi"/>
        <w:color w:val="808080" w:themeColor="background1" w:themeShade="80"/>
        <w:sz w:val="18"/>
        <w:szCs w:val="18"/>
      </w:rPr>
      <w:t xml:space="preserve">| </w:t>
    </w:r>
    <w:r w:rsidR="00605658">
      <w:rPr>
        <w:rFonts w:asciiTheme="minorHAnsi" w:hAnsiTheme="minorHAnsi" w:cstheme="minorHAnsi"/>
        <w:color w:val="808080" w:themeColor="background1" w:themeShade="80"/>
        <w:sz w:val="18"/>
        <w:szCs w:val="18"/>
      </w:rPr>
      <w:t>2</w:t>
    </w:r>
    <w:r>
      <w:rPr>
        <w:rFonts w:asciiTheme="minorHAnsi" w:hAnsiTheme="minorHAnsi" w:cstheme="minorHAnsi"/>
        <w:color w:val="808080" w:themeColor="background1" w:themeShade="80"/>
        <w:sz w:val="18"/>
        <w:szCs w:val="18"/>
      </w:rPr>
      <w:t>9 September</w:t>
    </w:r>
    <w:r w:rsidR="00691F4B" w:rsidRPr="00691F4B">
      <w:rPr>
        <w:rFonts w:asciiTheme="minorHAnsi" w:hAnsiTheme="minorHAnsi" w:cstheme="minorHAnsi"/>
        <w:color w:val="808080" w:themeColor="background1" w:themeShade="80"/>
        <w:sz w:val="18"/>
        <w:szCs w:val="18"/>
      </w:rPr>
      <w:t xml:space="preserve"> – </w:t>
    </w:r>
    <w:r>
      <w:rPr>
        <w:rFonts w:asciiTheme="minorHAnsi" w:hAnsiTheme="minorHAnsi" w:cstheme="minorHAnsi"/>
        <w:color w:val="808080" w:themeColor="background1" w:themeShade="80"/>
        <w:sz w:val="18"/>
        <w:szCs w:val="18"/>
      </w:rPr>
      <w:t>02 October</w:t>
    </w:r>
    <w:r w:rsidR="00C05D71">
      <w:rPr>
        <w:rFonts w:asciiTheme="minorHAnsi" w:hAnsiTheme="minorHAnsi" w:cstheme="minorHAnsi"/>
        <w:color w:val="808080" w:themeColor="background1" w:themeShade="80"/>
        <w:sz w:val="18"/>
        <w:szCs w:val="18"/>
      </w:rPr>
      <w:t xml:space="preserve"> 2026</w:t>
    </w:r>
  </w:p>
  <w:p w14:paraId="0F1C94BF" w14:textId="77777777" w:rsidR="00691F4B" w:rsidRPr="00691F4B" w:rsidRDefault="00691F4B" w:rsidP="00691F4B">
    <w:pPr>
      <w:pStyle w:val="Header"/>
      <w:jc w:val="center"/>
      <w:rPr>
        <w:rFonts w:asciiTheme="minorHAnsi" w:hAnsiTheme="minorHAnsi" w:cstheme="minorHAnsi"/>
        <w:color w:val="808080" w:themeColor="background1" w:themeShade="80"/>
        <w:sz w:val="18"/>
        <w:szCs w:val="18"/>
      </w:rPr>
    </w:pPr>
  </w:p>
  <w:p w14:paraId="56831E0E" w14:textId="77777777" w:rsidR="00F777AA" w:rsidRDefault="00F777AA" w:rsidP="00F777AA">
    <w:pPr>
      <w:pStyle w:val="Header"/>
      <w:jc w:val="center"/>
      <w:rPr>
        <w:rFonts w:asciiTheme="minorHAnsi" w:hAnsiTheme="minorHAnsi" w:cstheme="minorHAnsi"/>
        <w:color w:val="808080" w:themeColor="background1" w:themeShade="80"/>
        <w:sz w:val="18"/>
        <w:szCs w:val="18"/>
      </w:rPr>
    </w:pPr>
  </w:p>
  <w:p w14:paraId="7F24E18A" w14:textId="77777777" w:rsidR="00F777AA" w:rsidRPr="0057094B" w:rsidRDefault="00F777AA" w:rsidP="00F777AA">
    <w:pPr>
      <w:pStyle w:val="Header"/>
      <w:rPr>
        <w:rFonts w:asciiTheme="minorHAnsi" w:hAnsiTheme="minorHAnsi" w:cstheme="minorHAnsi"/>
        <w:color w:val="808080" w:themeColor="background1" w:themeShade="8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BE3716"/>
    <w:multiLevelType w:val="hybridMultilevel"/>
    <w:tmpl w:val="F5EE57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390729"/>
    <w:multiLevelType w:val="multilevel"/>
    <w:tmpl w:val="AF328AF8"/>
    <w:lvl w:ilvl="0">
      <w:start w:val="1"/>
      <w:numFmt w:val="decimal"/>
      <w:pStyle w:val="IETHeading1"/>
      <w:lvlText w:val="%1."/>
      <w:lvlJc w:val="left"/>
      <w:pPr>
        <w:ind w:left="360" w:hanging="360"/>
      </w:pPr>
    </w:lvl>
    <w:lvl w:ilvl="1">
      <w:start w:val="1"/>
      <w:numFmt w:val="decimal"/>
      <w:pStyle w:val="IETHeading2"/>
      <w:lvlText w:val="%1.%2."/>
      <w:lvlJc w:val="left"/>
      <w:pPr>
        <w:ind w:left="43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2D61FA9"/>
    <w:multiLevelType w:val="hybridMultilevel"/>
    <w:tmpl w:val="A948C93A"/>
    <w:lvl w:ilvl="0" w:tplc="08090001">
      <w:start w:val="1"/>
      <w:numFmt w:val="bullet"/>
      <w:lvlText w:val=""/>
      <w:lvlJc w:val="left"/>
      <w:pPr>
        <w:ind w:left="2145" w:hanging="360"/>
      </w:pPr>
      <w:rPr>
        <w:rFonts w:ascii="Symbol" w:hAnsi="Symbol" w:hint="default"/>
      </w:rPr>
    </w:lvl>
    <w:lvl w:ilvl="1" w:tplc="08090003" w:tentative="1">
      <w:start w:val="1"/>
      <w:numFmt w:val="bullet"/>
      <w:lvlText w:val="o"/>
      <w:lvlJc w:val="left"/>
      <w:pPr>
        <w:ind w:left="2865" w:hanging="360"/>
      </w:pPr>
      <w:rPr>
        <w:rFonts w:ascii="Courier New" w:hAnsi="Courier New" w:cs="Courier New" w:hint="default"/>
      </w:rPr>
    </w:lvl>
    <w:lvl w:ilvl="2" w:tplc="08090005" w:tentative="1">
      <w:start w:val="1"/>
      <w:numFmt w:val="bullet"/>
      <w:lvlText w:val=""/>
      <w:lvlJc w:val="left"/>
      <w:pPr>
        <w:ind w:left="3585" w:hanging="360"/>
      </w:pPr>
      <w:rPr>
        <w:rFonts w:ascii="Wingdings" w:hAnsi="Wingdings" w:hint="default"/>
      </w:rPr>
    </w:lvl>
    <w:lvl w:ilvl="3" w:tplc="08090001" w:tentative="1">
      <w:start w:val="1"/>
      <w:numFmt w:val="bullet"/>
      <w:lvlText w:val=""/>
      <w:lvlJc w:val="left"/>
      <w:pPr>
        <w:ind w:left="4305" w:hanging="360"/>
      </w:pPr>
      <w:rPr>
        <w:rFonts w:ascii="Symbol" w:hAnsi="Symbol" w:hint="default"/>
      </w:rPr>
    </w:lvl>
    <w:lvl w:ilvl="4" w:tplc="08090003" w:tentative="1">
      <w:start w:val="1"/>
      <w:numFmt w:val="bullet"/>
      <w:lvlText w:val="o"/>
      <w:lvlJc w:val="left"/>
      <w:pPr>
        <w:ind w:left="5025" w:hanging="360"/>
      </w:pPr>
      <w:rPr>
        <w:rFonts w:ascii="Courier New" w:hAnsi="Courier New" w:cs="Courier New" w:hint="default"/>
      </w:rPr>
    </w:lvl>
    <w:lvl w:ilvl="5" w:tplc="08090005" w:tentative="1">
      <w:start w:val="1"/>
      <w:numFmt w:val="bullet"/>
      <w:lvlText w:val=""/>
      <w:lvlJc w:val="left"/>
      <w:pPr>
        <w:ind w:left="5745" w:hanging="360"/>
      </w:pPr>
      <w:rPr>
        <w:rFonts w:ascii="Wingdings" w:hAnsi="Wingdings" w:hint="default"/>
      </w:rPr>
    </w:lvl>
    <w:lvl w:ilvl="6" w:tplc="08090001" w:tentative="1">
      <w:start w:val="1"/>
      <w:numFmt w:val="bullet"/>
      <w:lvlText w:val=""/>
      <w:lvlJc w:val="left"/>
      <w:pPr>
        <w:ind w:left="6465" w:hanging="360"/>
      </w:pPr>
      <w:rPr>
        <w:rFonts w:ascii="Symbol" w:hAnsi="Symbol" w:hint="default"/>
      </w:rPr>
    </w:lvl>
    <w:lvl w:ilvl="7" w:tplc="08090003" w:tentative="1">
      <w:start w:val="1"/>
      <w:numFmt w:val="bullet"/>
      <w:lvlText w:val="o"/>
      <w:lvlJc w:val="left"/>
      <w:pPr>
        <w:ind w:left="7185" w:hanging="360"/>
      </w:pPr>
      <w:rPr>
        <w:rFonts w:ascii="Courier New" w:hAnsi="Courier New" w:cs="Courier New" w:hint="default"/>
      </w:rPr>
    </w:lvl>
    <w:lvl w:ilvl="8" w:tplc="08090005" w:tentative="1">
      <w:start w:val="1"/>
      <w:numFmt w:val="bullet"/>
      <w:lvlText w:val=""/>
      <w:lvlJc w:val="left"/>
      <w:pPr>
        <w:ind w:left="7905" w:hanging="360"/>
      </w:pPr>
      <w:rPr>
        <w:rFonts w:ascii="Wingdings" w:hAnsi="Wingdings" w:hint="default"/>
      </w:rPr>
    </w:lvl>
  </w:abstractNum>
  <w:abstractNum w:abstractNumId="3" w15:restartNumberingAfterBreak="0">
    <w:nsid w:val="3E255B97"/>
    <w:multiLevelType w:val="hybridMultilevel"/>
    <w:tmpl w:val="83C0F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E2446D8"/>
    <w:multiLevelType w:val="hybridMultilevel"/>
    <w:tmpl w:val="2640D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AF7366"/>
    <w:multiLevelType w:val="hybridMultilevel"/>
    <w:tmpl w:val="8F5C52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2D2332F"/>
    <w:multiLevelType w:val="hybridMultilevel"/>
    <w:tmpl w:val="805230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6C22F38"/>
    <w:multiLevelType w:val="hybridMultilevel"/>
    <w:tmpl w:val="B652FF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15108075">
    <w:abstractNumId w:val="6"/>
  </w:num>
  <w:num w:numId="2" w16cid:durableId="114637811">
    <w:abstractNumId w:val="1"/>
  </w:num>
  <w:num w:numId="3" w16cid:durableId="281378471">
    <w:abstractNumId w:val="2"/>
  </w:num>
  <w:num w:numId="4" w16cid:durableId="1046030691">
    <w:abstractNumId w:val="5"/>
  </w:num>
  <w:num w:numId="5" w16cid:durableId="519200472">
    <w:abstractNumId w:val="3"/>
  </w:num>
  <w:num w:numId="6" w16cid:durableId="265042880">
    <w:abstractNumId w:val="7"/>
  </w:num>
  <w:num w:numId="7" w16cid:durableId="2050959423">
    <w:abstractNumId w:val="0"/>
  </w:num>
  <w:num w:numId="8" w16cid:durableId="1461531753">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23B"/>
    <w:rsid w:val="0000008E"/>
    <w:rsid w:val="00000C36"/>
    <w:rsid w:val="0000243F"/>
    <w:rsid w:val="00003EF8"/>
    <w:rsid w:val="00006D30"/>
    <w:rsid w:val="00013A13"/>
    <w:rsid w:val="00013E80"/>
    <w:rsid w:val="000254D5"/>
    <w:rsid w:val="00030EAB"/>
    <w:rsid w:val="00031E53"/>
    <w:rsid w:val="00032384"/>
    <w:rsid w:val="0003302D"/>
    <w:rsid w:val="00033C8F"/>
    <w:rsid w:val="00035B58"/>
    <w:rsid w:val="00035D26"/>
    <w:rsid w:val="00036983"/>
    <w:rsid w:val="00037E41"/>
    <w:rsid w:val="00040895"/>
    <w:rsid w:val="000420F7"/>
    <w:rsid w:val="00043514"/>
    <w:rsid w:val="0005678B"/>
    <w:rsid w:val="00056CA6"/>
    <w:rsid w:val="000577D1"/>
    <w:rsid w:val="00057B59"/>
    <w:rsid w:val="00061F27"/>
    <w:rsid w:val="00062E5C"/>
    <w:rsid w:val="00064CFF"/>
    <w:rsid w:val="000655EF"/>
    <w:rsid w:val="000670F8"/>
    <w:rsid w:val="00070F05"/>
    <w:rsid w:val="0007122E"/>
    <w:rsid w:val="00085EA3"/>
    <w:rsid w:val="0008791D"/>
    <w:rsid w:val="00090C34"/>
    <w:rsid w:val="000923A7"/>
    <w:rsid w:val="000A311B"/>
    <w:rsid w:val="000A4BCB"/>
    <w:rsid w:val="000A5F0E"/>
    <w:rsid w:val="000A621A"/>
    <w:rsid w:val="000A769F"/>
    <w:rsid w:val="000B1451"/>
    <w:rsid w:val="000B2928"/>
    <w:rsid w:val="000B2A9C"/>
    <w:rsid w:val="000B47FD"/>
    <w:rsid w:val="000B73D6"/>
    <w:rsid w:val="000C135F"/>
    <w:rsid w:val="000C4143"/>
    <w:rsid w:val="000C4958"/>
    <w:rsid w:val="000D3567"/>
    <w:rsid w:val="000D4B77"/>
    <w:rsid w:val="000E3837"/>
    <w:rsid w:val="000E3FF8"/>
    <w:rsid w:val="000F4669"/>
    <w:rsid w:val="000F47A3"/>
    <w:rsid w:val="000F4AA4"/>
    <w:rsid w:val="000F6E80"/>
    <w:rsid w:val="000F7EFC"/>
    <w:rsid w:val="0010040D"/>
    <w:rsid w:val="001021FE"/>
    <w:rsid w:val="00103A0B"/>
    <w:rsid w:val="0010443F"/>
    <w:rsid w:val="00111578"/>
    <w:rsid w:val="001144F6"/>
    <w:rsid w:val="001151A6"/>
    <w:rsid w:val="00115FE6"/>
    <w:rsid w:val="001164EA"/>
    <w:rsid w:val="00121098"/>
    <w:rsid w:val="00122539"/>
    <w:rsid w:val="00124887"/>
    <w:rsid w:val="00127076"/>
    <w:rsid w:val="00127E21"/>
    <w:rsid w:val="00133C92"/>
    <w:rsid w:val="00134ADD"/>
    <w:rsid w:val="00134AEE"/>
    <w:rsid w:val="0013726C"/>
    <w:rsid w:val="00143051"/>
    <w:rsid w:val="00143534"/>
    <w:rsid w:val="00143894"/>
    <w:rsid w:val="00144414"/>
    <w:rsid w:val="00147C8D"/>
    <w:rsid w:val="0015161F"/>
    <w:rsid w:val="00151A14"/>
    <w:rsid w:val="00152480"/>
    <w:rsid w:val="00152494"/>
    <w:rsid w:val="00157258"/>
    <w:rsid w:val="00157B0C"/>
    <w:rsid w:val="00161756"/>
    <w:rsid w:val="00161E65"/>
    <w:rsid w:val="00162787"/>
    <w:rsid w:val="00164B08"/>
    <w:rsid w:val="0016593C"/>
    <w:rsid w:val="00166951"/>
    <w:rsid w:val="00167AF9"/>
    <w:rsid w:val="00170FE0"/>
    <w:rsid w:val="001743E0"/>
    <w:rsid w:val="00180608"/>
    <w:rsid w:val="00180ABE"/>
    <w:rsid w:val="001816AD"/>
    <w:rsid w:val="00182912"/>
    <w:rsid w:val="00184E8E"/>
    <w:rsid w:val="001927A1"/>
    <w:rsid w:val="00195EEC"/>
    <w:rsid w:val="001A4944"/>
    <w:rsid w:val="001A6381"/>
    <w:rsid w:val="001A7C3F"/>
    <w:rsid w:val="001A7CD3"/>
    <w:rsid w:val="001B40D8"/>
    <w:rsid w:val="001B4673"/>
    <w:rsid w:val="001B7BB8"/>
    <w:rsid w:val="001C22B6"/>
    <w:rsid w:val="001C3377"/>
    <w:rsid w:val="001D0072"/>
    <w:rsid w:val="001D08CB"/>
    <w:rsid w:val="001D1373"/>
    <w:rsid w:val="001D3FA7"/>
    <w:rsid w:val="001D5676"/>
    <w:rsid w:val="001D6672"/>
    <w:rsid w:val="001E50A5"/>
    <w:rsid w:val="001F059A"/>
    <w:rsid w:val="001F0BA7"/>
    <w:rsid w:val="001F1692"/>
    <w:rsid w:val="001F18B2"/>
    <w:rsid w:val="001F36AC"/>
    <w:rsid w:val="001F4C15"/>
    <w:rsid w:val="001F7521"/>
    <w:rsid w:val="00201F55"/>
    <w:rsid w:val="00203FE1"/>
    <w:rsid w:val="00204F18"/>
    <w:rsid w:val="00205044"/>
    <w:rsid w:val="00205DAB"/>
    <w:rsid w:val="00210A74"/>
    <w:rsid w:val="00210DD0"/>
    <w:rsid w:val="002165C3"/>
    <w:rsid w:val="00216635"/>
    <w:rsid w:val="00220009"/>
    <w:rsid w:val="00227C21"/>
    <w:rsid w:val="0023041C"/>
    <w:rsid w:val="00231159"/>
    <w:rsid w:val="00231A56"/>
    <w:rsid w:val="002344C3"/>
    <w:rsid w:val="0024023B"/>
    <w:rsid w:val="002408F4"/>
    <w:rsid w:val="00243138"/>
    <w:rsid w:val="002432BE"/>
    <w:rsid w:val="0024473B"/>
    <w:rsid w:val="00244AAF"/>
    <w:rsid w:val="00245E4E"/>
    <w:rsid w:val="0024613C"/>
    <w:rsid w:val="0025258E"/>
    <w:rsid w:val="002556B6"/>
    <w:rsid w:val="00261CBD"/>
    <w:rsid w:val="00265166"/>
    <w:rsid w:val="00271FF3"/>
    <w:rsid w:val="00272B7F"/>
    <w:rsid w:val="00275377"/>
    <w:rsid w:val="002759E9"/>
    <w:rsid w:val="00276F98"/>
    <w:rsid w:val="0027732B"/>
    <w:rsid w:val="002806A2"/>
    <w:rsid w:val="00280F51"/>
    <w:rsid w:val="002839C0"/>
    <w:rsid w:val="00286734"/>
    <w:rsid w:val="00286878"/>
    <w:rsid w:val="002874B3"/>
    <w:rsid w:val="00287C4E"/>
    <w:rsid w:val="00297134"/>
    <w:rsid w:val="002A3097"/>
    <w:rsid w:val="002A5021"/>
    <w:rsid w:val="002A7C23"/>
    <w:rsid w:val="002B75E0"/>
    <w:rsid w:val="002C5206"/>
    <w:rsid w:val="002C6A45"/>
    <w:rsid w:val="002C7119"/>
    <w:rsid w:val="002D01AA"/>
    <w:rsid w:val="002D254B"/>
    <w:rsid w:val="002D48BC"/>
    <w:rsid w:val="002D5548"/>
    <w:rsid w:val="002D5694"/>
    <w:rsid w:val="002E077B"/>
    <w:rsid w:val="002E2A36"/>
    <w:rsid w:val="002E3D68"/>
    <w:rsid w:val="002E6C8B"/>
    <w:rsid w:val="002E7D44"/>
    <w:rsid w:val="002F55F7"/>
    <w:rsid w:val="00303923"/>
    <w:rsid w:val="00305BF2"/>
    <w:rsid w:val="00310035"/>
    <w:rsid w:val="0031397E"/>
    <w:rsid w:val="00315A61"/>
    <w:rsid w:val="00321F84"/>
    <w:rsid w:val="003301EA"/>
    <w:rsid w:val="00332BED"/>
    <w:rsid w:val="00334DB1"/>
    <w:rsid w:val="003364E5"/>
    <w:rsid w:val="00341EB2"/>
    <w:rsid w:val="003447F2"/>
    <w:rsid w:val="00347C84"/>
    <w:rsid w:val="00351E72"/>
    <w:rsid w:val="00362087"/>
    <w:rsid w:val="00362C61"/>
    <w:rsid w:val="00370AA8"/>
    <w:rsid w:val="00370CC9"/>
    <w:rsid w:val="00371E0A"/>
    <w:rsid w:val="00373361"/>
    <w:rsid w:val="00375D3E"/>
    <w:rsid w:val="003763D0"/>
    <w:rsid w:val="003801EE"/>
    <w:rsid w:val="003833C3"/>
    <w:rsid w:val="00384A00"/>
    <w:rsid w:val="00390CC7"/>
    <w:rsid w:val="00392C61"/>
    <w:rsid w:val="003941C0"/>
    <w:rsid w:val="003950ED"/>
    <w:rsid w:val="003A01EC"/>
    <w:rsid w:val="003A52FD"/>
    <w:rsid w:val="003A5798"/>
    <w:rsid w:val="003A5A01"/>
    <w:rsid w:val="003A5CD8"/>
    <w:rsid w:val="003A72FB"/>
    <w:rsid w:val="003A7FAB"/>
    <w:rsid w:val="003B0284"/>
    <w:rsid w:val="003B57C4"/>
    <w:rsid w:val="003C06F7"/>
    <w:rsid w:val="003C379C"/>
    <w:rsid w:val="003C566F"/>
    <w:rsid w:val="003C594E"/>
    <w:rsid w:val="003D21D6"/>
    <w:rsid w:val="003D2E72"/>
    <w:rsid w:val="003F191D"/>
    <w:rsid w:val="003F1CBF"/>
    <w:rsid w:val="003F60A4"/>
    <w:rsid w:val="004000C5"/>
    <w:rsid w:val="00400C45"/>
    <w:rsid w:val="004071AF"/>
    <w:rsid w:val="00421F87"/>
    <w:rsid w:val="00422F6C"/>
    <w:rsid w:val="00423E3E"/>
    <w:rsid w:val="00425FDA"/>
    <w:rsid w:val="00427FF5"/>
    <w:rsid w:val="00433D12"/>
    <w:rsid w:val="00434D86"/>
    <w:rsid w:val="00434F41"/>
    <w:rsid w:val="00435393"/>
    <w:rsid w:val="004358B2"/>
    <w:rsid w:val="00435C65"/>
    <w:rsid w:val="00442611"/>
    <w:rsid w:val="004434B2"/>
    <w:rsid w:val="00447057"/>
    <w:rsid w:val="00447ABF"/>
    <w:rsid w:val="00450CEC"/>
    <w:rsid w:val="00451269"/>
    <w:rsid w:val="004604BA"/>
    <w:rsid w:val="0046100C"/>
    <w:rsid w:val="0046405B"/>
    <w:rsid w:val="00465D64"/>
    <w:rsid w:val="0046625A"/>
    <w:rsid w:val="0046786D"/>
    <w:rsid w:val="004679DD"/>
    <w:rsid w:val="004736F8"/>
    <w:rsid w:val="00475688"/>
    <w:rsid w:val="0048299D"/>
    <w:rsid w:val="00482E13"/>
    <w:rsid w:val="004850B4"/>
    <w:rsid w:val="004866F7"/>
    <w:rsid w:val="0048734B"/>
    <w:rsid w:val="00487971"/>
    <w:rsid w:val="004905C6"/>
    <w:rsid w:val="004953AD"/>
    <w:rsid w:val="004A2889"/>
    <w:rsid w:val="004A2B0B"/>
    <w:rsid w:val="004A3B78"/>
    <w:rsid w:val="004A4DCE"/>
    <w:rsid w:val="004A6E26"/>
    <w:rsid w:val="004B022C"/>
    <w:rsid w:val="004B0773"/>
    <w:rsid w:val="004C2C76"/>
    <w:rsid w:val="004C393E"/>
    <w:rsid w:val="004C7ED3"/>
    <w:rsid w:val="004D22FF"/>
    <w:rsid w:val="004D41AA"/>
    <w:rsid w:val="004E3C58"/>
    <w:rsid w:val="004E4564"/>
    <w:rsid w:val="004E588B"/>
    <w:rsid w:val="004F01A5"/>
    <w:rsid w:val="004F038B"/>
    <w:rsid w:val="004F16CE"/>
    <w:rsid w:val="004F492D"/>
    <w:rsid w:val="004F7ADA"/>
    <w:rsid w:val="00501A6A"/>
    <w:rsid w:val="0050252B"/>
    <w:rsid w:val="0050260B"/>
    <w:rsid w:val="00506477"/>
    <w:rsid w:val="00507364"/>
    <w:rsid w:val="005100C2"/>
    <w:rsid w:val="005100F8"/>
    <w:rsid w:val="00510E48"/>
    <w:rsid w:val="00511F75"/>
    <w:rsid w:val="00512636"/>
    <w:rsid w:val="00514511"/>
    <w:rsid w:val="00515033"/>
    <w:rsid w:val="00516824"/>
    <w:rsid w:val="005169E8"/>
    <w:rsid w:val="005175D9"/>
    <w:rsid w:val="0052304B"/>
    <w:rsid w:val="005251B2"/>
    <w:rsid w:val="00526588"/>
    <w:rsid w:val="00526DB7"/>
    <w:rsid w:val="00530BBD"/>
    <w:rsid w:val="0054669B"/>
    <w:rsid w:val="00556AB4"/>
    <w:rsid w:val="00563143"/>
    <w:rsid w:val="0056521F"/>
    <w:rsid w:val="005714F1"/>
    <w:rsid w:val="0057243D"/>
    <w:rsid w:val="0057568A"/>
    <w:rsid w:val="0057672A"/>
    <w:rsid w:val="00580A29"/>
    <w:rsid w:val="00586401"/>
    <w:rsid w:val="005866EA"/>
    <w:rsid w:val="005904B6"/>
    <w:rsid w:val="0059157A"/>
    <w:rsid w:val="005927A5"/>
    <w:rsid w:val="00592EFC"/>
    <w:rsid w:val="00592F8F"/>
    <w:rsid w:val="00593131"/>
    <w:rsid w:val="00594616"/>
    <w:rsid w:val="005949A6"/>
    <w:rsid w:val="005950AA"/>
    <w:rsid w:val="00595586"/>
    <w:rsid w:val="005A03F3"/>
    <w:rsid w:val="005A12B7"/>
    <w:rsid w:val="005A4685"/>
    <w:rsid w:val="005A69E6"/>
    <w:rsid w:val="005B1CB6"/>
    <w:rsid w:val="005B47A5"/>
    <w:rsid w:val="005C0600"/>
    <w:rsid w:val="005C2B1A"/>
    <w:rsid w:val="005C5692"/>
    <w:rsid w:val="005C6244"/>
    <w:rsid w:val="005C6CFD"/>
    <w:rsid w:val="005C761B"/>
    <w:rsid w:val="005D6AA9"/>
    <w:rsid w:val="005E05B9"/>
    <w:rsid w:val="005F014A"/>
    <w:rsid w:val="005F1DF9"/>
    <w:rsid w:val="005F435E"/>
    <w:rsid w:val="005F46E6"/>
    <w:rsid w:val="005F502E"/>
    <w:rsid w:val="005F6AAD"/>
    <w:rsid w:val="00605658"/>
    <w:rsid w:val="006138C2"/>
    <w:rsid w:val="00623044"/>
    <w:rsid w:val="00623DCC"/>
    <w:rsid w:val="00625317"/>
    <w:rsid w:val="006258C7"/>
    <w:rsid w:val="00627748"/>
    <w:rsid w:val="00627981"/>
    <w:rsid w:val="00637551"/>
    <w:rsid w:val="006376F4"/>
    <w:rsid w:val="00651A19"/>
    <w:rsid w:val="006522B9"/>
    <w:rsid w:val="00654C20"/>
    <w:rsid w:val="00654E13"/>
    <w:rsid w:val="00663A90"/>
    <w:rsid w:val="006702C5"/>
    <w:rsid w:val="0067032F"/>
    <w:rsid w:val="00671600"/>
    <w:rsid w:val="00673234"/>
    <w:rsid w:val="00673E6E"/>
    <w:rsid w:val="006752AC"/>
    <w:rsid w:val="00677B58"/>
    <w:rsid w:val="006901A7"/>
    <w:rsid w:val="00690A4D"/>
    <w:rsid w:val="006917FC"/>
    <w:rsid w:val="00691EB6"/>
    <w:rsid w:val="00691F4B"/>
    <w:rsid w:val="0069210A"/>
    <w:rsid w:val="00694F0D"/>
    <w:rsid w:val="006A0CB7"/>
    <w:rsid w:val="006A1E95"/>
    <w:rsid w:val="006A46F2"/>
    <w:rsid w:val="006A568B"/>
    <w:rsid w:val="006A5B10"/>
    <w:rsid w:val="006B33D7"/>
    <w:rsid w:val="006B4355"/>
    <w:rsid w:val="006B50B6"/>
    <w:rsid w:val="006B67D5"/>
    <w:rsid w:val="006B6CD2"/>
    <w:rsid w:val="006B7B3A"/>
    <w:rsid w:val="006C286C"/>
    <w:rsid w:val="006C5425"/>
    <w:rsid w:val="006C6362"/>
    <w:rsid w:val="006C65CF"/>
    <w:rsid w:val="006C6BE0"/>
    <w:rsid w:val="006C7795"/>
    <w:rsid w:val="006D11E8"/>
    <w:rsid w:val="006D3FDC"/>
    <w:rsid w:val="006D6598"/>
    <w:rsid w:val="006E42CE"/>
    <w:rsid w:val="006E555D"/>
    <w:rsid w:val="006E68F8"/>
    <w:rsid w:val="006F3BE1"/>
    <w:rsid w:val="006F3C94"/>
    <w:rsid w:val="006F3D97"/>
    <w:rsid w:val="006F3F27"/>
    <w:rsid w:val="007068B4"/>
    <w:rsid w:val="0071233E"/>
    <w:rsid w:val="0071276E"/>
    <w:rsid w:val="0071365E"/>
    <w:rsid w:val="0071575B"/>
    <w:rsid w:val="0072486B"/>
    <w:rsid w:val="00724EE0"/>
    <w:rsid w:val="00727734"/>
    <w:rsid w:val="0072778E"/>
    <w:rsid w:val="00730495"/>
    <w:rsid w:val="0073179E"/>
    <w:rsid w:val="00734076"/>
    <w:rsid w:val="007355E9"/>
    <w:rsid w:val="007449A1"/>
    <w:rsid w:val="007450AF"/>
    <w:rsid w:val="0075041E"/>
    <w:rsid w:val="00751FB3"/>
    <w:rsid w:val="00752937"/>
    <w:rsid w:val="00754770"/>
    <w:rsid w:val="00757BED"/>
    <w:rsid w:val="00757CF4"/>
    <w:rsid w:val="00761D11"/>
    <w:rsid w:val="0076260B"/>
    <w:rsid w:val="00766744"/>
    <w:rsid w:val="007670A7"/>
    <w:rsid w:val="00767239"/>
    <w:rsid w:val="00767263"/>
    <w:rsid w:val="0076740D"/>
    <w:rsid w:val="00767BC8"/>
    <w:rsid w:val="007704F5"/>
    <w:rsid w:val="007728EF"/>
    <w:rsid w:val="00774434"/>
    <w:rsid w:val="00775901"/>
    <w:rsid w:val="00777CE2"/>
    <w:rsid w:val="00781BDE"/>
    <w:rsid w:val="00783731"/>
    <w:rsid w:val="007868D3"/>
    <w:rsid w:val="0079041B"/>
    <w:rsid w:val="007926F1"/>
    <w:rsid w:val="007954EF"/>
    <w:rsid w:val="007957F1"/>
    <w:rsid w:val="007A312E"/>
    <w:rsid w:val="007A32DF"/>
    <w:rsid w:val="007A5B34"/>
    <w:rsid w:val="007A5B93"/>
    <w:rsid w:val="007A76CE"/>
    <w:rsid w:val="007B2EBE"/>
    <w:rsid w:val="007B4C56"/>
    <w:rsid w:val="007C11BB"/>
    <w:rsid w:val="007D2E05"/>
    <w:rsid w:val="007D38BE"/>
    <w:rsid w:val="007D5763"/>
    <w:rsid w:val="007E0EEA"/>
    <w:rsid w:val="007E64E7"/>
    <w:rsid w:val="007F193C"/>
    <w:rsid w:val="008047E6"/>
    <w:rsid w:val="00806FD8"/>
    <w:rsid w:val="008129DE"/>
    <w:rsid w:val="00814067"/>
    <w:rsid w:val="00817BAD"/>
    <w:rsid w:val="00820049"/>
    <w:rsid w:val="008269E2"/>
    <w:rsid w:val="00826D0D"/>
    <w:rsid w:val="008320A7"/>
    <w:rsid w:val="00832424"/>
    <w:rsid w:val="008405C5"/>
    <w:rsid w:val="00841B72"/>
    <w:rsid w:val="00846584"/>
    <w:rsid w:val="00846BDA"/>
    <w:rsid w:val="008541C8"/>
    <w:rsid w:val="00854697"/>
    <w:rsid w:val="008610F8"/>
    <w:rsid w:val="00861D0A"/>
    <w:rsid w:val="00862A0A"/>
    <w:rsid w:val="008653D3"/>
    <w:rsid w:val="008670AC"/>
    <w:rsid w:val="00871D11"/>
    <w:rsid w:val="00872333"/>
    <w:rsid w:val="008756EA"/>
    <w:rsid w:val="008768B7"/>
    <w:rsid w:val="00884FB5"/>
    <w:rsid w:val="00885034"/>
    <w:rsid w:val="0088637C"/>
    <w:rsid w:val="00887B56"/>
    <w:rsid w:val="0089126A"/>
    <w:rsid w:val="008948EE"/>
    <w:rsid w:val="00896905"/>
    <w:rsid w:val="008A443E"/>
    <w:rsid w:val="008A6AB4"/>
    <w:rsid w:val="008A7F46"/>
    <w:rsid w:val="008B009A"/>
    <w:rsid w:val="008C01AB"/>
    <w:rsid w:val="008C0D69"/>
    <w:rsid w:val="008C5C42"/>
    <w:rsid w:val="008E17F9"/>
    <w:rsid w:val="008E27E8"/>
    <w:rsid w:val="008E492E"/>
    <w:rsid w:val="008E5F3B"/>
    <w:rsid w:val="008F0938"/>
    <w:rsid w:val="008F1A3B"/>
    <w:rsid w:val="008F1CBA"/>
    <w:rsid w:val="008F2171"/>
    <w:rsid w:val="008F280C"/>
    <w:rsid w:val="008F4F0A"/>
    <w:rsid w:val="009042E8"/>
    <w:rsid w:val="0090568D"/>
    <w:rsid w:val="0091773C"/>
    <w:rsid w:val="00920579"/>
    <w:rsid w:val="00922799"/>
    <w:rsid w:val="00927CF2"/>
    <w:rsid w:val="00931E67"/>
    <w:rsid w:val="009327A5"/>
    <w:rsid w:val="0094195D"/>
    <w:rsid w:val="00943273"/>
    <w:rsid w:val="00943FC3"/>
    <w:rsid w:val="009443A8"/>
    <w:rsid w:val="00950C96"/>
    <w:rsid w:val="009523B6"/>
    <w:rsid w:val="00954677"/>
    <w:rsid w:val="009559E1"/>
    <w:rsid w:val="00960501"/>
    <w:rsid w:val="00962734"/>
    <w:rsid w:val="00965148"/>
    <w:rsid w:val="00965320"/>
    <w:rsid w:val="009670D2"/>
    <w:rsid w:val="00972F34"/>
    <w:rsid w:val="00975B8D"/>
    <w:rsid w:val="0098072B"/>
    <w:rsid w:val="00984FB7"/>
    <w:rsid w:val="00985394"/>
    <w:rsid w:val="00987A29"/>
    <w:rsid w:val="009944E1"/>
    <w:rsid w:val="00996DE3"/>
    <w:rsid w:val="009978CD"/>
    <w:rsid w:val="00997A7C"/>
    <w:rsid w:val="009A00E6"/>
    <w:rsid w:val="009B06D8"/>
    <w:rsid w:val="009B38E9"/>
    <w:rsid w:val="009C03B8"/>
    <w:rsid w:val="009C0E61"/>
    <w:rsid w:val="009C1489"/>
    <w:rsid w:val="009C1C2B"/>
    <w:rsid w:val="009C3CCD"/>
    <w:rsid w:val="009C7B8C"/>
    <w:rsid w:val="009D046F"/>
    <w:rsid w:val="009D06C2"/>
    <w:rsid w:val="009D09F9"/>
    <w:rsid w:val="009D0BE5"/>
    <w:rsid w:val="009D22E7"/>
    <w:rsid w:val="009E09A9"/>
    <w:rsid w:val="009E2C62"/>
    <w:rsid w:val="009E58C1"/>
    <w:rsid w:val="009E5ED2"/>
    <w:rsid w:val="009F0334"/>
    <w:rsid w:val="009F0693"/>
    <w:rsid w:val="009F0E71"/>
    <w:rsid w:val="009F1541"/>
    <w:rsid w:val="009F2F93"/>
    <w:rsid w:val="009F32DC"/>
    <w:rsid w:val="009F4BD4"/>
    <w:rsid w:val="00A05CE0"/>
    <w:rsid w:val="00A1100F"/>
    <w:rsid w:val="00A14DB8"/>
    <w:rsid w:val="00A20C56"/>
    <w:rsid w:val="00A20DCD"/>
    <w:rsid w:val="00A24566"/>
    <w:rsid w:val="00A25844"/>
    <w:rsid w:val="00A2767B"/>
    <w:rsid w:val="00A3650A"/>
    <w:rsid w:val="00A3676F"/>
    <w:rsid w:val="00A37465"/>
    <w:rsid w:val="00A41BF8"/>
    <w:rsid w:val="00A4256E"/>
    <w:rsid w:val="00A44040"/>
    <w:rsid w:val="00A44066"/>
    <w:rsid w:val="00A4489A"/>
    <w:rsid w:val="00A46112"/>
    <w:rsid w:val="00A521C1"/>
    <w:rsid w:val="00A5281D"/>
    <w:rsid w:val="00A54075"/>
    <w:rsid w:val="00A56C42"/>
    <w:rsid w:val="00A57A5B"/>
    <w:rsid w:val="00A57A8C"/>
    <w:rsid w:val="00A57B42"/>
    <w:rsid w:val="00A57D6C"/>
    <w:rsid w:val="00A6084A"/>
    <w:rsid w:val="00A61599"/>
    <w:rsid w:val="00A63E8E"/>
    <w:rsid w:val="00A66837"/>
    <w:rsid w:val="00A75464"/>
    <w:rsid w:val="00A80A09"/>
    <w:rsid w:val="00A81717"/>
    <w:rsid w:val="00A84AEA"/>
    <w:rsid w:val="00A87945"/>
    <w:rsid w:val="00A95717"/>
    <w:rsid w:val="00A97374"/>
    <w:rsid w:val="00AA10AD"/>
    <w:rsid w:val="00AA1865"/>
    <w:rsid w:val="00AA1DB9"/>
    <w:rsid w:val="00AA7257"/>
    <w:rsid w:val="00AB0995"/>
    <w:rsid w:val="00AB5CCC"/>
    <w:rsid w:val="00AB5EDC"/>
    <w:rsid w:val="00AC24C6"/>
    <w:rsid w:val="00AC3205"/>
    <w:rsid w:val="00AC7BF9"/>
    <w:rsid w:val="00AD4466"/>
    <w:rsid w:val="00AE4382"/>
    <w:rsid w:val="00AE72DC"/>
    <w:rsid w:val="00AE7981"/>
    <w:rsid w:val="00AF2B2C"/>
    <w:rsid w:val="00AF53A9"/>
    <w:rsid w:val="00AF5540"/>
    <w:rsid w:val="00B049EC"/>
    <w:rsid w:val="00B058BF"/>
    <w:rsid w:val="00B14F61"/>
    <w:rsid w:val="00B16241"/>
    <w:rsid w:val="00B24E2D"/>
    <w:rsid w:val="00B25B00"/>
    <w:rsid w:val="00B265CE"/>
    <w:rsid w:val="00B27ADE"/>
    <w:rsid w:val="00B27C9E"/>
    <w:rsid w:val="00B33023"/>
    <w:rsid w:val="00B34CE1"/>
    <w:rsid w:val="00B37993"/>
    <w:rsid w:val="00B41F91"/>
    <w:rsid w:val="00B42899"/>
    <w:rsid w:val="00B50597"/>
    <w:rsid w:val="00B527D4"/>
    <w:rsid w:val="00B62AA9"/>
    <w:rsid w:val="00B62EA2"/>
    <w:rsid w:val="00B7417D"/>
    <w:rsid w:val="00B74227"/>
    <w:rsid w:val="00B75E5B"/>
    <w:rsid w:val="00B76608"/>
    <w:rsid w:val="00B80025"/>
    <w:rsid w:val="00B81FE8"/>
    <w:rsid w:val="00B85391"/>
    <w:rsid w:val="00B87509"/>
    <w:rsid w:val="00B87869"/>
    <w:rsid w:val="00B90604"/>
    <w:rsid w:val="00B91C50"/>
    <w:rsid w:val="00BA1EBA"/>
    <w:rsid w:val="00BA5688"/>
    <w:rsid w:val="00BA6894"/>
    <w:rsid w:val="00BA7495"/>
    <w:rsid w:val="00BB07AE"/>
    <w:rsid w:val="00BB15E3"/>
    <w:rsid w:val="00BC0A7E"/>
    <w:rsid w:val="00BC1F80"/>
    <w:rsid w:val="00BC3BE2"/>
    <w:rsid w:val="00BC6CD4"/>
    <w:rsid w:val="00BD0BB2"/>
    <w:rsid w:val="00BD3541"/>
    <w:rsid w:val="00BD5E24"/>
    <w:rsid w:val="00BD7BC3"/>
    <w:rsid w:val="00BE12B0"/>
    <w:rsid w:val="00BE4120"/>
    <w:rsid w:val="00BE681B"/>
    <w:rsid w:val="00BE697D"/>
    <w:rsid w:val="00BF08B7"/>
    <w:rsid w:val="00BF1499"/>
    <w:rsid w:val="00BF50E3"/>
    <w:rsid w:val="00BF6F2C"/>
    <w:rsid w:val="00BF7B6C"/>
    <w:rsid w:val="00C02A50"/>
    <w:rsid w:val="00C05D71"/>
    <w:rsid w:val="00C06F77"/>
    <w:rsid w:val="00C114A2"/>
    <w:rsid w:val="00C11ABD"/>
    <w:rsid w:val="00C16805"/>
    <w:rsid w:val="00C20CD1"/>
    <w:rsid w:val="00C2312D"/>
    <w:rsid w:val="00C24091"/>
    <w:rsid w:val="00C26C8D"/>
    <w:rsid w:val="00C34EC9"/>
    <w:rsid w:val="00C353E7"/>
    <w:rsid w:val="00C35915"/>
    <w:rsid w:val="00C5333C"/>
    <w:rsid w:val="00C55D2D"/>
    <w:rsid w:val="00C56496"/>
    <w:rsid w:val="00C56882"/>
    <w:rsid w:val="00C653C5"/>
    <w:rsid w:val="00C701B1"/>
    <w:rsid w:val="00C7095A"/>
    <w:rsid w:val="00C71337"/>
    <w:rsid w:val="00C749EF"/>
    <w:rsid w:val="00C77AF4"/>
    <w:rsid w:val="00C856A0"/>
    <w:rsid w:val="00C87454"/>
    <w:rsid w:val="00C9084A"/>
    <w:rsid w:val="00CA031A"/>
    <w:rsid w:val="00CA06F0"/>
    <w:rsid w:val="00CA55D5"/>
    <w:rsid w:val="00CA55E6"/>
    <w:rsid w:val="00CA6418"/>
    <w:rsid w:val="00CA6A2C"/>
    <w:rsid w:val="00CB256D"/>
    <w:rsid w:val="00CB584D"/>
    <w:rsid w:val="00CB5F03"/>
    <w:rsid w:val="00CB73F5"/>
    <w:rsid w:val="00CC186F"/>
    <w:rsid w:val="00CC43E8"/>
    <w:rsid w:val="00CC7B31"/>
    <w:rsid w:val="00CC7F51"/>
    <w:rsid w:val="00CD076C"/>
    <w:rsid w:val="00CD3FC1"/>
    <w:rsid w:val="00CD4966"/>
    <w:rsid w:val="00CD60CA"/>
    <w:rsid w:val="00CE101B"/>
    <w:rsid w:val="00CE1358"/>
    <w:rsid w:val="00CE37B6"/>
    <w:rsid w:val="00CE39E9"/>
    <w:rsid w:val="00CE4290"/>
    <w:rsid w:val="00CE42A3"/>
    <w:rsid w:val="00CE7915"/>
    <w:rsid w:val="00CF1DED"/>
    <w:rsid w:val="00CF2801"/>
    <w:rsid w:val="00CF39EE"/>
    <w:rsid w:val="00CF532B"/>
    <w:rsid w:val="00CF72B5"/>
    <w:rsid w:val="00CF794B"/>
    <w:rsid w:val="00D01838"/>
    <w:rsid w:val="00D019CA"/>
    <w:rsid w:val="00D02F3D"/>
    <w:rsid w:val="00D06C97"/>
    <w:rsid w:val="00D110A8"/>
    <w:rsid w:val="00D128B1"/>
    <w:rsid w:val="00D14F37"/>
    <w:rsid w:val="00D162D3"/>
    <w:rsid w:val="00D16939"/>
    <w:rsid w:val="00D20B8F"/>
    <w:rsid w:val="00D2100F"/>
    <w:rsid w:val="00D212A6"/>
    <w:rsid w:val="00D224A5"/>
    <w:rsid w:val="00D24C16"/>
    <w:rsid w:val="00D267D8"/>
    <w:rsid w:val="00D30A31"/>
    <w:rsid w:val="00D330F3"/>
    <w:rsid w:val="00D366EC"/>
    <w:rsid w:val="00D36D08"/>
    <w:rsid w:val="00D37F49"/>
    <w:rsid w:val="00D4214C"/>
    <w:rsid w:val="00D45082"/>
    <w:rsid w:val="00D454A0"/>
    <w:rsid w:val="00D512CC"/>
    <w:rsid w:val="00D51B87"/>
    <w:rsid w:val="00D5222B"/>
    <w:rsid w:val="00D56430"/>
    <w:rsid w:val="00D56A11"/>
    <w:rsid w:val="00D57176"/>
    <w:rsid w:val="00D604C7"/>
    <w:rsid w:val="00D61BD7"/>
    <w:rsid w:val="00D62729"/>
    <w:rsid w:val="00D659A8"/>
    <w:rsid w:val="00D72452"/>
    <w:rsid w:val="00D73B7E"/>
    <w:rsid w:val="00D80578"/>
    <w:rsid w:val="00D81FB6"/>
    <w:rsid w:val="00D82912"/>
    <w:rsid w:val="00D85325"/>
    <w:rsid w:val="00D8544A"/>
    <w:rsid w:val="00DA2804"/>
    <w:rsid w:val="00DA372F"/>
    <w:rsid w:val="00DA4C86"/>
    <w:rsid w:val="00DA6DED"/>
    <w:rsid w:val="00DA771B"/>
    <w:rsid w:val="00DB08F6"/>
    <w:rsid w:val="00DB4023"/>
    <w:rsid w:val="00DB446E"/>
    <w:rsid w:val="00DB6E4D"/>
    <w:rsid w:val="00DB7279"/>
    <w:rsid w:val="00DB7424"/>
    <w:rsid w:val="00DC1E86"/>
    <w:rsid w:val="00DC665D"/>
    <w:rsid w:val="00DD0191"/>
    <w:rsid w:val="00DD1793"/>
    <w:rsid w:val="00DD18F5"/>
    <w:rsid w:val="00DD1D20"/>
    <w:rsid w:val="00DD25F4"/>
    <w:rsid w:val="00DD3CB5"/>
    <w:rsid w:val="00DD4BF7"/>
    <w:rsid w:val="00DE0836"/>
    <w:rsid w:val="00DE2526"/>
    <w:rsid w:val="00DE25D8"/>
    <w:rsid w:val="00DF1004"/>
    <w:rsid w:val="00DF27BF"/>
    <w:rsid w:val="00DF4E94"/>
    <w:rsid w:val="00DF605E"/>
    <w:rsid w:val="00DF65D1"/>
    <w:rsid w:val="00DF6605"/>
    <w:rsid w:val="00E03C5E"/>
    <w:rsid w:val="00E042B1"/>
    <w:rsid w:val="00E05F2D"/>
    <w:rsid w:val="00E06697"/>
    <w:rsid w:val="00E11E41"/>
    <w:rsid w:val="00E20A01"/>
    <w:rsid w:val="00E25F91"/>
    <w:rsid w:val="00E36323"/>
    <w:rsid w:val="00E36775"/>
    <w:rsid w:val="00E433C8"/>
    <w:rsid w:val="00E4777D"/>
    <w:rsid w:val="00E47F21"/>
    <w:rsid w:val="00E50A98"/>
    <w:rsid w:val="00E513B4"/>
    <w:rsid w:val="00E5413F"/>
    <w:rsid w:val="00E541AF"/>
    <w:rsid w:val="00E64802"/>
    <w:rsid w:val="00E65624"/>
    <w:rsid w:val="00E723D9"/>
    <w:rsid w:val="00E72981"/>
    <w:rsid w:val="00E74586"/>
    <w:rsid w:val="00E76296"/>
    <w:rsid w:val="00E764E3"/>
    <w:rsid w:val="00E7674F"/>
    <w:rsid w:val="00E828B1"/>
    <w:rsid w:val="00E83159"/>
    <w:rsid w:val="00E85561"/>
    <w:rsid w:val="00E85DCA"/>
    <w:rsid w:val="00E86067"/>
    <w:rsid w:val="00E86D10"/>
    <w:rsid w:val="00E900BF"/>
    <w:rsid w:val="00E90C7B"/>
    <w:rsid w:val="00E924B8"/>
    <w:rsid w:val="00E92723"/>
    <w:rsid w:val="00E927D8"/>
    <w:rsid w:val="00E9611C"/>
    <w:rsid w:val="00EA1657"/>
    <w:rsid w:val="00EA2923"/>
    <w:rsid w:val="00EA76F7"/>
    <w:rsid w:val="00EC083D"/>
    <w:rsid w:val="00EC323B"/>
    <w:rsid w:val="00ED1709"/>
    <w:rsid w:val="00ED3663"/>
    <w:rsid w:val="00ED75F1"/>
    <w:rsid w:val="00EE34E4"/>
    <w:rsid w:val="00EE3B41"/>
    <w:rsid w:val="00EE5B01"/>
    <w:rsid w:val="00EF1409"/>
    <w:rsid w:val="00F0025E"/>
    <w:rsid w:val="00F02A16"/>
    <w:rsid w:val="00F042CD"/>
    <w:rsid w:val="00F07CC3"/>
    <w:rsid w:val="00F15403"/>
    <w:rsid w:val="00F1567D"/>
    <w:rsid w:val="00F15C30"/>
    <w:rsid w:val="00F162C1"/>
    <w:rsid w:val="00F22D29"/>
    <w:rsid w:val="00F22DE7"/>
    <w:rsid w:val="00F22FA8"/>
    <w:rsid w:val="00F24C15"/>
    <w:rsid w:val="00F256C4"/>
    <w:rsid w:val="00F26E1B"/>
    <w:rsid w:val="00F3621A"/>
    <w:rsid w:val="00F4143C"/>
    <w:rsid w:val="00F417DD"/>
    <w:rsid w:val="00F4369E"/>
    <w:rsid w:val="00F453E2"/>
    <w:rsid w:val="00F4597A"/>
    <w:rsid w:val="00F468C5"/>
    <w:rsid w:val="00F47E9B"/>
    <w:rsid w:val="00F50040"/>
    <w:rsid w:val="00F51CF8"/>
    <w:rsid w:val="00F529C0"/>
    <w:rsid w:val="00F5311C"/>
    <w:rsid w:val="00F610F6"/>
    <w:rsid w:val="00F61B51"/>
    <w:rsid w:val="00F61BEB"/>
    <w:rsid w:val="00F63AB9"/>
    <w:rsid w:val="00F65B92"/>
    <w:rsid w:val="00F66D09"/>
    <w:rsid w:val="00F71A2D"/>
    <w:rsid w:val="00F7426E"/>
    <w:rsid w:val="00F777AA"/>
    <w:rsid w:val="00F81927"/>
    <w:rsid w:val="00F82A54"/>
    <w:rsid w:val="00F92CB0"/>
    <w:rsid w:val="00F95343"/>
    <w:rsid w:val="00F96C5B"/>
    <w:rsid w:val="00F97D56"/>
    <w:rsid w:val="00FA0AC4"/>
    <w:rsid w:val="00FA4773"/>
    <w:rsid w:val="00FA4891"/>
    <w:rsid w:val="00FA7C25"/>
    <w:rsid w:val="00FB0662"/>
    <w:rsid w:val="00FB197E"/>
    <w:rsid w:val="00FB602B"/>
    <w:rsid w:val="00FC4415"/>
    <w:rsid w:val="00FC7B2E"/>
    <w:rsid w:val="00FC7E69"/>
    <w:rsid w:val="00FD2C96"/>
    <w:rsid w:val="00FD41F5"/>
    <w:rsid w:val="00FD597D"/>
    <w:rsid w:val="00FD5BDE"/>
    <w:rsid w:val="00FD663D"/>
    <w:rsid w:val="00FE060E"/>
    <w:rsid w:val="00FE3D19"/>
    <w:rsid w:val="00FE4C72"/>
    <w:rsid w:val="00FE4FEA"/>
    <w:rsid w:val="00FE7EE6"/>
    <w:rsid w:val="00FF02FB"/>
    <w:rsid w:val="00FF04E4"/>
    <w:rsid w:val="00FF15E9"/>
    <w:rsid w:val="00FF23E8"/>
    <w:rsid w:val="00FF3837"/>
    <w:rsid w:val="00FF3985"/>
    <w:rsid w:val="00FF39E7"/>
    <w:rsid w:val="00FF4B8A"/>
    <w:rsid w:val="00FF5FEE"/>
    <w:rsid w:val="00FF68D2"/>
    <w:rsid w:val="00FF6972"/>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156AD"/>
  <w15:docId w15:val="{A59F3526-B9EE-47E7-8FC5-68EC80922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0AF"/>
    <w:rPr>
      <w:rFonts w:ascii="Times New Roman" w:eastAsia="Times New Roman" w:hAnsi="Times New Roman"/>
      <w:sz w:val="24"/>
      <w:szCs w:val="24"/>
      <w:lang w:val="en-US" w:eastAsia="zh-TW"/>
    </w:rPr>
  </w:style>
  <w:style w:type="paragraph" w:styleId="Heading2">
    <w:name w:val="heading 2"/>
    <w:basedOn w:val="Normal"/>
    <w:next w:val="Normal"/>
    <w:link w:val="Heading2Char"/>
    <w:uiPriority w:val="9"/>
    <w:semiHidden/>
    <w:unhideWhenUsed/>
    <w:qFormat/>
    <w:rsid w:val="00B91C50"/>
    <w:pPr>
      <w:keepNext/>
      <w:keepLines/>
      <w:spacing w:before="200" w:line="276" w:lineRule="auto"/>
      <w:outlineLvl w:val="1"/>
    </w:pPr>
    <w:rPr>
      <w:rFonts w:ascii="Cambria" w:hAnsi="Cambria"/>
      <w:b/>
      <w:bCs/>
      <w:color w:val="4F81BD"/>
      <w:sz w:val="26"/>
      <w:szCs w:val="26"/>
      <w:lang w:val="en-GB" w:eastAsia="en-US"/>
    </w:rPr>
  </w:style>
  <w:style w:type="paragraph" w:styleId="Heading3">
    <w:name w:val="heading 3"/>
    <w:basedOn w:val="Normal"/>
    <w:next w:val="Normal"/>
    <w:link w:val="Heading3Char"/>
    <w:uiPriority w:val="9"/>
    <w:semiHidden/>
    <w:unhideWhenUsed/>
    <w:qFormat/>
    <w:rsid w:val="00C2312D"/>
    <w:pPr>
      <w:keepNext/>
      <w:spacing w:before="240" w:after="60" w:line="276" w:lineRule="auto"/>
      <w:outlineLvl w:val="2"/>
    </w:pPr>
    <w:rPr>
      <w:rFonts w:ascii="Cambria" w:hAnsi="Cambria"/>
      <w:b/>
      <w:bCs/>
      <w:sz w:val="26"/>
      <w:szCs w:val="26"/>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FF39E7"/>
    <w:rPr>
      <w:color w:val="0000FF"/>
      <w:u w:val="single"/>
    </w:rPr>
  </w:style>
  <w:style w:type="paragraph" w:customStyle="1" w:styleId="PaperTitle">
    <w:name w:val="PaperTitle"/>
    <w:basedOn w:val="Normal"/>
    <w:link w:val="PaperTitleChar"/>
    <w:qFormat/>
    <w:rsid w:val="00FF39E7"/>
    <w:pPr>
      <w:spacing w:after="360"/>
      <w:jc w:val="center"/>
    </w:pPr>
    <w:rPr>
      <w:rFonts w:eastAsia="Calibri"/>
      <w:b/>
      <w:caps/>
      <w:sz w:val="36"/>
      <w:szCs w:val="36"/>
      <w:lang w:val="en-GB" w:eastAsia="en-US"/>
    </w:rPr>
  </w:style>
  <w:style w:type="paragraph" w:customStyle="1" w:styleId="PaperAuthor">
    <w:name w:val="PaperAuthor"/>
    <w:basedOn w:val="PaperTitle"/>
    <w:link w:val="PaperAuthorChar"/>
    <w:qFormat/>
    <w:rsid w:val="00FF39E7"/>
    <w:pPr>
      <w:spacing w:after="240"/>
    </w:pPr>
    <w:rPr>
      <w:i/>
      <w:caps w:val="0"/>
      <w:sz w:val="24"/>
    </w:rPr>
  </w:style>
  <w:style w:type="character" w:customStyle="1" w:styleId="PaperTitleChar">
    <w:name w:val="PaperTitle Char"/>
    <w:link w:val="PaperTitle"/>
    <w:rsid w:val="00FF39E7"/>
    <w:rPr>
      <w:rFonts w:ascii="Times New Roman" w:eastAsia="Calibri" w:hAnsi="Times New Roman" w:cs="Times New Roman"/>
      <w:b/>
      <w:caps/>
      <w:sz w:val="36"/>
      <w:szCs w:val="36"/>
    </w:rPr>
  </w:style>
  <w:style w:type="character" w:customStyle="1" w:styleId="PaperAuthorChar">
    <w:name w:val="PaperAuthor Char"/>
    <w:link w:val="PaperAuthor"/>
    <w:rsid w:val="00FF39E7"/>
    <w:rPr>
      <w:rFonts w:ascii="Times New Roman" w:eastAsia="Calibri" w:hAnsi="Times New Roman" w:cs="Times New Roman"/>
      <w:b/>
      <w:i/>
      <w:sz w:val="24"/>
      <w:szCs w:val="36"/>
    </w:rPr>
  </w:style>
  <w:style w:type="paragraph" w:customStyle="1" w:styleId="PaperAffiliations">
    <w:name w:val="PaperAffiliations"/>
    <w:basedOn w:val="PaperAuthor"/>
    <w:link w:val="PaperAffiliationsChar"/>
    <w:qFormat/>
    <w:rsid w:val="00FF39E7"/>
    <w:rPr>
      <w:rFonts w:eastAsia="Courier New"/>
      <w:b w:val="0"/>
      <w:sz w:val="20"/>
      <w:szCs w:val="20"/>
    </w:rPr>
  </w:style>
  <w:style w:type="paragraph" w:customStyle="1" w:styleId="PaperParagraphs">
    <w:name w:val="PaperParagraphs"/>
    <w:basedOn w:val="Normal"/>
    <w:link w:val="PaperParagraphsChar"/>
    <w:qFormat/>
    <w:rsid w:val="00FF39E7"/>
    <w:pPr>
      <w:spacing w:after="120"/>
      <w:jc w:val="both"/>
    </w:pPr>
    <w:rPr>
      <w:rFonts w:eastAsia="Calibri"/>
      <w:sz w:val="20"/>
      <w:szCs w:val="20"/>
      <w:lang w:val="en-GB" w:eastAsia="en-US"/>
    </w:rPr>
  </w:style>
  <w:style w:type="character" w:customStyle="1" w:styleId="PaperAffiliationsChar">
    <w:name w:val="PaperAffiliations Char"/>
    <w:link w:val="PaperAffiliations"/>
    <w:rsid w:val="00FF39E7"/>
    <w:rPr>
      <w:rFonts w:ascii="Times New Roman" w:eastAsia="Courier New" w:hAnsi="Times New Roman" w:cs="Times New Roman"/>
      <w:i/>
      <w:sz w:val="20"/>
      <w:szCs w:val="20"/>
    </w:rPr>
  </w:style>
  <w:style w:type="character" w:customStyle="1" w:styleId="PaperParagraphsChar">
    <w:name w:val="PaperParagraphs Char"/>
    <w:link w:val="PaperParagraphs"/>
    <w:rsid w:val="00FF39E7"/>
    <w:rPr>
      <w:rFonts w:ascii="Times New Roman" w:eastAsia="Calibri" w:hAnsi="Times New Roman" w:cs="Times New Roman"/>
      <w:sz w:val="20"/>
      <w:szCs w:val="20"/>
    </w:rPr>
  </w:style>
  <w:style w:type="paragraph" w:customStyle="1" w:styleId="PaperHeading">
    <w:name w:val="PaperHeading"/>
    <w:basedOn w:val="PaperParagraphs"/>
    <w:link w:val="PaperHeadingChar"/>
    <w:qFormat/>
    <w:rsid w:val="00FF39E7"/>
    <w:pPr>
      <w:keepNext/>
      <w:tabs>
        <w:tab w:val="left" w:pos="426"/>
      </w:tabs>
    </w:pPr>
    <w:rPr>
      <w:b/>
      <w:sz w:val="24"/>
      <w:szCs w:val="22"/>
    </w:rPr>
  </w:style>
  <w:style w:type="character" w:customStyle="1" w:styleId="PaperHeadingChar">
    <w:name w:val="PaperHeading Char"/>
    <w:link w:val="PaperHeading"/>
    <w:rsid w:val="00FF39E7"/>
    <w:rPr>
      <w:rFonts w:ascii="Times New Roman" w:eastAsia="Calibri" w:hAnsi="Times New Roman" w:cs="Times New Roman"/>
      <w:b/>
      <w:sz w:val="24"/>
    </w:rPr>
  </w:style>
  <w:style w:type="paragraph" w:styleId="NoSpacing">
    <w:name w:val="No Spacing"/>
    <w:uiPriority w:val="1"/>
    <w:qFormat/>
    <w:rsid w:val="00FF39E7"/>
    <w:rPr>
      <w:sz w:val="22"/>
      <w:szCs w:val="22"/>
      <w:lang w:eastAsia="en-US"/>
    </w:rPr>
  </w:style>
  <w:style w:type="paragraph" w:styleId="Header">
    <w:name w:val="header"/>
    <w:basedOn w:val="Normal"/>
    <w:link w:val="HeaderChar"/>
    <w:unhideWhenUsed/>
    <w:rsid w:val="006A1E95"/>
    <w:pPr>
      <w:tabs>
        <w:tab w:val="center" w:pos="4513"/>
        <w:tab w:val="right" w:pos="9026"/>
      </w:tabs>
    </w:pPr>
    <w:rPr>
      <w:rFonts w:ascii="Calibri" w:eastAsia="Calibri" w:hAnsi="Calibri"/>
      <w:sz w:val="22"/>
      <w:szCs w:val="22"/>
      <w:lang w:val="en-GB" w:eastAsia="en-US"/>
    </w:rPr>
  </w:style>
  <w:style w:type="character" w:customStyle="1" w:styleId="HeaderChar">
    <w:name w:val="Header Char"/>
    <w:basedOn w:val="DefaultParagraphFont"/>
    <w:link w:val="Header"/>
    <w:rsid w:val="006A1E95"/>
  </w:style>
  <w:style w:type="paragraph" w:styleId="Footer">
    <w:name w:val="footer"/>
    <w:basedOn w:val="Normal"/>
    <w:link w:val="FooterChar"/>
    <w:uiPriority w:val="99"/>
    <w:unhideWhenUsed/>
    <w:rsid w:val="006A1E95"/>
    <w:pPr>
      <w:tabs>
        <w:tab w:val="center" w:pos="4513"/>
        <w:tab w:val="right" w:pos="9026"/>
      </w:tabs>
    </w:pPr>
    <w:rPr>
      <w:rFonts w:ascii="Calibri" w:eastAsia="Calibri" w:hAnsi="Calibri"/>
      <w:sz w:val="22"/>
      <w:szCs w:val="22"/>
      <w:lang w:val="en-GB" w:eastAsia="en-US"/>
    </w:rPr>
  </w:style>
  <w:style w:type="character" w:customStyle="1" w:styleId="FooterChar">
    <w:name w:val="Footer Char"/>
    <w:basedOn w:val="DefaultParagraphFont"/>
    <w:link w:val="Footer"/>
    <w:uiPriority w:val="99"/>
    <w:rsid w:val="006A1E95"/>
  </w:style>
  <w:style w:type="paragraph" w:styleId="BalloonText">
    <w:name w:val="Balloon Text"/>
    <w:basedOn w:val="Normal"/>
    <w:link w:val="BalloonTextChar"/>
    <w:uiPriority w:val="99"/>
    <w:semiHidden/>
    <w:unhideWhenUsed/>
    <w:rsid w:val="006A1E95"/>
    <w:rPr>
      <w:rFonts w:ascii="Tahoma" w:eastAsia="Calibri" w:hAnsi="Tahoma" w:cs="Tahoma"/>
      <w:sz w:val="16"/>
      <w:szCs w:val="16"/>
      <w:lang w:val="en-GB" w:eastAsia="en-US"/>
    </w:rPr>
  </w:style>
  <w:style w:type="character" w:customStyle="1" w:styleId="BalloonTextChar">
    <w:name w:val="Balloon Text Char"/>
    <w:link w:val="BalloonText"/>
    <w:uiPriority w:val="99"/>
    <w:semiHidden/>
    <w:rsid w:val="006A1E95"/>
    <w:rPr>
      <w:rFonts w:ascii="Tahoma" w:hAnsi="Tahoma" w:cs="Tahoma"/>
      <w:sz w:val="16"/>
      <w:szCs w:val="16"/>
    </w:rPr>
  </w:style>
  <w:style w:type="paragraph" w:customStyle="1" w:styleId="IETHeading1">
    <w:name w:val="IET Heading 1"/>
    <w:basedOn w:val="Heading2"/>
    <w:qFormat/>
    <w:rsid w:val="00B91C50"/>
    <w:pPr>
      <w:keepLines w:val="0"/>
      <w:numPr>
        <w:numId w:val="2"/>
      </w:numPr>
      <w:tabs>
        <w:tab w:val="num" w:pos="360"/>
      </w:tabs>
      <w:spacing w:before="240" w:after="60" w:line="240" w:lineRule="auto"/>
      <w:ind w:left="0" w:firstLine="0"/>
    </w:pPr>
    <w:rPr>
      <w:rFonts w:ascii="Times New Roman" w:eastAsia="SimSun" w:hAnsi="Times New Roman"/>
      <w:iCs/>
      <w:color w:val="auto"/>
      <w:sz w:val="24"/>
      <w:szCs w:val="28"/>
      <w:lang w:val="en-AU" w:eastAsia="zh-CN"/>
    </w:rPr>
  </w:style>
  <w:style w:type="paragraph" w:customStyle="1" w:styleId="IETParagraph">
    <w:name w:val="IET Paragraph"/>
    <w:basedOn w:val="Normal"/>
    <w:qFormat/>
    <w:rsid w:val="00B91C50"/>
    <w:pPr>
      <w:jc w:val="both"/>
    </w:pPr>
    <w:rPr>
      <w:rFonts w:eastAsia="SimSun"/>
      <w:lang w:val="en-AU" w:eastAsia="zh-CN"/>
    </w:rPr>
  </w:style>
  <w:style w:type="paragraph" w:customStyle="1" w:styleId="IETHeading2">
    <w:name w:val="IET Heading 2"/>
    <w:basedOn w:val="Normal"/>
    <w:qFormat/>
    <w:rsid w:val="00B91C50"/>
    <w:pPr>
      <w:numPr>
        <w:ilvl w:val="1"/>
        <w:numId w:val="2"/>
      </w:numPr>
      <w:spacing w:before="240" w:after="60"/>
      <w:ind w:left="0" w:firstLine="0"/>
    </w:pPr>
    <w:rPr>
      <w:rFonts w:eastAsia="SimSun"/>
      <w:i/>
      <w:sz w:val="22"/>
      <w:lang w:val="en-AU" w:eastAsia="zh-CN"/>
    </w:rPr>
  </w:style>
  <w:style w:type="character" w:styleId="Strong">
    <w:name w:val="Strong"/>
    <w:uiPriority w:val="22"/>
    <w:qFormat/>
    <w:rsid w:val="00B91C50"/>
    <w:rPr>
      <w:b/>
      <w:bCs/>
    </w:rPr>
  </w:style>
  <w:style w:type="character" w:customStyle="1" w:styleId="apple-converted-space">
    <w:name w:val="apple-converted-space"/>
    <w:rsid w:val="00B91C50"/>
  </w:style>
  <w:style w:type="character" w:customStyle="1" w:styleId="Heading2Char">
    <w:name w:val="Heading 2 Char"/>
    <w:link w:val="Heading2"/>
    <w:uiPriority w:val="9"/>
    <w:semiHidden/>
    <w:rsid w:val="00B91C50"/>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sid w:val="00C2312D"/>
    <w:rPr>
      <w:rFonts w:ascii="Cambria" w:eastAsia="Times New Roman" w:hAnsi="Cambria" w:cs="Times New Roman"/>
      <w:b/>
      <w:bCs/>
      <w:sz w:val="26"/>
      <w:szCs w:val="26"/>
      <w:lang w:eastAsia="en-US"/>
    </w:rPr>
  </w:style>
  <w:style w:type="character" w:styleId="CommentReference">
    <w:name w:val="annotation reference"/>
    <w:uiPriority w:val="99"/>
    <w:semiHidden/>
    <w:unhideWhenUsed/>
    <w:rsid w:val="009F32DC"/>
    <w:rPr>
      <w:sz w:val="16"/>
      <w:szCs w:val="16"/>
    </w:rPr>
  </w:style>
  <w:style w:type="paragraph" w:styleId="CommentText">
    <w:name w:val="annotation text"/>
    <w:basedOn w:val="Normal"/>
    <w:link w:val="CommentTextChar"/>
    <w:uiPriority w:val="99"/>
    <w:semiHidden/>
    <w:unhideWhenUsed/>
    <w:rsid w:val="009F32DC"/>
    <w:pPr>
      <w:spacing w:after="200" w:line="276" w:lineRule="auto"/>
    </w:pPr>
    <w:rPr>
      <w:rFonts w:ascii="Calibri" w:eastAsia="Calibri" w:hAnsi="Calibri"/>
      <w:sz w:val="20"/>
      <w:szCs w:val="20"/>
      <w:lang w:val="en-GB" w:eastAsia="en-US"/>
    </w:rPr>
  </w:style>
  <w:style w:type="character" w:customStyle="1" w:styleId="CommentTextChar">
    <w:name w:val="Comment Text Char"/>
    <w:link w:val="CommentText"/>
    <w:uiPriority w:val="99"/>
    <w:semiHidden/>
    <w:rsid w:val="009F32DC"/>
    <w:rPr>
      <w:lang w:eastAsia="en-US"/>
    </w:rPr>
  </w:style>
  <w:style w:type="paragraph" w:styleId="CommentSubject">
    <w:name w:val="annotation subject"/>
    <w:basedOn w:val="CommentText"/>
    <w:next w:val="CommentText"/>
    <w:link w:val="CommentSubjectChar"/>
    <w:uiPriority w:val="99"/>
    <w:semiHidden/>
    <w:unhideWhenUsed/>
    <w:rsid w:val="009F32DC"/>
    <w:rPr>
      <w:b/>
      <w:bCs/>
    </w:rPr>
  </w:style>
  <w:style w:type="character" w:customStyle="1" w:styleId="CommentSubjectChar">
    <w:name w:val="Comment Subject Char"/>
    <w:link w:val="CommentSubject"/>
    <w:uiPriority w:val="99"/>
    <w:semiHidden/>
    <w:rsid w:val="009F32DC"/>
    <w:rPr>
      <w:b/>
      <w:bCs/>
      <w:lang w:eastAsia="en-US"/>
    </w:rPr>
  </w:style>
  <w:style w:type="paragraph" w:styleId="Revision">
    <w:name w:val="Revision"/>
    <w:hidden/>
    <w:uiPriority w:val="99"/>
    <w:semiHidden/>
    <w:rsid w:val="007C11BB"/>
    <w:rPr>
      <w:sz w:val="22"/>
      <w:szCs w:val="22"/>
      <w:lang w:eastAsia="en-US"/>
    </w:rPr>
  </w:style>
  <w:style w:type="character" w:customStyle="1" w:styleId="font-semibold">
    <w:name w:val="font-semibold"/>
    <w:basedOn w:val="DefaultParagraphFont"/>
    <w:rsid w:val="00E20A01"/>
  </w:style>
  <w:style w:type="character" w:styleId="PlaceholderText">
    <w:name w:val="Placeholder Text"/>
    <w:basedOn w:val="DefaultParagraphFont"/>
    <w:uiPriority w:val="99"/>
    <w:semiHidden/>
    <w:rsid w:val="006E42CE"/>
    <w:rPr>
      <w:color w:val="666666"/>
    </w:rPr>
  </w:style>
  <w:style w:type="table" w:styleId="TableGrid">
    <w:name w:val="Table Grid"/>
    <w:basedOn w:val="TableNormal"/>
    <w:uiPriority w:val="59"/>
    <w:rsid w:val="008756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8756E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semiHidden/>
    <w:unhideWhenUsed/>
    <w:rsid w:val="00896905"/>
    <w:pPr>
      <w:spacing w:before="100" w:beforeAutospacing="1" w:after="100" w:afterAutospacing="1"/>
    </w:pPr>
  </w:style>
  <w:style w:type="paragraph" w:styleId="Bibliography">
    <w:name w:val="Bibliography"/>
    <w:basedOn w:val="Normal"/>
    <w:next w:val="Normal"/>
    <w:uiPriority w:val="37"/>
    <w:unhideWhenUsed/>
    <w:rsid w:val="007450AF"/>
    <w:pPr>
      <w:tabs>
        <w:tab w:val="left" w:pos="260"/>
        <w:tab w:val="left" w:pos="500"/>
      </w:tabs>
      <w:spacing w:after="40"/>
      <w:ind w:left="264" w:hanging="264"/>
    </w:pPr>
  </w:style>
  <w:style w:type="paragraph" w:styleId="ListParagraph">
    <w:name w:val="List Paragraph"/>
    <w:basedOn w:val="Normal"/>
    <w:uiPriority w:val="34"/>
    <w:qFormat/>
    <w:rsid w:val="005756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1E47E0-63E9-1141-83B9-89D2CC94E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6</Pages>
  <Words>9758</Words>
  <Characters>55624</Characters>
  <Application>Microsoft Office Word</Application>
  <DocSecurity>0</DocSecurity>
  <Lines>463</Lines>
  <Paragraphs>130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Paper Title</vt:lpstr>
      <vt:lpstr>Paper Title</vt:lpstr>
    </vt:vector>
  </TitlesOfParts>
  <Company>Institution of Engineering and Technology</Company>
  <LinksUpToDate>false</LinksUpToDate>
  <CharactersWithSpaces>65252</CharactersWithSpaces>
  <SharedDoc>false</SharedDoc>
  <HLinks>
    <vt:vector size="24" baseType="variant">
      <vt:variant>
        <vt:i4>3735616</vt:i4>
      </vt:variant>
      <vt:variant>
        <vt:i4>9</vt:i4>
      </vt:variant>
      <vt:variant>
        <vt:i4>0</vt:i4>
      </vt:variant>
      <vt:variant>
        <vt:i4>5</vt:i4>
      </vt:variant>
      <vt:variant>
        <vt:lpwstr>http://digital-library.theiet.org/files/plagiarism_copyright_infrigement_policy.pdf</vt:lpwstr>
      </vt:variant>
      <vt:variant>
        <vt:lpwstr/>
      </vt:variant>
      <vt:variant>
        <vt:i4>2752535</vt:i4>
      </vt:variant>
      <vt:variant>
        <vt:i4>6</vt:i4>
      </vt:variant>
      <vt:variant>
        <vt:i4>0</vt:i4>
      </vt:variant>
      <vt:variant>
        <vt:i4>5</vt:i4>
      </vt:variant>
      <vt:variant>
        <vt:lpwstr/>
      </vt:variant>
      <vt:variant>
        <vt:lpwstr>PDF_template</vt:lpwstr>
      </vt:variant>
      <vt:variant>
        <vt:i4>655406</vt:i4>
      </vt:variant>
      <vt:variant>
        <vt:i4>3</vt:i4>
      </vt:variant>
      <vt:variant>
        <vt:i4>0</vt:i4>
      </vt:variant>
      <vt:variant>
        <vt:i4>5</vt:i4>
      </vt:variant>
      <vt:variant>
        <vt:lpwstr/>
      </vt:variant>
      <vt:variant>
        <vt:lpwstr>Word_template</vt:lpwstr>
      </vt:variant>
      <vt:variant>
        <vt:i4>7077988</vt:i4>
      </vt:variant>
      <vt:variant>
        <vt:i4>0</vt:i4>
      </vt:variant>
      <vt:variant>
        <vt:i4>0</vt:i4>
      </vt:variant>
      <vt:variant>
        <vt:i4>5</vt:i4>
      </vt:variant>
      <vt:variant>
        <vt:lpwstr/>
      </vt:variant>
      <vt:variant>
        <vt:lpwstr>Submission</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dc:title>
  <dc:creator>Uta Betancourt</dc:creator>
  <cp:lastModifiedBy>Anna Yuen</cp:lastModifiedBy>
  <cp:revision>296</cp:revision>
  <cp:lastPrinted>2026-08-27T18:14:00Z</cp:lastPrinted>
  <dcterms:created xsi:type="dcterms:W3CDTF">2026-08-11T18:09:00Z</dcterms:created>
  <dcterms:modified xsi:type="dcterms:W3CDTF">2026-08-30T21:30:00Z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id="MtRTlS2S"/&gt;&lt;style id="http://www.zotero.org/styles/the-institution-of-engineering-and-technology" hasBibliography="1" bibliographyStyleHasBeenSet="1"/&gt;&lt;prefs&gt;&lt;pref name="fieldType" value="Field"/&gt;</vt:lpwstr>
  </property>
  <property fmtid="{D5CDD505-2E9C-101B-9397-08002B2CF9AE}" pid="3" name="ZOTERO_PREF_2">
    <vt:lpwstr>&lt;/prefs&gt;&lt;/data&gt;</vt:lpwstr>
  </property>
</Properties>
</file>