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28/09/24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14:00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14:30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Danilo Gutierrez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Sebastian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Cambio en el orden de los sprint</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Definición sprint 3</w:t>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rtl w:val="0"/>
              </w:rPr>
            </w:r>
          </w:p>
        </w:tc>
      </w:tr>
    </w:tbl>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2">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3">
            <w:pPr>
              <w:widowControl w:val="0"/>
              <w:spacing w:after="240" w:before="240" w:lineRule="auto"/>
              <w:jc w:val="both"/>
              <w:rPr>
                <w:sz w:val="22"/>
                <w:szCs w:val="22"/>
              </w:rPr>
            </w:pPr>
            <w:r w:rsidDel="00000000" w:rsidR="00000000" w:rsidRPr="00000000">
              <w:rPr>
                <w:sz w:val="22"/>
                <w:szCs w:val="22"/>
                <w:rtl w:val="0"/>
              </w:rPr>
              <w:t xml:space="preserve">Durante la daily meeting, discutimos el cambio en los sprints 1 y 2, donde acordamos invertir las prioridades para enfocarnos primero en las funciones de los médicos en el Sprint 1, mientras que las funciones de los pacientes pasaron al Sprint 2. Se destacó la necesidad de ajustar el backlog para reflejar estos cambios y alinearlo con los objetivos inmediatos del proyecto. Además, definimos el enfoque del Sprint 3, que se centrará en la integración de la firma digital para la validación de recetas electrónicas, lo que permitirá avanzar en la automatización y seguridad de la plataforma. Finalmente, todos estuvimos de acuerdo en seguir ajustando los tiempos de entrega y coordinar las tareas clave para mantener el ritmo del desarrollo.</w:t>
            </w:r>
          </w:p>
          <w:p w:rsidR="00000000" w:rsidDel="00000000" w:rsidP="00000000" w:rsidRDefault="00000000" w:rsidRPr="00000000" w14:paraId="00000034">
            <w:pPr>
              <w:widowControl w:val="0"/>
              <w:ind w:left="360" w:firstLine="0"/>
              <w:jc w:val="both"/>
              <w:rPr>
                <w:sz w:val="22"/>
                <w:szCs w:val="22"/>
              </w:rPr>
            </w:pPr>
            <w:r w:rsidDel="00000000" w:rsidR="00000000" w:rsidRPr="00000000">
              <w:rPr>
                <w:rtl w:val="0"/>
              </w:rPr>
            </w:r>
          </w:p>
        </w:tc>
      </w:tr>
    </w:tbl>
    <w:p w:rsidR="00000000" w:rsidDel="00000000" w:rsidP="00000000" w:rsidRDefault="00000000" w:rsidRPr="00000000" w14:paraId="00000035">
      <w:pPr>
        <w:ind w:firstLine="708"/>
        <w:jc w:val="both"/>
        <w:rPr>
          <w:color w:val="000000"/>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headerReference r:id="rId6" w:type="default"/>
      <w:footerReference r:id="rId7"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-499108</wp:posOffset>
          </wp:positionV>
          <wp:extent cx="2209800" cy="3670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