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147" w:type="dxa"/>
        <w:tblInd w:w="-147" w:type="dxa"/>
        <w:tblLook w:val="04A0" w:firstRow="1" w:lastRow="0" w:firstColumn="1" w:lastColumn="0" w:noHBand="0" w:noVBand="1"/>
      </w:tblPr>
      <w:tblGrid>
        <w:gridCol w:w="2788"/>
        <w:gridCol w:w="2490"/>
        <w:gridCol w:w="2490"/>
        <w:gridCol w:w="2379"/>
      </w:tblGrid>
      <w:tr w:rsidR="004C7FF2" w:rsidTr="00E26349">
        <w:trPr>
          <w:trHeight w:val="1439"/>
        </w:trPr>
        <w:tc>
          <w:tcPr>
            <w:tcW w:w="2788" w:type="dxa"/>
          </w:tcPr>
          <w:p w:rsidR="004C7FF2" w:rsidRPr="004C7FF2" w:rsidRDefault="004C7FF2">
            <w:pPr>
              <w:rPr>
                <w:b/>
                <w:sz w:val="27"/>
                <w:szCs w:val="27"/>
              </w:rPr>
            </w:pPr>
            <w:r w:rsidRPr="004C7FF2">
              <w:rPr>
                <w:b/>
                <w:sz w:val="27"/>
                <w:szCs w:val="27"/>
              </w:rPr>
              <w:t>Характеристика</w:t>
            </w:r>
          </w:p>
        </w:tc>
        <w:tc>
          <w:tcPr>
            <w:tcW w:w="2490" w:type="dxa"/>
          </w:tcPr>
          <w:p w:rsidR="004C7FF2" w:rsidRPr="004C7FF2" w:rsidRDefault="004C7FF2">
            <w:pPr>
              <w:rPr>
                <w:b/>
              </w:rPr>
            </w:pPr>
            <w:r w:rsidRPr="004C7FF2">
              <w:rPr>
                <w:b/>
                <w:color w:val="000000"/>
                <w:sz w:val="27"/>
                <w:szCs w:val="27"/>
              </w:rPr>
              <w:t>Промежуточная характеристика</w:t>
            </w:r>
          </w:p>
        </w:tc>
        <w:tc>
          <w:tcPr>
            <w:tcW w:w="2490" w:type="dxa"/>
          </w:tcPr>
          <w:p w:rsidR="004C7FF2" w:rsidRPr="004C7FF2" w:rsidRDefault="004C7FF2">
            <w:pPr>
              <w:rPr>
                <w:b/>
              </w:rPr>
            </w:pPr>
            <w:r w:rsidRPr="004C7FF2">
              <w:rPr>
                <w:b/>
                <w:color w:val="000000"/>
                <w:sz w:val="27"/>
                <w:szCs w:val="27"/>
              </w:rPr>
              <w:t>Детальная характеристика</w:t>
            </w:r>
          </w:p>
        </w:tc>
        <w:tc>
          <w:tcPr>
            <w:tcW w:w="2379" w:type="dxa"/>
          </w:tcPr>
          <w:p w:rsidR="004C7FF2" w:rsidRPr="00E26349" w:rsidRDefault="00E26349">
            <w:pPr>
              <w:rPr>
                <w:b/>
              </w:rPr>
            </w:pPr>
            <w:r w:rsidRPr="00E26349">
              <w:rPr>
                <w:b/>
                <w:color w:val="000000"/>
                <w:sz w:val="27"/>
                <w:szCs w:val="27"/>
              </w:rPr>
              <w:t>Наличие (1) Отсутствие (0)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1.Функциональные возможности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 Функциональная пригодность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1.1.1-соответствие программных средств целям их применения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1.1.2-соответствие состава и содержания выходной информации требованиям пользователей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1.1.3-соответствие исходной информации, используемой в организации, требованиям ИС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 Надёжность и безопасность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 Защищённость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2.1.1-соответствие ИС требованиям защиты от предумышленных угроз безопасности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2.1.2-обеспечение эффективности оперативных методов защиты и восстановления при реализации угроз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 Устойчивость функционирования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2.2.1-наличие средств восстановления при ошибке на входе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2.2.2-наличие средств восстановления при сбоях оборудования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2.2.3-вероятность работоспособного функционирования в течение месяца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 Практичность и удобство применения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 Лёгкость освоения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3.1.1-возможность освоения ИС по документации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3.1.2-возможность освоения ПС на контрольном примере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3.2. Доступность эксплуатационных документов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3.2.1-полнота и понятность документации для освоения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 w:rsidP="004C7FF2">
            <w:r>
              <w:rPr>
                <w:color w:val="000000"/>
                <w:sz w:val="27"/>
                <w:szCs w:val="27"/>
              </w:rPr>
              <w:t>3.2.2-достаточность документов для запуска ИС в эксплуатацию</w:t>
            </w:r>
          </w:p>
        </w:tc>
        <w:tc>
          <w:tcPr>
            <w:tcW w:w="2379" w:type="dxa"/>
          </w:tcPr>
          <w:p w:rsidR="004C7FF2" w:rsidRDefault="00A07A9B">
            <w:r>
              <w:t>0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 Простота использования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3.3.1-комфортность эксплуатации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3.3.2-простота эксплуатации ИС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4. Эффективность</w:t>
            </w:r>
          </w:p>
        </w:tc>
        <w:tc>
          <w:tcPr>
            <w:tcW w:w="2490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4.1. Временная эффективность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4.1.1-удовлетворение временем выполнения программ и временем выдачи ответов на запросы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4.1.2-удовлетворение временем подготовки входных данных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E26349" w:rsidRDefault="00E26349" w:rsidP="00E2634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5.Сопровождаемость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5.1. Внесение текущих изменений в ИС в процессе эксплуатации</w:t>
            </w:r>
          </w:p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5.1.1-наличие документов, содержащих сроки внесения текущих изменений в ИС</w:t>
            </w:r>
          </w:p>
        </w:tc>
        <w:tc>
          <w:tcPr>
            <w:tcW w:w="2379" w:type="dxa"/>
          </w:tcPr>
          <w:p w:rsidR="004C7FF2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5.1.2-полнота документов, отражающих порядок внесения текущих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5.1.3-наличие системы контроля за внесением текущих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 Обучение персонала в период внедрения и после внесения изменений в ИС</w:t>
            </w:r>
          </w:p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5.2.1-наличие системы обучения персонала в процессе внедрения ИС</w:t>
            </w:r>
          </w:p>
        </w:tc>
        <w:tc>
          <w:tcPr>
            <w:tcW w:w="2379" w:type="dxa"/>
          </w:tcPr>
          <w:p w:rsidR="00E26349" w:rsidRDefault="00A07A9B">
            <w:r>
              <w:t>1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5.2.2-наличие тестов для контроля уровня знаний обучаемых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5.2.3-наличие системы обучения после внесения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1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 xml:space="preserve">5.2.4-наличие требований к знаниям </w:t>
            </w:r>
            <w:proofErr w:type="gramStart"/>
            <w:r>
              <w:rPr>
                <w:color w:val="000000"/>
                <w:sz w:val="27"/>
                <w:szCs w:val="27"/>
              </w:rPr>
              <w:t>персонала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допущенного к эксплуатации ИС</w:t>
            </w:r>
          </w:p>
        </w:tc>
        <w:tc>
          <w:tcPr>
            <w:tcW w:w="2379" w:type="dxa"/>
          </w:tcPr>
          <w:p w:rsidR="00E26349" w:rsidRDefault="00E26349"/>
        </w:tc>
      </w:tr>
    </w:tbl>
    <w:p w:rsidR="00A07A9B" w:rsidRDefault="00A07A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«Оценка качества информационной системы»</w:t>
      </w:r>
    </w:p>
    <w:p w:rsidR="00A07A9B" w:rsidRDefault="00A07A9B">
      <w:pPr>
        <w:rPr>
          <w:color w:val="000000"/>
          <w:sz w:val="27"/>
          <w:szCs w:val="27"/>
        </w:rPr>
      </w:pPr>
    </w:p>
    <w:p w:rsidR="00894C26" w:rsidRDefault="00894C26">
      <w:pPr>
        <w:rPr>
          <w:color w:val="000000"/>
          <w:sz w:val="27"/>
          <w:szCs w:val="27"/>
        </w:rPr>
      </w:pPr>
    </w:p>
    <w:p w:rsidR="00894C26" w:rsidRPr="00894C26" w:rsidRDefault="00894C26" w:rsidP="00894C26">
      <w:pPr>
        <w:jc w:val="center"/>
        <w:rPr>
          <w:b/>
          <w:color w:val="000000"/>
          <w:sz w:val="27"/>
          <w:szCs w:val="27"/>
        </w:rPr>
      </w:pPr>
      <w:r w:rsidRPr="00894C26">
        <w:rPr>
          <w:b/>
          <w:color w:val="000000"/>
          <w:sz w:val="27"/>
          <w:szCs w:val="27"/>
        </w:rPr>
        <w:t>Типовой регламент резервного копирования данных</w:t>
      </w:r>
    </w:p>
    <w:p w:rsidR="00A07A9B" w:rsidRDefault="00A07A9B">
      <w:pPr>
        <w:rPr>
          <w:color w:val="000000"/>
          <w:sz w:val="27"/>
          <w:szCs w:val="27"/>
        </w:rPr>
      </w:pP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Список терминов и определений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ГСА (группа системных администраторов) - группа сотрудников Исполнителя, обеспечивающая развитие и устранение сложных неисправностей ИТ-инфраструктуры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ГТП (группа технической поддержки) – группа сотрудников Исполнителя, обеспечивающая техническую поддержку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ИТ-инфраструктура - совокупность аппаратного и программного обеспечения компании Заказчика, а также правил и методов их настройки, обеспечивающих технологию совместной работы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Администратор файлового сервера – сотрудник Исполнителя из числа ГСА, осуществляющий управление файловым сервером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Сотрудник технической поддержки – сотрудник Исполнителя из числа ГСА.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Заявка – запрос сотрудника предприятия к службе технической поддержки на решение какой-либо технической проблемы. Заявка содержит описание проблемы и электронный адрес сотрудника.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Ресурс файлового сервера (далее Ресурс) – это каталог на файловом сервере, предназначенный для хранения файлов в целях, указанных в заявке на создание ресурса.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Ответственный за информационные ресурсы Заказчика – сотрудник Заказчика из числа руководителей принимающий решения о создании новых Ресурсов.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 «</w:t>
      </w:r>
      <w:proofErr w:type="spellStart"/>
      <w:r>
        <w:rPr>
          <w:color w:val="000000"/>
          <w:sz w:val="27"/>
          <w:szCs w:val="27"/>
        </w:rPr>
        <w:t>Helpdesk</w:t>
      </w:r>
      <w:proofErr w:type="spellEnd"/>
      <w:r>
        <w:rPr>
          <w:color w:val="000000"/>
          <w:sz w:val="27"/>
          <w:szCs w:val="27"/>
        </w:rPr>
        <w:t>» – информационная система, обеспечивающая прием и обработку заявок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ИСМ – информационная система мониторинга ИТ-инфраструктуры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ЭЦП – электронная цифровая подпись.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GPG – программное обеспечение для шифрования и ЭЦП данных.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Согласование Заявки – направление электронного сообщения (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  <w:r>
        <w:rPr>
          <w:color w:val="000000"/>
          <w:sz w:val="27"/>
          <w:szCs w:val="27"/>
        </w:rPr>
        <w:t>) подтверждающего Заявку в ИС «</w:t>
      </w:r>
      <w:proofErr w:type="spellStart"/>
      <w:r>
        <w:rPr>
          <w:color w:val="000000"/>
          <w:sz w:val="27"/>
          <w:szCs w:val="27"/>
        </w:rPr>
        <w:t>Helpdesk</w:t>
      </w:r>
      <w:proofErr w:type="spellEnd"/>
      <w:r>
        <w:rPr>
          <w:color w:val="000000"/>
          <w:sz w:val="27"/>
          <w:szCs w:val="27"/>
        </w:rPr>
        <w:t>» с ЭЦП. Для создания ЭЦП используется программное обеспечение PGP.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Ответственный за ресурс – сотрудник Заказчика указанный ответственным в заявке на создание ресурса.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Общие положения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Настоящий Регламент проведения резервного копирования (восстановления) программ и данных, хранящихся на серверах ИТ-инфраструктуры Заказчика разработан с целью: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определения порядка резервирования данных для последующего восстановления работоспособности автоматизированных систем Заказчика при полной или частичной потере информации, вызванной сбоями или отказами </w:t>
      </w:r>
      <w:proofErr w:type="gramStart"/>
      <w:r>
        <w:rPr>
          <w:color w:val="000000"/>
          <w:sz w:val="27"/>
          <w:szCs w:val="27"/>
        </w:rPr>
        <w:lastRenderedPageBreak/>
        <w:t>аппаратного</w:t>
      </w:r>
      <w:proofErr w:type="gramEnd"/>
      <w:r>
        <w:rPr>
          <w:color w:val="000000"/>
          <w:sz w:val="27"/>
          <w:szCs w:val="27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определения порядка восстановления информации в случае возникновения такой необходимости;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упорядочения работы должностных лиц Исполнителя и Заказчика, связанной с резервным копированием и восстановлением информации.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настоящем документе регламентируются действия при выполнении следующих мероприятий: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резервное копирование;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контроль резервного копирования;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резервных копий;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полное или частичное восстановление данных и приложений.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Резервному копированию подлежит информация следующих основных категорий: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персональная информация пользователей (личные каталоги на файловых серверах);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групповая информация пользователей (общие каталоги отделов);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информация, необходимая для восстановления серверов и систем управления базами данных (далее – СУБД);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персональные профили пользователей сети;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информация автоматизированных систем, в </w:t>
      </w:r>
      <w:proofErr w:type="spellStart"/>
      <w:r>
        <w:rPr>
          <w:color w:val="000000"/>
          <w:sz w:val="27"/>
          <w:szCs w:val="27"/>
        </w:rPr>
        <w:t>т.ч</w:t>
      </w:r>
      <w:proofErr w:type="spellEnd"/>
      <w:r>
        <w:rPr>
          <w:color w:val="000000"/>
          <w:sz w:val="27"/>
          <w:szCs w:val="27"/>
        </w:rPr>
        <w:t>. баз данных;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справочно-информационная информация систем общего использования («Гарант», «Консультант+» и т.п.);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рабочие копии установочных компонент программного обеспечения рабочих станций;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регистрационная информация системы информационной безопасности автоматизированных систем.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Машинным носителям информации, содержащим резервную копию, присваивается гриф конфиденциальности по наивысшему грифу содержащихся на них сведений в соответствии с «Перечнем сведений составляющих коммерческую тайну»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Порядок резервного копирования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Резервное копирование автоматизированных систем производится на основании следующих данных: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 и объем копируемых данных, периодичность проведения резервного копирования (из Перечня резервируемых данных - по форме);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максимальный срок хранения резервных копий - 1 месяц;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3-х следующих архивов;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архив на 1-е число текущего месяца;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архив среда-четверг, либо пятница-суббота текущей недели;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архив</w:t>
      </w:r>
      <w:proofErr w:type="gramEnd"/>
      <w:r>
        <w:rPr>
          <w:color w:val="000000"/>
          <w:sz w:val="27"/>
          <w:szCs w:val="27"/>
        </w:rPr>
        <w:t xml:space="preserve"> сделанный в текущую ночь.</w:t>
      </w:r>
    </w:p>
    <w:p w:rsidR="00D94ED5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:rsidR="00894C26" w:rsidRDefault="00D94ED5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bookmarkStart w:id="0" w:name="_GoBack"/>
      <w:bookmarkEnd w:id="0"/>
      <w:r w:rsidR="00894C26">
        <w:rPr>
          <w:color w:val="000000"/>
          <w:sz w:val="27"/>
          <w:szCs w:val="27"/>
        </w:rPr>
        <w:t>. Восстановление информации из резервных копий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случае необходимости восстановление данных из резервных копий производится на основании Заявки владельца </w:t>
      </w:r>
      <w:proofErr w:type="gramStart"/>
      <w:r>
        <w:rPr>
          <w:color w:val="000000"/>
          <w:sz w:val="27"/>
          <w:szCs w:val="27"/>
        </w:rPr>
        <w:t>информации</w:t>
      </w:r>
      <w:proofErr w:type="gramEnd"/>
      <w:r>
        <w:rPr>
          <w:color w:val="000000"/>
          <w:sz w:val="27"/>
          <w:szCs w:val="27"/>
        </w:rPr>
        <w:t xml:space="preserve"> согласованной с Ответственным за информационные ресурсы Заказчика.</w:t>
      </w:r>
    </w:p>
    <w:p w:rsidR="00D94ED5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Процедура восстановления информации из резервной копии осуществляется в соответствии с методикой восстановления информации 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поступления заявки, восстановление данных осуществляется в максимально сжатые сроки, ограниченные техническими возможностями системы, но не более одного рабочего дня.</w:t>
      </w: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/>
    <w:sectPr w:rsidR="00A07A9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DC" w:rsidRDefault="00FB69DC" w:rsidP="00A07A9B">
      <w:pPr>
        <w:spacing w:after="0" w:line="240" w:lineRule="auto"/>
      </w:pPr>
      <w:r>
        <w:separator/>
      </w:r>
    </w:p>
  </w:endnote>
  <w:endnote w:type="continuationSeparator" w:id="0">
    <w:p w:rsidR="00FB69DC" w:rsidRDefault="00FB69DC" w:rsidP="00A0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DC" w:rsidRDefault="00FB69DC" w:rsidP="00A07A9B">
      <w:pPr>
        <w:spacing w:after="0" w:line="240" w:lineRule="auto"/>
      </w:pPr>
      <w:r>
        <w:separator/>
      </w:r>
    </w:p>
  </w:footnote>
  <w:footnote w:type="continuationSeparator" w:id="0">
    <w:p w:rsidR="00FB69DC" w:rsidRDefault="00FB69DC" w:rsidP="00A0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A9B" w:rsidRDefault="00A07A9B">
    <w:pPr>
      <w:pStyle w:val="a5"/>
    </w:pPr>
  </w:p>
  <w:p w:rsidR="00A07A9B" w:rsidRDefault="00A07A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8B"/>
    <w:rsid w:val="000A6791"/>
    <w:rsid w:val="001A4AB8"/>
    <w:rsid w:val="001D2010"/>
    <w:rsid w:val="0028134E"/>
    <w:rsid w:val="004C7FF2"/>
    <w:rsid w:val="00894C26"/>
    <w:rsid w:val="009738F5"/>
    <w:rsid w:val="0099078B"/>
    <w:rsid w:val="00A07A9B"/>
    <w:rsid w:val="00D94ED5"/>
    <w:rsid w:val="00E26349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27E88-198B-4767-8935-DE7C7430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C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0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7A9B"/>
  </w:style>
  <w:style w:type="paragraph" w:styleId="a7">
    <w:name w:val="footer"/>
    <w:basedOn w:val="a"/>
    <w:link w:val="a8"/>
    <w:uiPriority w:val="99"/>
    <w:unhideWhenUsed/>
    <w:rsid w:val="00A0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2020-04-30T12:59:00Z</dcterms:created>
  <dcterms:modified xsi:type="dcterms:W3CDTF">2020-05-21T17:51:00Z</dcterms:modified>
</cp:coreProperties>
</file>