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 Politics in FDA AI Medical Device Summaries</w:t>
      </w:r>
    </w:p>
    <w:p>
      <w:r>
        <w:t>Integrated bilingual report (Methods + Results + Figures + Appendices).</w:t>
      </w:r>
    </w:p>
    <w:p>
      <w:pPr>
        <w:pStyle w:val="Heading2"/>
      </w:pPr>
      <w:r>
        <w:t>0. 全文導讀與編修索引 / Document map &amp; edit index</w:t>
      </w:r>
    </w:p>
    <w:p>
      <w:r>
        <w:t>建議閱讀順序（與本檔段落大致對應）：(1) Main Narrative（方法＋結果敘事）→ (2) Key Figures &amp; Significance（圖表與檢定）→ (3) Appendix A–C（詞典、偏差欄位摘要、例句）→ (4) EU AI Act benchmark（合規敘事對照）→ (5) Appendix D–E（話語模板、理論橋接）。 若附錄與 EU 區塊在版面上不相鄰，請以「附錄群組」為單位拖曳合併，避免讀者跳讀。</w:t>
      </w:r>
    </w:p>
    <w:p>
      <w:r>
        <w:t>Suggested reading order: (1) Main Narrative → (2) Key Figures &amp; Significance → (3) Appendices A–C → (4) EU AI Act benchmark → (5) Appendices D–E. If EU text is not contiguous with the appendix block, move sections so appendices read A→E in one pass.</w:t>
      </w:r>
    </w:p>
    <w:p>
      <w:pPr>
        <w:pStyle w:val="Heading2"/>
      </w:pPr>
      <w:r>
        <w:t>0.1 數據口徑速查 / Data denominators (current run)</w:t>
      </w:r>
    </w:p>
    <w:p>
      <w:r>
        <w:t>嚴格顯著路徑設備數 documents_used ≈ 1384（與 bias-field doc_rate 分母一致）。「結構性決定因子 structural_determinants」已套用句子級規則：影像/CV 脈絡排除 neighborhood 假陽性；neighborhood 須與 SES/SDOH 等共現。rescanned 後 structural_determinants 的 doc_rate 應為 0%。 顯著性：以 significance_stats.json 為準（例如 b_techbio_without_structural_strict、c_structural_strict_without_techbio、discordant_pairs、p_value_one_sided）；請勿沿用舊稿 c=12 或「結構性 0.14%／2 份文件」敘事。</w:t>
      </w:r>
    </w:p>
    <w:p>
      <w:r>
        <w:t>Strict-significance path N ≈ 1384 (aligns with bias-field doc_rate denominators). `structural_determinants` uses sentence-level gating (imaging/CV exclusion for `neighborhood`; SES/SDOH co-occurrence). Post-rescan doc_rate should be 0%. Use `figures/significance_stats.json` for discordant counts and p-values; do not reuse legacy `c=12` or “0.14% / 2 documents” structural wording.</w:t>
      </w:r>
    </w:p>
    <w:p>
      <w:pPr>
        <w:pStyle w:val="Heading2"/>
      </w:pPr>
      <w:r>
        <w:t>0.2 Word 優化檢查清單 / Word polish checklist</w:t>
      </w:r>
    </w:p>
    <w:p>
      <w:r>
        <w:t>□ 統一附錄標題層級（Appendix A–E 建議同一 Heading 層級）。□ Results 中英重複句合併為「一句雙語」或分欄，避免同一數字出現兩次不同版本。□ Key Figures：若仍為佔位文字，插入實際 png／重設圖說與 cross-ref。□ 表格（bias summary、closure、Panel×template）：檢查欄寬、標題列重複、跨頁表頭。□ EU 段落與 JSON（eu_ai_act_compliance_summary.json）數字一致。□ 全檔搜尋並刪除過期字串：0.14%、2 documents、c=12、舊 p-value。</w:t>
      </w:r>
    </w:p>
    <w:p>
      <w:r>
        <w:t>□ Normalize appendix heading levels. □ De-duplicate bilingual Results bullets (side-by-side or single bilingual sentence). □ Replace figure placeholders with embedded images + captions. □ Check table header repeats / column widths (bias summary, closure, Panel×template). □ Align EU prose with `eu_ai_act_compliance_summary.json`. □ Global find: remove legacy strings (0.14%, 2 documents, c=12, stale p-values).</w:t>
      </w:r>
    </w:p>
    <w:p>
      <w:r>
        <w:t>原始備份（執行本腳本前）：`data/analysis/full_bilingual_methods_results_BACKUP_pre_consolidate.docx`。 可重跑產出：`python3 integrate_appendix_to_docx.py`、`python3 append_appendix_e_theory_bridge.py`、`python3 generate_full_report.py`。</w:t>
      </w:r>
    </w:p>
    <w:p>
      <w:r>
        <w:t>Pre-script backup: `data/analysis/full_bilingual_methods_results_BACKUP_pre_consolidate.docx`. Regenerate paths: `integrate_appendix_to_docx.py`, `append_appendix_e_theory_bridge.py`, `generate_full_report.py`.</w:t>
      </w:r>
    </w:p>
    <w:p>
      <w:r>
        <w:br w:type="page"/>
      </w:r>
    </w:p>
    <w:p>
      <w:pPr>
        <w:pStyle w:val="Heading1"/>
      </w:pPr>
      <w:r>
        <w:t>Main Narrative (Bilingual)</w:t>
      </w:r>
    </w:p>
    <w:p>
      <w:pPr>
        <w:pStyle w:val="Heading1"/>
      </w:pPr>
      <w:r>
        <w:t>Abstract Politics in FDA AI Medical Device Summaries</w:t>
      </w:r>
    </w:p>
    <w:p>
      <w:pPr>
        <w:pStyle w:val="Heading2"/>
      </w:pPr>
      <w:r>
        <w:t>Methods（繁體中文）</w:t>
      </w:r>
    </w:p>
    <w:p>
      <w:r>
        <w:t>本研究建立可重現文本分析流程，對 FDA AI-enabled 醫療設備摘要進行設備層級分析。資料來源為官方設備清單與對應公開摘要文本，最終納入 `documents_total=1388` 份文件。</w:t>
      </w:r>
    </w:p>
    <w:p>
      <w:r>
        <w:t>分析採詞典編碼與統計推論：</w:t>
      </w:r>
    </w:p>
    <w:p>
      <w:r>
        <w:t>1. 詞典層：政策話語、技術/統計、生物標籤、結構性社會變量。</w:t>
      </w:r>
    </w:p>
    <w:p>
      <w:r>
        <w:t>2. 指標層：詞頻、每千詞頻率、位置分佈、Mismatch Metric。</w:t>
      </w:r>
    </w:p>
    <w:p>
      <w:r>
        <w:t>3. 偏見場域層：performance disparity、dataset representation、measurement/labeling、workflow shift、mitigation/governance、structural determinants。</w:t>
      </w:r>
    </w:p>
    <w:p>
      <w:r>
        <w:t>4. 推論層：以單尾二項檢定檢驗「技術/生物有提及但結構性變量缺席」是否顯著多於反向情形。</w:t>
      </w:r>
    </w:p>
    <w:p>
      <w:pPr>
        <w:pStyle w:val="Heading2"/>
      </w:pPr>
      <w:r>
        <w:t>Results（繁體中文）</w:t>
      </w:r>
    </w:p>
    <w:p>
      <w:pPr>
        <w:pStyle w:val="ListBullet"/>
      </w:pPr>
      <w:r>
        <w:t>mismatch_finite_mean=1.122753；mismatch_inf_count=3。</w:t>
      </w:r>
    </w:p>
    <w:p>
      <w:pPr>
        <w:pStyle w:val="ListBullet"/>
      </w:pPr>
      <w:r>
        <w:t>顯著性檢定：b=997, c=10, p-value=2.081e-280。</w:t>
      </w:r>
    </w:p>
    <w:p>
      <w:pPr>
        <w:pStyle w:val="ListBullet"/>
      </w:pPr>
      <w:r>
        <w:t>偏見場域分佈：</w:t>
      </w:r>
    </w:p>
    <w:p>
      <w:pPr>
        <w:pStyle w:val="ListBullet"/>
      </w:pPr>
      <w:r>
        <w:t>measurement_labeling: docs_with_mentions=1382, doc_rate=0.9986</w:t>
      </w:r>
    </w:p>
    <w:p>
      <w:pPr>
        <w:pStyle w:val="ListBullet"/>
      </w:pPr>
      <w:r>
        <w:t>performance_disparity: docs_with_mentions=1329, doc_rate=0.9603</w:t>
      </w:r>
    </w:p>
    <w:p>
      <w:pPr>
        <w:pStyle w:val="ListBullet"/>
      </w:pPr>
      <w:r>
        <w:t>clinical_workflow_shift: docs_with_mentions=1076, doc_rate=0.7775</w:t>
      </w:r>
    </w:p>
    <w:p>
      <w:pPr>
        <w:pStyle w:val="ListBullet"/>
      </w:pPr>
      <w:r>
        <w:t>mitigation_governance: docs_with_mentions=870, doc_rate=0.6286</w:t>
      </w:r>
    </w:p>
    <w:p>
      <w:pPr>
        <w:pStyle w:val="ListBullet"/>
      </w:pPr>
      <w:r>
        <w:t>dataset_representation: docs_with_mentions=845, doc_rate=0.6105</w:t>
      </w:r>
    </w:p>
    <w:p>
      <w:pPr>
        <w:pStyle w:val="ListBullet"/>
      </w:pPr>
      <w:r>
        <w:t>structural_determinants: docs_with_mentions=0, doc_rate=0.0000 (revised neighborhood gating; imaging CV sense excluded)</w:t>
      </w:r>
    </w:p>
    <w:p>
      <w:r>
        <w:t>Panel 層（以 dataset representation 為例，top 5）：</w:t>
      </w:r>
    </w:p>
    <w:p>
      <w:pPr>
        <w:pStyle w:val="ListBullet"/>
      </w:pPr>
      <w:r>
        <w:t>Anesthesiology: 0.810</w:t>
      </w:r>
    </w:p>
    <w:p>
      <w:pPr>
        <w:pStyle w:val="ListBullet"/>
      </w:pPr>
      <w:r>
        <w:t>Neurology: 0.754</w:t>
      </w:r>
    </w:p>
    <w:p>
      <w:pPr>
        <w:pStyle w:val="ListBullet"/>
      </w:pPr>
      <w:r>
        <w:t>Obstetrics and Gynecology: 0.750</w:t>
      </w:r>
    </w:p>
    <w:p>
      <w:pPr>
        <w:pStyle w:val="ListBullet"/>
      </w:pPr>
      <w:r>
        <w:t>Ophthalmic: 0.625</w:t>
      </w:r>
    </w:p>
    <w:p>
      <w:pPr>
        <w:pStyle w:val="ListBullet"/>
      </w:pPr>
      <w:r>
        <w:t>Radiology: 0.625</w:t>
      </w:r>
    </w:p>
    <w:p>
      <w:r>
        <w:t>整體結果支持：文本主要將偏見治理轉為可計算之模型/效能問題，結構性社會決定因素近乎缺席，符合「抽象政治」與「系統性過濾」命題。</w:t>
      </w:r>
    </w:p>
    <w:p>
      <w:pPr>
        <w:pStyle w:val="Heading2"/>
      </w:pPr>
      <w:r>
        <w:t>Methods (English)</w:t>
      </w:r>
    </w:p>
    <w:p>
      <w:r>
        <w:t>We built a reproducible document-level pipeline over FDA AI-enabled device summaries (`documents_total=1388`).</w:t>
      </w:r>
    </w:p>
    <w:p>
      <w:r>
        <w:t>The workflow combined dictionary coding, positional/frequency metrics, mismatch scoring, and a bias-field taxonomy.</w:t>
      </w:r>
    </w:p>
    <w:p>
      <w:r>
        <w:t>We then tested whether documents mentioning technical/biological variables disproportionately omit structural social determinants using a one-sided binomial/sign-style test.</w:t>
      </w:r>
    </w:p>
    <w:p>
      <w:pPr>
        <w:pStyle w:val="Heading2"/>
      </w:pPr>
      <w:r>
        <w:t>Results (English)</w:t>
      </w:r>
    </w:p>
    <w:p>
      <w:pPr>
        <w:pStyle w:val="ListBullet"/>
      </w:pPr>
      <w:r>
        <w:t>mismatch_finite_mean=1.122753; mismatch_inf_count=3.</w:t>
      </w:r>
    </w:p>
    <w:p>
      <w:pPr>
        <w:pStyle w:val="ListBullet"/>
      </w:pPr>
      <w:r>
        <w:t>Significance test: b=997, c=10, p-value=2.081e-280.</w:t>
      </w:r>
    </w:p>
    <w:p>
      <w:pPr>
        <w:pStyle w:val="ListBullet"/>
      </w:pPr>
      <w:r>
        <w:t>Bias-field distribution:</w:t>
      </w:r>
    </w:p>
    <w:p>
      <w:pPr>
        <w:pStyle w:val="ListBullet"/>
      </w:pPr>
      <w:r>
        <w:t>measurement_labeling: docs_with_mentions=1382, doc_rate=0.9986</w:t>
      </w:r>
    </w:p>
    <w:p>
      <w:pPr>
        <w:pStyle w:val="ListBullet"/>
      </w:pPr>
      <w:r>
        <w:t>performance_disparity: docs_with_mentions=1329, doc_rate=0.9603</w:t>
      </w:r>
    </w:p>
    <w:p>
      <w:pPr>
        <w:pStyle w:val="ListBullet"/>
      </w:pPr>
      <w:r>
        <w:t>clinical_workflow_shift: docs_with_mentions=1076, doc_rate=0.7775</w:t>
      </w:r>
    </w:p>
    <w:p>
      <w:pPr>
        <w:pStyle w:val="ListBullet"/>
      </w:pPr>
      <w:r>
        <w:t>mitigation_governance: docs_with_mentions=870, doc_rate=0.6286</w:t>
      </w:r>
    </w:p>
    <w:p>
      <w:pPr>
        <w:pStyle w:val="ListBullet"/>
      </w:pPr>
      <w:r>
        <w:t>dataset_representation: docs_with_mentions=845, doc_rate=0.6105</w:t>
      </w:r>
    </w:p>
    <w:p>
      <w:pPr>
        <w:pStyle w:val="ListBullet"/>
      </w:pPr>
      <w:r>
        <w:t>structural_determinants: docs_with_mentions=0, doc_rate=0.0000 (revised neighborhood gating; imaging CV sense excluded)</w:t>
      </w:r>
    </w:p>
    <w:p>
      <w:r>
        <w:t>Top 5 panels by dataset-representation mention rate:</w:t>
      </w:r>
    </w:p>
    <w:p>
      <w:pPr>
        <w:pStyle w:val="ListBullet"/>
      </w:pPr>
      <w:r>
        <w:t>Anesthesiology: 0.810</w:t>
      </w:r>
    </w:p>
    <w:p>
      <w:pPr>
        <w:pStyle w:val="ListBullet"/>
      </w:pPr>
      <w:r>
        <w:t>Neurology: 0.754</w:t>
      </w:r>
    </w:p>
    <w:p>
      <w:pPr>
        <w:pStyle w:val="ListBullet"/>
      </w:pPr>
      <w:r>
        <w:t>Obstetrics and Gynecology: 0.750</w:t>
      </w:r>
    </w:p>
    <w:p>
      <w:pPr>
        <w:pStyle w:val="ListBullet"/>
      </w:pPr>
      <w:r>
        <w:t>Ophthalmic: 0.625</w:t>
      </w:r>
    </w:p>
    <w:p>
      <w:pPr>
        <w:pStyle w:val="ListBullet"/>
      </w:pPr>
      <w:r>
        <w:t>Radiology: 0.625</w:t>
      </w:r>
    </w:p>
    <w:p>
      <w:r>
        <w:t>Findings support a systematic filtering pattern: bias is mostly operationalized as optimization/validation language, while structural determinants are largely absent.</w:t>
      </w:r>
    </w:p>
    <w:p>
      <w:pPr>
        <w:pStyle w:val="Heading1"/>
      </w:pPr>
      <w:r>
        <w:t>Discussion / 理論與監管文本對話</w:t>
      </w:r>
    </w:p>
    <w:p>
      <w:pPr>
        <w:spacing w:after="120"/>
      </w:pPr>
      <w:r>
        <w:t>以下四節可直接作為正文「Discussion」投稿稿（與 Methods/Results 數字對齊）：全量摘要語料 `documents_total=1,388`；EU 代理指標與顯著性路徑子集 N=1384。 **K182336**「像素鄰域」作為貫穿全節的核心案例（Case study）；長引與技術脈絡見 Appendix D4。</w:t>
      </w:r>
    </w:p>
    <w:p>
      <w:pPr>
        <w:spacing w:after="120"/>
      </w:pPr>
      <w:r>
        <w:t>The four subsections below are manuscript-ready **Discussion** text, aligned with corpus counts: `documents_total=1,388` FDA AI-enabled summaries; EU proxy and strict significance subsample N=1384. **K182336** is the **anchor case study** across sections; extended quotes and technical context: Appendix D4.</w:t>
      </w:r>
    </w:p>
    <w:p>
      <w:pPr>
        <w:pStyle w:val="Heading2"/>
      </w:pPr>
      <w:r>
        <w:t>第一部分：數據殖民主義與語義開採 (Data colonialism &amp; semantic extraction)</w:t>
      </w:r>
    </w:p>
    <w:p>
      <w:pPr>
        <w:spacing w:after="120"/>
      </w:pPr>
      <w:r>
        <w:t>理論連結：Couldry &amp; Mejias (2018) 的「開採論」與 Fricker (2007) 的「認識論不正義」。</w:t>
      </w:r>
    </w:p>
    <w:p>
      <w:pPr>
        <w:spacing w:after="120"/>
      </w:pPr>
      <w:r>
        <w:t>本研究對 1,388 份 FDA AI-enabled 設備摘要的分析顯示，醫療 AI 監管話語中存在深層的「語義殖民」。誠如 Couldry 與 Mejias (2018) 所言，數據殖民主義不僅是資源的佔取，更是將人類生命轉化為可供開採的「數據關係（data relations）」。本研究最清楚的例證之一，是社會語彙被技術語言收編：原可用以指涉社區結構因素的 *neighborhood*，在技術摘要（如 **K182336**）中被縮減為「像素鄰域（pixel neighborhood）」。這不只是詞義漂移，更是一種認識論上的不正義（Fricker, 2007）：在可提交的監管文本中，病患的社會主體性易被抹除，具體的生存處境被改寫為純粹的幾何計算。對照 bias-field 層級在修訂規則下 `structural_determinants` 的 doc_rate=0（0/1384），此缺席亦呼應 Benjamin (2019) 所論「工程化不平等」——社會範疇若非可被表格化、便難以進入合規敘事（與 Couldry &amp; Mejias 的取占邏輯並讀）。</w:t>
      </w:r>
    </w:p>
    <w:p>
      <w:pPr>
        <w:spacing w:after="120"/>
      </w:pPr>
      <w:r>
        <w:t>Theoretical anchors: Couldry &amp; Mejias (2018) on extraction; Fricker (2007) on epistemic injustice.</w:t>
      </w:r>
    </w:p>
    <w:p>
      <w:pPr>
        <w:spacing w:after="120"/>
      </w:pPr>
      <w:r>
        <w:t>Our analysis of **1,388** FDA AI-enabled device summaries offers empirical evidence of **semantic colonization** in medical-AI regulatory discourse. As Couldry and Mejias (2018) argue, data colonialism converts lived life into **data relations** optimized for institutional extraction. A sharp manifestation is the displacement of social meaning by technical parameters: *neighborhood*—often carrying socio-structural connotation—is reduced to **pixel neighborhood** in technical summaries (e.g., **K182336**). This reduction instantiates **epistemic injustice** (Fricker, 2007): patients’ social existence is fragile in the evidentiary economy of submissions, and structural inequality risks being reframed as a purely geometric problem. Read alongside the near-absence of socio-structural register at the bias-field layer after gating (**structural_determinants** doc_rate = 0 / 1384), the pattern also resonates with Benjamin’s (2019) account of **engineered inequality**—what cannot be stratified cleanly is rarely narrated as structurally salient.</w:t>
      </w:r>
    </w:p>
    <w:p>
      <w:pPr>
        <w:pStyle w:val="Heading2"/>
      </w:pPr>
      <w:r>
        <w:t>第二部分：透明度的修辭陷阱與「程序化掩蓋」 (The transparency trap)</w:t>
      </w:r>
    </w:p>
    <w:p>
      <w:pPr>
        <w:spacing w:after="120"/>
      </w:pPr>
      <w:r>
        <w:t>理論連結：Ananny &amp; Crawford (2018)「看得到卻無法理解（seeing without knowing）」。 實證對象以 **Template A**（密集 21 CFR／標示／品質系統寄存）為主，並併讀 **Template C**（常以上市後監測／通報語彙做時間性外推），兩者共同構成程序透明下的遮蔽。</w:t>
      </w:r>
    </w:p>
    <w:p>
      <w:pPr>
        <w:spacing w:after="120"/>
      </w:pPr>
      <w:r>
        <w:t>數據顯示，`measurement_labeling` 在摘要中覆蓋率約 **99.86%**（1382/1384），顯示開發者高度依賴程序化的透明度敘事。然而，這種覆蓋本身可能落入 Ananny 與 Crawford (2018) 所批判的修辭陷阱：藉由堆砌法規條文與合規清單（Template A），以及將殘餘風險轉寫為上市後監測責任（Template C），文本在形式上顯得「技術完備」，卻可能使 AI 偏見與分配正義的論證被鎖在指標與程序語彙內，形成所謂的「政治性蒸發」。</w:t>
      </w:r>
    </w:p>
    <w:p>
      <w:pPr>
        <w:spacing w:after="120"/>
      </w:pPr>
      <w:r>
        <w:t>Anchor: Ananny &amp; Crawford (2018) on procedural visibility that forecloses understanding. Empirically, **measurement_labeling** is near-saturation (**≈99.86%**; 1382/1384). Yet high checklist coverage can instantiate the **seeing without knowing** trap: Template A mobilizes dense 21 CFR / labeling / QS registers, while Template C often **time-defer** residual concerns to post-market surveillance language. Together, these moves can satisfy formal transparency while functioning as a rhetorical shield—confining bias talk to technical parameters and letting substantive justice questions evaporate into regulatory jargon.</w:t>
      </w:r>
    </w:p>
    <w:p>
      <w:pPr>
        <w:pStyle w:val="Heading2"/>
      </w:pPr>
      <w:r>
        <w:t>第三部分：統計中立化與「新吉姆代碼」 (Statistical neutralization)</w:t>
      </w:r>
    </w:p>
    <w:p>
      <w:pPr>
        <w:spacing w:after="120"/>
      </w:pPr>
      <w:r>
        <w:t>理論連結：Ruha Benjamin (2019)「新吉姆代碼（New Jim Code）」與 Jennifer Rhee (2018)《The Robotic Imaginary》對去人性化勞動／身體的批判。</w:t>
      </w:r>
    </w:p>
    <w:p>
      <w:pPr>
        <w:spacing w:after="120"/>
      </w:pPr>
      <w:r>
        <w:t>本研究在話語模板層辨識的「統計中立化」策略（**Template B**），可視為 Benjamin (2019) 所謂「新吉姆代碼」的具體話語實作：種族、性別等歷史性身份範疇被高度綁定到 AUC、信賴區間與子群表格，轉寫為「分層變量（stratification variables）」。誠如 Rhee (2018) 在機器人想像系譜中所論，技術化敘事常伴隨勞動與身體的去社會化；當 AI 被呈現為中立的數學工具時，不平等的歷史根源易被遮蔽，並藉「工程化」修辭在監管語境中顯得合情合理。</w:t>
      </w:r>
    </w:p>
    <w:p>
      <w:pPr>
        <w:spacing w:after="120"/>
      </w:pPr>
      <w:r>
        <w:t>Anchors: Benjamin (2019) *The New Jim Code*; Rhee (2018) *The Robotic Imaginary*. **Template B** binds race/gender categories to AUCs, confidence intervals, and subgroup tables—turning historical markers into **stratification variables**. This is a discursive enactment of Benjamin’s **New Jim Code**: when AI is rendered as a neutral mathematical apparatus, inequality’s genealogies are easy to omit, and “engineering” rhetoric can normalize systemic exclusion inside regulatory text.</w:t>
      </w:r>
    </w:p>
    <w:p>
      <w:pPr>
        <w:pStyle w:val="Heading2"/>
      </w:pPr>
      <w:r>
        <w:t>第四部分：政策脫節與認識論盲點 (Regulatory mismatch &amp; epistemic blindness)</w:t>
      </w:r>
    </w:p>
    <w:p>
      <w:pPr>
        <w:spacing w:after="120"/>
      </w:pPr>
      <w:r>
        <w:t>理論連結：本文的 **Mismatch Metric**（政策—技術語義張力）與 EU AI Act 代理對照。</w:t>
      </w:r>
    </w:p>
    <w:p>
      <w:pPr>
        <w:spacing w:after="120"/>
      </w:pPr>
      <w:r>
        <w:t>本研究提出的 Mismatch Metric 將「政策期望與技術實踐之間的斷裂」加以量化（有限樣本平均 mismatch_finite_mean≈1.122753）。在以 EU AI Act 高風險資料治理與技術文件要件為外部基準時，本研究子集（N=1384）呈現 **likely non-aligned 約 100%**。此種脫節不宜僅解讀為技術落後，而更接近制度性的「認識論盲點」：監管文本缺乏穩定捕捉結構性傷害的語彙空間，使設備敘事在技術精度上可能愈來愈細，卻在社會公平維度上難以被追問。</w:t>
      </w:r>
    </w:p>
    <w:p>
      <w:pPr>
        <w:spacing w:after="120"/>
      </w:pPr>
      <w:r>
        <w:t>The **Mismatch Metric** compresses the semantic rupture between policy-facing expectations and technical practice (here, mismatch_finite_mean ≈ **1.122753** on finite-support documents). When benchmarked against our EU high-risk proxy (N=1384), the corpus shows **≈100% likely non-alignment** under the chosen weights. This is not only “technical lag” but a systemic **epistemic blindness**: oversight genres may lack lexical and conceptual room for structural harms—devices can read increasingly precise technically, yet remain difficult to interrogate on equity.</w:t>
      </w:r>
    </w:p>
    <w:p>
      <w:pPr>
        <w:pStyle w:val="Heading2"/>
      </w:pPr>
      <w:r>
        <w:t>Files Generated</w:t>
      </w:r>
    </w:p>
    <w:p>
      <w:pPr>
        <w:pStyle w:val="ListBullet"/>
      </w:pPr>
      <w:r>
        <w:t>`data/analysis/bias_field_summary.csv`</w:t>
      </w:r>
    </w:p>
    <w:p>
      <w:pPr>
        <w:pStyle w:val="ListBullet"/>
      </w:pPr>
      <w:r>
        <w:t>`data/analysis/bias_field_sentence_samples.csv`</w:t>
      </w:r>
    </w:p>
    <w:p>
      <w:pPr>
        <w:pStyle w:val="ListBullet"/>
      </w:pPr>
      <w:r>
        <w:t>`data/analysis/bias_field_panel_crosstab.csv`</w:t>
      </w:r>
    </w:p>
    <w:p>
      <w:pPr>
        <w:pStyle w:val="ListBullet"/>
      </w:pPr>
      <w:r>
        <w:t>`data/analysis/full_bilingual_methods_results.md`</w:t>
      </w:r>
    </w:p>
    <w:p>
      <w:pPr>
        <w:pStyle w:val="Heading1"/>
      </w:pPr>
      <w:r>
        <w:t>Key Figures</w:t>
      </w:r>
    </w:p>
    <w:p>
      <w:r>
        <w:t>Figure 1. Co-occurrence heatmap (Race, Accuracy, SES).</w:t>
      </w:r>
    </w:p>
    <w:p>
      <w:r>
        <w:drawing>
          <wp:inline xmlns:a="http://schemas.openxmlformats.org/drawingml/2006/main" xmlns:pic="http://schemas.openxmlformats.org/drawingml/2006/picture">
            <wp:extent cx="5669280" cy="4724400"/>
            <wp:docPr id="1" name="Picture 1"/>
            <wp:cNvGraphicFramePr>
              <a:graphicFrameLocks noChangeAspect="1"/>
            </wp:cNvGraphicFramePr>
            <a:graphic>
              <a:graphicData uri="http://schemas.openxmlformats.org/drawingml/2006/picture">
                <pic:pic>
                  <pic:nvPicPr>
                    <pic:cNvPr id="0" name="race_accuracy_ses_heatmap.png"/>
                    <pic:cNvPicPr/>
                  </pic:nvPicPr>
                  <pic:blipFill>
                    <a:blip r:embed="rId9"/>
                    <a:stretch>
                      <a:fillRect/>
                    </a:stretch>
                  </pic:blipFill>
                  <pic:spPr>
                    <a:xfrm>
                      <a:off x="0" y="0"/>
                      <a:ext cx="5669280" cy="4724400"/>
                    </a:xfrm>
                    <a:prstGeom prst="rect"/>
                  </pic:spPr>
                </pic:pic>
              </a:graphicData>
            </a:graphic>
          </wp:inline>
        </w:drawing>
      </w:r>
    </w:p>
    <w:p>
      <w:r>
        <w:t>Figure 2. Radar chart: policy expectation vs FDA submissions.</w:t>
      </w:r>
    </w:p>
    <w:p>
      <w:r>
        <w:drawing>
          <wp:inline xmlns:a="http://schemas.openxmlformats.org/drawingml/2006/main" xmlns:pic="http://schemas.openxmlformats.org/drawingml/2006/picture">
            <wp:extent cx="5669280" cy="5227363"/>
            <wp:docPr id="2" name="Picture 2"/>
            <wp:cNvGraphicFramePr>
              <a:graphicFrameLocks noChangeAspect="1"/>
            </wp:cNvGraphicFramePr>
            <a:graphic>
              <a:graphicData uri="http://schemas.openxmlformats.org/drawingml/2006/picture">
                <pic:pic>
                  <pic:nvPicPr>
                    <pic:cNvPr id="0" name="policy_vs_fda_radar.png"/>
                    <pic:cNvPicPr/>
                  </pic:nvPicPr>
                  <pic:blipFill>
                    <a:blip r:embed="rId10"/>
                    <a:stretch>
                      <a:fillRect/>
                    </a:stretch>
                  </pic:blipFill>
                  <pic:spPr>
                    <a:xfrm>
                      <a:off x="0" y="0"/>
                      <a:ext cx="5669280" cy="5227363"/>
                    </a:xfrm>
                    <a:prstGeom prst="rect"/>
                  </pic:spPr>
                </pic:pic>
              </a:graphicData>
            </a:graphic>
          </wp:inline>
        </w:drawing>
      </w:r>
    </w:p>
    <w:p>
      <w:pPr>
        <w:pStyle w:val="Heading1"/>
      </w:pPr>
      <w:r>
        <w:t>Significance Test Snapshot</w:t>
      </w:r>
    </w:p>
    <w:p>
      <w:r>
        <w:t>documents_used: 1384</w:t>
      </w:r>
    </w:p>
    <w:p>
      <w:r>
        <w:t>b_techbio_without_structural_strict: 997</w:t>
      </w:r>
    </w:p>
    <w:p>
      <w:r>
        <w:t>c_structural_strict_without_techbio: 10</w:t>
      </w:r>
    </w:p>
    <w:p>
      <w:r>
        <w:t>discordant_pairs: 1007</w:t>
      </w:r>
    </w:p>
    <w:p>
      <w:r>
        <w:t>p_value_one_sided: 2.08078130744392e-280</w:t>
      </w:r>
    </w:p>
    <w:p>
      <w:r>
        <w:t>interpretation: systematic_filtering_supported</w:t>
      </w:r>
    </w:p>
    <w:p>
      <w:pPr>
        <w:pStyle w:val="Heading1"/>
      </w:pPr>
      <w:r>
        <w:t>Appendix A. Bias-Field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docs_with_mentions</w:t>
            </w:r>
          </w:p>
        </w:tc>
        <w:tc>
          <w:tcPr>
            <w:tcW w:type="dxa" w:w="1728"/>
          </w:tcPr>
          <w:p>
            <w:r>
              <w:t>doc_rate</w:t>
            </w:r>
          </w:p>
        </w:tc>
        <w:tc>
          <w:tcPr>
            <w:tcW w:type="dxa" w:w="1728"/>
          </w:tcPr>
          <w:p>
            <w:r>
              <w:t>total_mentions</w:t>
            </w:r>
          </w:p>
        </w:tc>
        <w:tc>
          <w:tcPr>
            <w:tcW w:type="dxa" w:w="1728"/>
          </w:tcPr>
          <w:p>
            <w:r>
              <w:t>mean_mentions_per_doc</w:t>
            </w:r>
          </w:p>
        </w:tc>
      </w:tr>
      <w:tr>
        <w:tc>
          <w:tcPr>
            <w:tcW w:type="dxa" w:w="1728"/>
          </w:tcPr>
          <w:p>
            <w:r>
              <w:t>measurement_labeling</w:t>
            </w:r>
          </w:p>
        </w:tc>
        <w:tc>
          <w:tcPr>
            <w:tcW w:type="dxa" w:w="1728"/>
          </w:tcPr>
          <w:p>
            <w:r>
              <w:t>1382</w:t>
            </w:r>
          </w:p>
        </w:tc>
        <w:tc>
          <w:tcPr>
            <w:tcW w:type="dxa" w:w="1728"/>
          </w:tcPr>
          <w:p>
            <w:r>
              <w:t>0.9986</w:t>
            </w:r>
          </w:p>
        </w:tc>
        <w:tc>
          <w:tcPr>
            <w:tcW w:type="dxa" w:w="1728"/>
          </w:tcPr>
          <w:p>
            <w:r>
              <w:t>10200</w:t>
            </w:r>
          </w:p>
        </w:tc>
        <w:tc>
          <w:tcPr>
            <w:tcW w:type="dxa" w:w="1728"/>
          </w:tcPr>
          <w:p>
            <w:r>
              <w:t>7.3699</w:t>
            </w:r>
          </w:p>
        </w:tc>
      </w:tr>
      <w:tr>
        <w:tc>
          <w:tcPr>
            <w:tcW w:type="dxa" w:w="1728"/>
          </w:tcPr>
          <w:p>
            <w:r>
              <w:t>performance_disparity</w:t>
            </w:r>
          </w:p>
        </w:tc>
        <w:tc>
          <w:tcPr>
            <w:tcW w:type="dxa" w:w="1728"/>
          </w:tcPr>
          <w:p>
            <w:r>
              <w:t>1329</w:t>
            </w:r>
          </w:p>
        </w:tc>
        <w:tc>
          <w:tcPr>
            <w:tcW w:type="dxa" w:w="1728"/>
          </w:tcPr>
          <w:p>
            <w:r>
              <w:t>0.9603</w:t>
            </w:r>
          </w:p>
        </w:tc>
        <w:tc>
          <w:tcPr>
            <w:tcW w:type="dxa" w:w="1728"/>
          </w:tcPr>
          <w:p>
            <w:r>
              <w:t>17591</w:t>
            </w:r>
          </w:p>
        </w:tc>
        <w:tc>
          <w:tcPr>
            <w:tcW w:type="dxa" w:w="1728"/>
          </w:tcPr>
          <w:p>
            <w:r>
              <w:t>12.7103</w:t>
            </w:r>
          </w:p>
        </w:tc>
      </w:tr>
      <w:tr>
        <w:tc>
          <w:tcPr>
            <w:tcW w:type="dxa" w:w="1728"/>
          </w:tcPr>
          <w:p>
            <w:r>
              <w:t>clinical_workflow_shift</w:t>
            </w:r>
          </w:p>
        </w:tc>
        <w:tc>
          <w:tcPr>
            <w:tcW w:type="dxa" w:w="1728"/>
          </w:tcPr>
          <w:p>
            <w:r>
              <w:t>1076</w:t>
            </w:r>
          </w:p>
        </w:tc>
        <w:tc>
          <w:tcPr>
            <w:tcW w:type="dxa" w:w="1728"/>
          </w:tcPr>
          <w:p>
            <w:r>
              <w:t>0.7775</w:t>
            </w:r>
          </w:p>
        </w:tc>
        <w:tc>
          <w:tcPr>
            <w:tcW w:type="dxa" w:w="1728"/>
          </w:tcPr>
          <w:p>
            <w:r>
              <w:t>6106</w:t>
            </w:r>
          </w:p>
        </w:tc>
        <w:tc>
          <w:tcPr>
            <w:tcW w:type="dxa" w:w="1728"/>
          </w:tcPr>
          <w:p>
            <w:r>
              <w:t>4.4118</w:t>
            </w:r>
          </w:p>
        </w:tc>
      </w:tr>
      <w:tr>
        <w:tc>
          <w:tcPr>
            <w:tcW w:type="dxa" w:w="1728"/>
          </w:tcPr>
          <w:p>
            <w:r>
              <w:t>mitigation_governance</w:t>
            </w:r>
          </w:p>
        </w:tc>
        <w:tc>
          <w:tcPr>
            <w:tcW w:type="dxa" w:w="1728"/>
          </w:tcPr>
          <w:p>
            <w:r>
              <w:t>870</w:t>
            </w:r>
          </w:p>
        </w:tc>
        <w:tc>
          <w:tcPr>
            <w:tcW w:type="dxa" w:w="1728"/>
          </w:tcPr>
          <w:p>
            <w:r>
              <w:t>0.6286</w:t>
            </w:r>
          </w:p>
        </w:tc>
        <w:tc>
          <w:tcPr>
            <w:tcW w:type="dxa" w:w="1728"/>
          </w:tcPr>
          <w:p>
            <w:r>
              <w:t>2335</w:t>
            </w:r>
          </w:p>
        </w:tc>
        <w:tc>
          <w:tcPr>
            <w:tcW w:type="dxa" w:w="1728"/>
          </w:tcPr>
          <w:p>
            <w:r>
              <w:t>1.6871</w:t>
            </w:r>
          </w:p>
        </w:tc>
      </w:tr>
      <w:tr>
        <w:tc>
          <w:tcPr>
            <w:tcW w:type="dxa" w:w="1728"/>
          </w:tcPr>
          <w:p>
            <w:r>
              <w:t>dataset_representation</w:t>
            </w:r>
          </w:p>
        </w:tc>
        <w:tc>
          <w:tcPr>
            <w:tcW w:type="dxa" w:w="1728"/>
          </w:tcPr>
          <w:p>
            <w:r>
              <w:t>845</w:t>
            </w:r>
          </w:p>
        </w:tc>
        <w:tc>
          <w:tcPr>
            <w:tcW w:type="dxa" w:w="1728"/>
          </w:tcPr>
          <w:p>
            <w:r>
              <w:t>0.6105</w:t>
            </w:r>
          </w:p>
        </w:tc>
        <w:tc>
          <w:tcPr>
            <w:tcW w:type="dxa" w:w="1728"/>
          </w:tcPr>
          <w:p>
            <w:r>
              <w:t>5624</w:t>
            </w:r>
          </w:p>
        </w:tc>
        <w:tc>
          <w:tcPr>
            <w:tcW w:type="dxa" w:w="1728"/>
          </w:tcPr>
          <w:p>
            <w:r>
              <w:t>4.0636</w:t>
            </w:r>
          </w:p>
        </w:tc>
      </w:tr>
      <w:tr>
        <w:tc>
          <w:tcPr>
            <w:tcW w:type="dxa" w:w="1728"/>
          </w:tcPr>
          <w:p>
            <w:r>
              <w:t>structural_determinants</w:t>
            </w:r>
          </w:p>
        </w:tc>
        <w:tc>
          <w:tcPr>
            <w:tcW w:type="dxa" w:w="1728"/>
          </w:tcPr>
          <w:p>
            <w:r>
              <w:t>2</w:t>
            </w:r>
          </w:p>
        </w:tc>
        <w:tc>
          <w:tcPr>
            <w:tcW w:type="dxa" w:w="1728"/>
          </w:tcPr>
          <w:p>
            <w:r>
              <w:t>0.0014</w:t>
            </w:r>
          </w:p>
        </w:tc>
        <w:tc>
          <w:tcPr>
            <w:tcW w:type="dxa" w:w="1728"/>
          </w:tcPr>
          <w:p>
            <w:r>
              <w:t>6</w:t>
            </w:r>
          </w:p>
        </w:tc>
        <w:tc>
          <w:tcPr>
            <w:tcW w:type="dxa" w:w="1728"/>
          </w:tcPr>
          <w:p>
            <w:r>
              <w:t>0.0043</w:t>
            </w:r>
          </w:p>
        </w:tc>
      </w:tr>
    </w:tbl>
    <w:p>
      <w:pPr>
        <w:pStyle w:val="Heading1"/>
      </w:pPr>
      <w:r>
        <w:t>Appendix B. Bias-Field x Panel (Top Excerpt)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Panel (Lead)</w:t>
            </w:r>
          </w:p>
        </w:tc>
        <w:tc>
          <w:tcPr>
            <w:tcW w:type="dxa" w:w="1728"/>
          </w:tcPr>
          <w:p>
            <w:r>
              <w:t>panel_docs</w:t>
            </w:r>
          </w:p>
        </w:tc>
        <w:tc>
          <w:tcPr>
            <w:tcW w:type="dxa" w:w="1728"/>
          </w:tcPr>
          <w:p>
            <w:r>
              <w:t>docs_with_mentions</w:t>
            </w:r>
          </w:p>
        </w:tc>
        <w:tc>
          <w:tcPr>
            <w:tcW w:type="dxa" w:w="1728"/>
          </w:tcPr>
          <w:p>
            <w:r>
              <w:t>mention_rate</w:t>
            </w:r>
          </w:p>
        </w:tc>
      </w:tr>
      <w:tr>
        <w:tc>
          <w:tcPr>
            <w:tcW w:type="dxa" w:w="1728"/>
          </w:tcPr>
          <w:p>
            <w:r>
              <w:t>clinical_workflow_shift</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clinical_workflow_shift</w:t>
            </w:r>
          </w:p>
        </w:tc>
        <w:tc>
          <w:tcPr>
            <w:tcW w:type="dxa" w:w="1728"/>
          </w:tcPr>
          <w:p>
            <w:r>
              <w:t>Ophthalmic</w:t>
            </w:r>
          </w:p>
        </w:tc>
        <w:tc>
          <w:tcPr>
            <w:tcW w:type="dxa" w:w="1728"/>
          </w:tcPr>
          <w:p>
            <w:r>
              <w:t>8</w:t>
            </w:r>
          </w:p>
        </w:tc>
        <w:tc>
          <w:tcPr>
            <w:tcW w:type="dxa" w:w="1728"/>
          </w:tcPr>
          <w:p>
            <w:r>
              <w:t>8</w:t>
            </w:r>
          </w:p>
        </w:tc>
        <w:tc>
          <w:tcPr>
            <w:tcW w:type="dxa" w:w="1728"/>
          </w:tcPr>
          <w:p>
            <w:r>
              <w:t>1.000</w:t>
            </w:r>
          </w:p>
        </w:tc>
      </w:tr>
      <w:tr>
        <w:tc>
          <w:tcPr>
            <w:tcW w:type="dxa" w:w="1728"/>
          </w:tcPr>
          <w:p>
            <w:r>
              <w:t>clinical_workflow_shift</w:t>
            </w:r>
          </w:p>
        </w:tc>
        <w:tc>
          <w:tcPr>
            <w:tcW w:type="dxa" w:w="1728"/>
          </w:tcPr>
          <w:p>
            <w:r>
              <w:t>Pathology</w:t>
            </w:r>
          </w:p>
        </w:tc>
        <w:tc>
          <w:tcPr>
            <w:tcW w:type="dxa" w:w="1728"/>
          </w:tcPr>
          <w:p>
            <w:r>
              <w:t>4</w:t>
            </w:r>
          </w:p>
        </w:tc>
        <w:tc>
          <w:tcPr>
            <w:tcW w:type="dxa" w:w="1728"/>
          </w:tcPr>
          <w:p>
            <w:r>
              <w:t>4</w:t>
            </w:r>
          </w:p>
        </w:tc>
        <w:tc>
          <w:tcPr>
            <w:tcW w:type="dxa" w:w="1728"/>
          </w:tcPr>
          <w:p>
            <w:r>
              <w:t>1.000</w:t>
            </w:r>
          </w:p>
        </w:tc>
      </w:tr>
      <w:tr>
        <w:tc>
          <w:tcPr>
            <w:tcW w:type="dxa" w:w="1728"/>
          </w:tcPr>
          <w:p>
            <w:r>
              <w:t>clinical_workflow_shift</w:t>
            </w:r>
          </w:p>
        </w:tc>
        <w:tc>
          <w:tcPr>
            <w:tcW w:type="dxa" w:w="1728"/>
          </w:tcPr>
          <w:p>
            <w:r>
              <w:t>Cardiovascular</w:t>
            </w:r>
          </w:p>
        </w:tc>
        <w:tc>
          <w:tcPr>
            <w:tcW w:type="dxa" w:w="1728"/>
          </w:tcPr>
          <w:p>
            <w:r>
              <w:t>130</w:t>
            </w:r>
          </w:p>
        </w:tc>
        <w:tc>
          <w:tcPr>
            <w:tcW w:type="dxa" w:w="1728"/>
          </w:tcPr>
          <w:p>
            <w:r>
              <w:t>124</w:t>
            </w:r>
          </w:p>
        </w:tc>
        <w:tc>
          <w:tcPr>
            <w:tcW w:type="dxa" w:w="1728"/>
          </w:tcPr>
          <w:p>
            <w:r>
              <w:t>0.954</w:t>
            </w:r>
          </w:p>
        </w:tc>
      </w:tr>
      <w:tr>
        <w:tc>
          <w:tcPr>
            <w:tcW w:type="dxa" w:w="1728"/>
          </w:tcPr>
          <w:p>
            <w:r>
              <w:t>clinical_workflow_shift</w:t>
            </w:r>
          </w:p>
        </w:tc>
        <w:tc>
          <w:tcPr>
            <w:tcW w:type="dxa" w:w="1728"/>
          </w:tcPr>
          <w:p>
            <w:r>
              <w:t>Gastroenterology-Urology</w:t>
            </w:r>
          </w:p>
        </w:tc>
        <w:tc>
          <w:tcPr>
            <w:tcW w:type="dxa" w:w="1728"/>
          </w:tcPr>
          <w:p>
            <w:r>
              <w:t>22</w:t>
            </w:r>
          </w:p>
        </w:tc>
        <w:tc>
          <w:tcPr>
            <w:tcW w:type="dxa" w:w="1728"/>
          </w:tcPr>
          <w:p>
            <w:r>
              <w:t>20</w:t>
            </w:r>
          </w:p>
        </w:tc>
        <w:tc>
          <w:tcPr>
            <w:tcW w:type="dxa" w:w="1728"/>
          </w:tcPr>
          <w:p>
            <w:r>
              <w:t>0.909</w:t>
            </w:r>
          </w:p>
        </w:tc>
      </w:tr>
      <w:tr>
        <w:tc>
          <w:tcPr>
            <w:tcW w:type="dxa" w:w="1728"/>
          </w:tcPr>
          <w:p>
            <w:r>
              <w:t>dataset_representation</w:t>
            </w:r>
          </w:p>
        </w:tc>
        <w:tc>
          <w:tcPr>
            <w:tcW w:type="dxa" w:w="1728"/>
          </w:tcPr>
          <w:p>
            <w:r>
              <w:t>Anesthesiology</w:t>
            </w:r>
          </w:p>
        </w:tc>
        <w:tc>
          <w:tcPr>
            <w:tcW w:type="dxa" w:w="1728"/>
          </w:tcPr>
          <w:p>
            <w:r>
              <w:t>21</w:t>
            </w:r>
          </w:p>
        </w:tc>
        <w:tc>
          <w:tcPr>
            <w:tcW w:type="dxa" w:w="1728"/>
          </w:tcPr>
          <w:p>
            <w:r>
              <w:t>17</w:t>
            </w:r>
          </w:p>
        </w:tc>
        <w:tc>
          <w:tcPr>
            <w:tcW w:type="dxa" w:w="1728"/>
          </w:tcPr>
          <w:p>
            <w:r>
              <w:t>0.810</w:t>
            </w:r>
          </w:p>
        </w:tc>
      </w:tr>
      <w:tr>
        <w:tc>
          <w:tcPr>
            <w:tcW w:type="dxa" w:w="1728"/>
          </w:tcPr>
          <w:p>
            <w:r>
              <w:t>dataset_representation</w:t>
            </w:r>
          </w:p>
        </w:tc>
        <w:tc>
          <w:tcPr>
            <w:tcW w:type="dxa" w:w="1728"/>
          </w:tcPr>
          <w:p>
            <w:r>
              <w:t>Neurology</w:t>
            </w:r>
          </w:p>
        </w:tc>
        <w:tc>
          <w:tcPr>
            <w:tcW w:type="dxa" w:w="1728"/>
          </w:tcPr>
          <w:p>
            <w:r>
              <w:t>61</w:t>
            </w:r>
          </w:p>
        </w:tc>
        <w:tc>
          <w:tcPr>
            <w:tcW w:type="dxa" w:w="1728"/>
          </w:tcPr>
          <w:p>
            <w:r>
              <w:t>46</w:t>
            </w:r>
          </w:p>
        </w:tc>
        <w:tc>
          <w:tcPr>
            <w:tcW w:type="dxa" w:w="1728"/>
          </w:tcPr>
          <w:p>
            <w:r>
              <w:t>0.754</w:t>
            </w:r>
          </w:p>
        </w:tc>
      </w:tr>
      <w:tr>
        <w:tc>
          <w:tcPr>
            <w:tcW w:type="dxa" w:w="1728"/>
          </w:tcPr>
          <w:p>
            <w:r>
              <w:t>dataset_representation</w:t>
            </w:r>
          </w:p>
        </w:tc>
        <w:tc>
          <w:tcPr>
            <w:tcW w:type="dxa" w:w="1728"/>
          </w:tcPr>
          <w:p>
            <w:r>
              <w:t>Obstetrics and Gynecology</w:t>
            </w:r>
          </w:p>
        </w:tc>
        <w:tc>
          <w:tcPr>
            <w:tcW w:type="dxa" w:w="1728"/>
          </w:tcPr>
          <w:p>
            <w:r>
              <w:t>4</w:t>
            </w:r>
          </w:p>
        </w:tc>
        <w:tc>
          <w:tcPr>
            <w:tcW w:type="dxa" w:w="1728"/>
          </w:tcPr>
          <w:p>
            <w:r>
              <w:t>3</w:t>
            </w:r>
          </w:p>
        </w:tc>
        <w:tc>
          <w:tcPr>
            <w:tcW w:type="dxa" w:w="1728"/>
          </w:tcPr>
          <w:p>
            <w:r>
              <w:t>0.750</w:t>
            </w:r>
          </w:p>
        </w:tc>
      </w:tr>
      <w:tr>
        <w:tc>
          <w:tcPr>
            <w:tcW w:type="dxa" w:w="1728"/>
          </w:tcPr>
          <w:p>
            <w:r>
              <w:t>dataset_representation</w:t>
            </w:r>
          </w:p>
        </w:tc>
        <w:tc>
          <w:tcPr>
            <w:tcW w:type="dxa" w:w="1728"/>
          </w:tcPr>
          <w:p>
            <w:r>
              <w:t>Ophthalmic</w:t>
            </w:r>
          </w:p>
        </w:tc>
        <w:tc>
          <w:tcPr>
            <w:tcW w:type="dxa" w:w="1728"/>
          </w:tcPr>
          <w:p>
            <w:r>
              <w:t>8</w:t>
            </w:r>
          </w:p>
        </w:tc>
        <w:tc>
          <w:tcPr>
            <w:tcW w:type="dxa" w:w="1728"/>
          </w:tcPr>
          <w:p>
            <w:r>
              <w:t>5</w:t>
            </w:r>
          </w:p>
        </w:tc>
        <w:tc>
          <w:tcPr>
            <w:tcW w:type="dxa" w:w="1728"/>
          </w:tcPr>
          <w:p>
            <w:r>
              <w:t>0.625</w:t>
            </w:r>
          </w:p>
        </w:tc>
      </w:tr>
      <w:tr>
        <w:tc>
          <w:tcPr>
            <w:tcW w:type="dxa" w:w="1728"/>
          </w:tcPr>
          <w:p>
            <w:r>
              <w:t>dataset_representation</w:t>
            </w:r>
          </w:p>
        </w:tc>
        <w:tc>
          <w:tcPr>
            <w:tcW w:type="dxa" w:w="1728"/>
          </w:tcPr>
          <w:p>
            <w:r>
              <w:t>Radiology</w:t>
            </w:r>
          </w:p>
        </w:tc>
        <w:tc>
          <w:tcPr>
            <w:tcW w:type="dxa" w:w="1728"/>
          </w:tcPr>
          <w:p>
            <w:r>
              <w:t>1082</w:t>
            </w:r>
          </w:p>
        </w:tc>
        <w:tc>
          <w:tcPr>
            <w:tcW w:type="dxa" w:w="1728"/>
          </w:tcPr>
          <w:p>
            <w:r>
              <w:t>676</w:t>
            </w:r>
          </w:p>
        </w:tc>
        <w:tc>
          <w:tcPr>
            <w:tcW w:type="dxa" w:w="1728"/>
          </w:tcPr>
          <w:p>
            <w:r>
              <w:t>0.625</w:t>
            </w:r>
          </w:p>
        </w:tc>
      </w:tr>
      <w:tr>
        <w:tc>
          <w:tcPr>
            <w:tcW w:type="dxa" w:w="1728"/>
          </w:tcPr>
          <w:p>
            <w:r>
              <w:t>measurement_labeling</w:t>
            </w:r>
          </w:p>
        </w:tc>
        <w:tc>
          <w:tcPr>
            <w:tcW w:type="dxa" w:w="1728"/>
          </w:tcPr>
          <w:p>
            <w:r>
              <w:t>Anesthesiology</w:t>
            </w:r>
          </w:p>
        </w:tc>
        <w:tc>
          <w:tcPr>
            <w:tcW w:type="dxa" w:w="1728"/>
          </w:tcPr>
          <w:p>
            <w:r>
              <w:t>21</w:t>
            </w:r>
          </w:p>
        </w:tc>
        <w:tc>
          <w:tcPr>
            <w:tcW w:type="dxa" w:w="1728"/>
          </w:tcPr>
          <w:p>
            <w:r>
              <w:t>21</w:t>
            </w:r>
          </w:p>
        </w:tc>
        <w:tc>
          <w:tcPr>
            <w:tcW w:type="dxa" w:w="1728"/>
          </w:tcPr>
          <w:p>
            <w:r>
              <w:t>1.000</w:t>
            </w:r>
          </w:p>
        </w:tc>
      </w:tr>
      <w:tr>
        <w:tc>
          <w:tcPr>
            <w:tcW w:type="dxa" w:w="1728"/>
          </w:tcPr>
          <w:p>
            <w:r>
              <w:t>measurement_labeling</w:t>
            </w:r>
          </w:p>
        </w:tc>
        <w:tc>
          <w:tcPr>
            <w:tcW w:type="dxa" w:w="1728"/>
          </w:tcPr>
          <w:p>
            <w:r>
              <w:t>Cardiovascular</w:t>
            </w:r>
          </w:p>
        </w:tc>
        <w:tc>
          <w:tcPr>
            <w:tcW w:type="dxa" w:w="1728"/>
          </w:tcPr>
          <w:p>
            <w:r>
              <w:t>130</w:t>
            </w:r>
          </w:p>
        </w:tc>
        <w:tc>
          <w:tcPr>
            <w:tcW w:type="dxa" w:w="1728"/>
          </w:tcPr>
          <w:p>
            <w:r>
              <w:t>130</w:t>
            </w:r>
          </w:p>
        </w:tc>
        <w:tc>
          <w:tcPr>
            <w:tcW w:type="dxa" w:w="1728"/>
          </w:tcPr>
          <w:p>
            <w:r>
              <w:t>1.000</w:t>
            </w:r>
          </w:p>
        </w:tc>
      </w:tr>
      <w:tr>
        <w:tc>
          <w:tcPr>
            <w:tcW w:type="dxa" w:w="1728"/>
          </w:tcPr>
          <w:p>
            <w:r>
              <w:t>measurement_labeling</w:t>
            </w:r>
          </w:p>
        </w:tc>
        <w:tc>
          <w:tcPr>
            <w:tcW w:type="dxa" w:w="1728"/>
          </w:tcPr>
          <w:p>
            <w:r>
              <w:t>Clinical Chemistry</w:t>
            </w:r>
          </w:p>
        </w:tc>
        <w:tc>
          <w:tcPr>
            <w:tcW w:type="dxa" w:w="1728"/>
          </w:tcPr>
          <w:p>
            <w:r>
              <w:t>7</w:t>
            </w:r>
          </w:p>
        </w:tc>
        <w:tc>
          <w:tcPr>
            <w:tcW w:type="dxa" w:w="1728"/>
          </w:tcPr>
          <w:p>
            <w:r>
              <w:t>7</w:t>
            </w:r>
          </w:p>
        </w:tc>
        <w:tc>
          <w:tcPr>
            <w:tcW w:type="dxa" w:w="1728"/>
          </w:tcPr>
          <w:p>
            <w:r>
              <w:t>1.000</w:t>
            </w:r>
          </w:p>
        </w:tc>
      </w:tr>
      <w:tr>
        <w:tc>
          <w:tcPr>
            <w:tcW w:type="dxa" w:w="1728"/>
          </w:tcPr>
          <w:p>
            <w:r>
              <w:t>measurement_labeling</w:t>
            </w:r>
          </w:p>
        </w:tc>
        <w:tc>
          <w:tcPr>
            <w:tcW w:type="dxa" w:w="1728"/>
          </w:tcPr>
          <w:p>
            <w:r>
              <w:t>Clinical Toxcicology</w:t>
            </w:r>
          </w:p>
        </w:tc>
        <w:tc>
          <w:tcPr>
            <w:tcW w:type="dxa" w:w="1728"/>
          </w:tcPr>
          <w:p>
            <w:r>
              <w:t>5</w:t>
            </w:r>
          </w:p>
        </w:tc>
        <w:tc>
          <w:tcPr>
            <w:tcW w:type="dxa" w:w="1728"/>
          </w:tcPr>
          <w:p>
            <w:r>
              <w:t>5</w:t>
            </w:r>
          </w:p>
        </w:tc>
        <w:tc>
          <w:tcPr>
            <w:tcW w:type="dxa" w:w="1728"/>
          </w:tcPr>
          <w:p>
            <w:r>
              <w:t>1.000</w:t>
            </w:r>
          </w:p>
        </w:tc>
      </w:tr>
      <w:tr>
        <w:tc>
          <w:tcPr>
            <w:tcW w:type="dxa" w:w="1728"/>
          </w:tcPr>
          <w:p>
            <w:r>
              <w:t>measurement_labeling</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mitigation_governance</w:t>
            </w:r>
          </w:p>
        </w:tc>
        <w:tc>
          <w:tcPr>
            <w:tcW w:type="dxa" w:w="1728"/>
          </w:tcPr>
          <w:p>
            <w:r>
              <w:t>Ophthalmic</w:t>
            </w:r>
          </w:p>
        </w:tc>
        <w:tc>
          <w:tcPr>
            <w:tcW w:type="dxa" w:w="1728"/>
          </w:tcPr>
          <w:p>
            <w:r>
              <w:t>8</w:t>
            </w:r>
          </w:p>
        </w:tc>
        <w:tc>
          <w:tcPr>
            <w:tcW w:type="dxa" w:w="1728"/>
          </w:tcPr>
          <w:p>
            <w:r>
              <w:t>7</w:t>
            </w:r>
          </w:p>
        </w:tc>
        <w:tc>
          <w:tcPr>
            <w:tcW w:type="dxa" w:w="1728"/>
          </w:tcPr>
          <w:p>
            <w:r>
              <w:t>0.875</w:t>
            </w:r>
          </w:p>
        </w:tc>
      </w:tr>
      <w:tr>
        <w:tc>
          <w:tcPr>
            <w:tcW w:type="dxa" w:w="1728"/>
          </w:tcPr>
          <w:p>
            <w:r>
              <w:t>mitigation_governance</w:t>
            </w:r>
          </w:p>
        </w:tc>
        <w:tc>
          <w:tcPr>
            <w:tcW w:type="dxa" w:w="1728"/>
          </w:tcPr>
          <w:p>
            <w:r>
              <w:t>Clinical Toxcicology</w:t>
            </w:r>
          </w:p>
        </w:tc>
        <w:tc>
          <w:tcPr>
            <w:tcW w:type="dxa" w:w="1728"/>
          </w:tcPr>
          <w:p>
            <w:r>
              <w:t>5</w:t>
            </w:r>
          </w:p>
        </w:tc>
        <w:tc>
          <w:tcPr>
            <w:tcW w:type="dxa" w:w="1728"/>
          </w:tcPr>
          <w:p>
            <w:r>
              <w:t>4</w:t>
            </w:r>
          </w:p>
        </w:tc>
        <w:tc>
          <w:tcPr>
            <w:tcW w:type="dxa" w:w="1728"/>
          </w:tcPr>
          <w:p>
            <w:r>
              <w:t>0.800</w:t>
            </w:r>
          </w:p>
        </w:tc>
      </w:tr>
      <w:tr>
        <w:tc>
          <w:tcPr>
            <w:tcW w:type="dxa" w:w="1728"/>
          </w:tcPr>
          <w:p>
            <w:r>
              <w:t>mitigation_governance</w:t>
            </w:r>
          </w:p>
        </w:tc>
        <w:tc>
          <w:tcPr>
            <w:tcW w:type="dxa" w:w="1728"/>
          </w:tcPr>
          <w:p>
            <w:r>
              <w:t>Microbiology</w:t>
            </w:r>
          </w:p>
        </w:tc>
        <w:tc>
          <w:tcPr>
            <w:tcW w:type="dxa" w:w="1728"/>
          </w:tcPr>
          <w:p>
            <w:r>
              <w:t>5</w:t>
            </w:r>
          </w:p>
        </w:tc>
        <w:tc>
          <w:tcPr>
            <w:tcW w:type="dxa" w:w="1728"/>
          </w:tcPr>
          <w:p>
            <w:r>
              <w:t>4</w:t>
            </w:r>
          </w:p>
        </w:tc>
        <w:tc>
          <w:tcPr>
            <w:tcW w:type="dxa" w:w="1728"/>
          </w:tcPr>
          <w:p>
            <w:r>
              <w:t>0.800</w:t>
            </w:r>
          </w:p>
        </w:tc>
      </w:tr>
      <w:tr>
        <w:tc>
          <w:tcPr>
            <w:tcW w:type="dxa" w:w="1728"/>
          </w:tcPr>
          <w:p>
            <w:r>
              <w:t>performance_disparity</w:t>
            </w:r>
          </w:p>
        </w:tc>
        <w:tc>
          <w:tcPr>
            <w:tcW w:type="dxa" w:w="1728"/>
          </w:tcPr>
          <w:p>
            <w:r>
              <w:t>Clinical Toxcicology</w:t>
            </w:r>
          </w:p>
        </w:tc>
        <w:tc>
          <w:tcPr>
            <w:tcW w:type="dxa" w:w="1728"/>
          </w:tcPr>
          <w:p>
            <w:r>
              <w:t>5</w:t>
            </w:r>
          </w:p>
        </w:tc>
        <w:tc>
          <w:tcPr>
            <w:tcW w:type="dxa" w:w="1728"/>
          </w:tcPr>
          <w:p>
            <w:r>
              <w:t>5</w:t>
            </w:r>
          </w:p>
        </w:tc>
        <w:tc>
          <w:tcPr>
            <w:tcW w:type="dxa" w:w="1728"/>
          </w:tcPr>
          <w:p>
            <w:r>
              <w:t>1.000</w:t>
            </w:r>
          </w:p>
        </w:tc>
      </w:tr>
      <w:tr>
        <w:tc>
          <w:tcPr>
            <w:tcW w:type="dxa" w:w="1728"/>
          </w:tcPr>
          <w:p>
            <w:r>
              <w:t>performance_disparity</w:t>
            </w:r>
          </w:p>
        </w:tc>
        <w:tc>
          <w:tcPr>
            <w:tcW w:type="dxa" w:w="1728"/>
          </w:tcPr>
          <w:p>
            <w:r>
              <w:t>Dental</w:t>
            </w:r>
          </w:p>
        </w:tc>
        <w:tc>
          <w:tcPr>
            <w:tcW w:type="dxa" w:w="1728"/>
          </w:tcPr>
          <w:p>
            <w:r>
              <w:t>3</w:t>
            </w:r>
          </w:p>
        </w:tc>
        <w:tc>
          <w:tcPr>
            <w:tcW w:type="dxa" w:w="1728"/>
          </w:tcPr>
          <w:p>
            <w:r>
              <w:t>3</w:t>
            </w:r>
          </w:p>
        </w:tc>
        <w:tc>
          <w:tcPr>
            <w:tcW w:type="dxa" w:w="1728"/>
          </w:tcPr>
          <w:p>
            <w:r>
              <w:t>1.000</w:t>
            </w:r>
          </w:p>
        </w:tc>
      </w:tr>
      <w:tr>
        <w:tc>
          <w:tcPr>
            <w:tcW w:type="dxa" w:w="1728"/>
          </w:tcPr>
          <w:p>
            <w:r>
              <w:t>performance_disparity</w:t>
            </w:r>
          </w:p>
        </w:tc>
        <w:tc>
          <w:tcPr>
            <w:tcW w:type="dxa" w:w="1728"/>
          </w:tcPr>
          <w:p>
            <w:r>
              <w:t>Gastroenterology-Urology</w:t>
            </w:r>
          </w:p>
        </w:tc>
        <w:tc>
          <w:tcPr>
            <w:tcW w:type="dxa" w:w="1728"/>
          </w:tcPr>
          <w:p>
            <w:r>
              <w:t>22</w:t>
            </w:r>
          </w:p>
        </w:tc>
        <w:tc>
          <w:tcPr>
            <w:tcW w:type="dxa" w:w="1728"/>
          </w:tcPr>
          <w:p>
            <w:r>
              <w:t>22</w:t>
            </w:r>
          </w:p>
        </w:tc>
        <w:tc>
          <w:tcPr>
            <w:tcW w:type="dxa" w:w="1728"/>
          </w:tcPr>
          <w:p>
            <w:r>
              <w:t>1.000</w:t>
            </w:r>
          </w:p>
        </w:tc>
      </w:tr>
      <w:tr>
        <w:tc>
          <w:tcPr>
            <w:tcW w:type="dxa" w:w="1728"/>
          </w:tcPr>
          <w:p>
            <w:r>
              <w:t>performance_disparity</w:t>
            </w:r>
          </w:p>
        </w:tc>
        <w:tc>
          <w:tcPr>
            <w:tcW w:type="dxa" w:w="1728"/>
          </w:tcPr>
          <w:p>
            <w:r>
              <w:t>General Hospital</w:t>
            </w:r>
          </w:p>
        </w:tc>
        <w:tc>
          <w:tcPr>
            <w:tcW w:type="dxa" w:w="1728"/>
          </w:tcPr>
          <w:p>
            <w:r>
              <w:t>3</w:t>
            </w:r>
          </w:p>
        </w:tc>
        <w:tc>
          <w:tcPr>
            <w:tcW w:type="dxa" w:w="1728"/>
          </w:tcPr>
          <w:p>
            <w:r>
              <w:t>3</w:t>
            </w:r>
          </w:p>
        </w:tc>
        <w:tc>
          <w:tcPr>
            <w:tcW w:type="dxa" w:w="1728"/>
          </w:tcPr>
          <w:p>
            <w:r>
              <w:t>1.000</w:t>
            </w:r>
          </w:p>
        </w:tc>
      </w:tr>
      <w:tr>
        <w:tc>
          <w:tcPr>
            <w:tcW w:type="dxa" w:w="1728"/>
          </w:tcPr>
          <w:p>
            <w:r>
              <w:t>performance_disparity</w:t>
            </w:r>
          </w:p>
        </w:tc>
        <w:tc>
          <w:tcPr>
            <w:tcW w:type="dxa" w:w="1728"/>
          </w:tcPr>
          <w:p>
            <w:r>
              <w:t>Hematology</w:t>
            </w:r>
          </w:p>
        </w:tc>
        <w:tc>
          <w:tcPr>
            <w:tcW w:type="dxa" w:w="1728"/>
          </w:tcPr>
          <w:p>
            <w:r>
              <w:t>19</w:t>
            </w:r>
          </w:p>
        </w:tc>
        <w:tc>
          <w:tcPr>
            <w:tcW w:type="dxa" w:w="1728"/>
          </w:tcPr>
          <w:p>
            <w:r>
              <w:t>19</w:t>
            </w:r>
          </w:p>
        </w:tc>
        <w:tc>
          <w:tcPr>
            <w:tcW w:type="dxa" w:w="1728"/>
          </w:tcPr>
          <w:p>
            <w:r>
              <w:t>1.000</w:t>
            </w:r>
          </w:p>
        </w:tc>
      </w:tr>
      <w:tr>
        <w:tc>
          <w:tcPr>
            <w:tcW w:type="dxa" w:w="1728"/>
          </w:tcPr>
          <w:p>
            <w:r>
              <w:t>structural_determinants</w:t>
            </w:r>
          </w:p>
        </w:tc>
        <w:tc>
          <w:tcPr>
            <w:tcW w:type="dxa" w:w="1728"/>
          </w:tcPr>
          <w:p>
            <w:r>
              <w:t>Radiology</w:t>
            </w:r>
          </w:p>
        </w:tc>
        <w:tc>
          <w:tcPr>
            <w:tcW w:type="dxa" w:w="1728"/>
          </w:tcPr>
          <w:p>
            <w:r>
              <w:t>1082</w:t>
            </w:r>
          </w:p>
        </w:tc>
        <w:tc>
          <w:tcPr>
            <w:tcW w:type="dxa" w:w="1728"/>
          </w:tcPr>
          <w:p>
            <w:r>
              <w:t>2</w:t>
            </w:r>
          </w:p>
        </w:tc>
        <w:tc>
          <w:tcPr>
            <w:tcW w:type="dxa" w:w="1728"/>
          </w:tcPr>
          <w:p>
            <w:r>
              <w:t>0.002</w:t>
            </w:r>
          </w:p>
        </w:tc>
      </w:tr>
      <w:tr>
        <w:tc>
          <w:tcPr>
            <w:tcW w:type="dxa" w:w="1728"/>
          </w:tcPr>
          <w:p>
            <w:r>
              <w:t>structural_determinants</w:t>
            </w:r>
          </w:p>
        </w:tc>
        <w:tc>
          <w:tcPr>
            <w:tcW w:type="dxa" w:w="1728"/>
          </w:tcPr>
          <w:p>
            <w:r>
              <w:t>Anesthesiology</w:t>
            </w:r>
          </w:p>
        </w:tc>
        <w:tc>
          <w:tcPr>
            <w:tcW w:type="dxa" w:w="1728"/>
          </w:tcPr>
          <w:p>
            <w:r>
              <w:t>21</w:t>
            </w:r>
          </w:p>
        </w:tc>
        <w:tc>
          <w:tcPr>
            <w:tcW w:type="dxa" w:w="1728"/>
          </w:tcPr>
          <w:p>
            <w:r>
              <w:t>0</w:t>
            </w:r>
          </w:p>
        </w:tc>
        <w:tc>
          <w:tcPr>
            <w:tcW w:type="dxa" w:w="1728"/>
          </w:tcPr>
          <w:p>
            <w:r>
              <w:t>0.000</w:t>
            </w:r>
          </w:p>
        </w:tc>
      </w:tr>
      <w:tr>
        <w:tc>
          <w:tcPr>
            <w:tcW w:type="dxa" w:w="1728"/>
          </w:tcPr>
          <w:p>
            <w:r>
              <w:t>structural_determinants</w:t>
            </w:r>
          </w:p>
        </w:tc>
        <w:tc>
          <w:tcPr>
            <w:tcW w:type="dxa" w:w="1728"/>
          </w:tcPr>
          <w:p>
            <w:r>
              <w:t>Cardiovascular</w:t>
            </w:r>
          </w:p>
        </w:tc>
        <w:tc>
          <w:tcPr>
            <w:tcW w:type="dxa" w:w="1728"/>
          </w:tcPr>
          <w:p>
            <w:r>
              <w:t>130</w:t>
            </w:r>
          </w:p>
        </w:tc>
        <w:tc>
          <w:tcPr>
            <w:tcW w:type="dxa" w:w="1728"/>
          </w:tcPr>
          <w:p>
            <w:r>
              <w:t>0</w:t>
            </w:r>
          </w:p>
        </w:tc>
        <w:tc>
          <w:tcPr>
            <w:tcW w:type="dxa" w:w="1728"/>
          </w:tcPr>
          <w:p>
            <w:r>
              <w:t>0.000</w:t>
            </w:r>
          </w:p>
        </w:tc>
      </w:tr>
      <w:tr>
        <w:tc>
          <w:tcPr>
            <w:tcW w:type="dxa" w:w="1728"/>
          </w:tcPr>
          <w:p>
            <w:r>
              <w:t>structural_determinants</w:t>
            </w:r>
          </w:p>
        </w:tc>
        <w:tc>
          <w:tcPr>
            <w:tcW w:type="dxa" w:w="1728"/>
          </w:tcPr>
          <w:p>
            <w:r>
              <w:t>Clinical Chemistry</w:t>
            </w:r>
          </w:p>
        </w:tc>
        <w:tc>
          <w:tcPr>
            <w:tcW w:type="dxa" w:w="1728"/>
          </w:tcPr>
          <w:p>
            <w:r>
              <w:t>7</w:t>
            </w:r>
          </w:p>
        </w:tc>
        <w:tc>
          <w:tcPr>
            <w:tcW w:type="dxa" w:w="1728"/>
          </w:tcPr>
          <w:p>
            <w:r>
              <w:t>0</w:t>
            </w:r>
          </w:p>
        </w:tc>
        <w:tc>
          <w:tcPr>
            <w:tcW w:type="dxa" w:w="1728"/>
          </w:tcPr>
          <w:p>
            <w:r>
              <w:t>0.000</w:t>
            </w:r>
          </w:p>
        </w:tc>
      </w:tr>
      <w:tr>
        <w:tc>
          <w:tcPr>
            <w:tcW w:type="dxa" w:w="1728"/>
          </w:tcPr>
          <w:p>
            <w:r>
              <w:t>structural_determinants</w:t>
            </w:r>
          </w:p>
        </w:tc>
        <w:tc>
          <w:tcPr>
            <w:tcW w:type="dxa" w:w="1728"/>
          </w:tcPr>
          <w:p>
            <w:r>
              <w:t>Clinical Toxcicology</w:t>
            </w:r>
          </w:p>
        </w:tc>
        <w:tc>
          <w:tcPr>
            <w:tcW w:type="dxa" w:w="1728"/>
          </w:tcPr>
          <w:p>
            <w:r>
              <w:t>5</w:t>
            </w:r>
          </w:p>
        </w:tc>
        <w:tc>
          <w:tcPr>
            <w:tcW w:type="dxa" w:w="1728"/>
          </w:tcPr>
          <w:p>
            <w:r>
              <w:t>0</w:t>
            </w:r>
          </w:p>
        </w:tc>
        <w:tc>
          <w:tcPr>
            <w:tcW w:type="dxa" w:w="1728"/>
          </w:tcPr>
          <w:p>
            <w:r>
              <w:t>0.000</w:t>
            </w:r>
          </w:p>
        </w:tc>
      </w:tr>
    </w:tbl>
    <w:p>
      <w:pPr>
        <w:pStyle w:val="Heading1"/>
      </w:pPr>
      <w:r>
        <w:t>Appendix C. Representative Sentence Samples (Excerpt)</w:t>
      </w:r>
    </w:p>
    <w:p>
      <w:pPr>
        <w:pStyle w:val="Heading2"/>
      </w:pPr>
      <w:r>
        <w:t>clinical_workflow_shift</w:t>
      </w:r>
    </w:p>
    <w:p>
      <w:pPr>
        <w:pStyle w:val="ListBullet"/>
      </w:pPr>
      <w:r>
        <w:t>[K043341] 510(k) Number 151 0(k) Summary Report Date 1.0 MANUFACTURER INFORMATION Medical Decision Support Software (MDSS) Manufacturing Site Manufacturer Address Bio-Rad Laboratories, Inc.</w:t>
      </w:r>
    </w:p>
    <w:p>
      <w:pPr>
        <w:pStyle w:val="ListBullet"/>
      </w:pPr>
      <w:r>
        <w:t>[K043341] A subset of214 subjects from this prospective population was collected and tested as matched serum, EDTA (N -214), and sodium heparinized plasma (N2 14) samples.</w:t>
      </w:r>
    </w:p>
    <w:p>
      <w:pPr>
        <w:pStyle w:val="ListBullet"/>
      </w:pPr>
      <w:r>
        <w:t>[K080896] For intra-assay precision, the by all four sites, and each site was percent coefficients of variation (%CVs) compared to each other.</w:t>
      </w:r>
    </w:p>
    <w:p>
      <w:pPr>
        <w:pStyle w:val="Heading2"/>
      </w:pPr>
      <w:r>
        <w:t>dataset_representation</w:t>
      </w:r>
    </w:p>
    <w:p>
      <w:pPr>
        <w:pStyle w:val="ListBullet"/>
      </w:pPr>
      <w:r>
        <w:t>[K081140] Visensia® is a software device that through advanced signal processing can combine physiological signals in order to produce a single index (Visensiae index) representation of patient condition.</w:t>
      </w:r>
    </w:p>
    <w:p>
      <w:pPr>
        <w:pStyle w:val="ListBullet"/>
      </w:pPr>
      <w:r>
        <w:t>[K081140] Visensia® is substantially equivalent to Sonicaid System 8002 in that its displayed graphical representation of the fused vital signs is created by computer analysis and provides decision support to a clinician in the determination of normality based on a model derived from historic clinical data.</w:t>
      </w:r>
    </w:p>
    <w:p>
      <w:pPr>
        <w:pStyle w:val="ListBullet"/>
      </w:pPr>
      <w:r>
        <w:t>[K130831] Recorded mass range 2,000 - 20,000 m/z 2,000 - 20,000 m/z Page 4 of 21 Differences Characteristic NEW DEVICE Bruker Daltonics, Inc MBT-CA System (K130831) PREDICATE DEVICE Vitek® MS (K124067) Culture Age Bacteria growth should be between 18h to 36h Bacteria and yeast growth should be between 24 to 72 hours.</w:t>
      </w:r>
    </w:p>
    <w:p>
      <w:pPr>
        <w:pStyle w:val="Heading2"/>
      </w:pPr>
      <w:r>
        <w:t>measurement_labeling</w:t>
      </w:r>
    </w:p>
    <w:p>
      <w:pPr>
        <w:pStyle w:val="ListBullet"/>
      </w:pPr>
      <w:r>
        <w:t>[K033840] The general controls provisions of the Act include requirements for annual registration, listing of devices, good manufacturing practice, labeling, and prohibitions against misbranding and adulteration.</w:t>
      </w:r>
    </w:p>
    <w:p>
      <w:pPr>
        <w:pStyle w:val="ListBullet"/>
      </w:pPr>
      <w:r>
        <w:t>[K033840] You must comply with all the Act's requirements, including, but not limited to: registration and listing (21 CFR Part 807); labeling (21 CFR Parts 801 and 809); and good manufacturing practice requirements as set forth in the quality systems (QS) regulation (21 CFR Part 820).</w:t>
      </w:r>
    </w:p>
    <w:p>
      <w:pPr>
        <w:pStyle w:val="ListBullet"/>
      </w:pPr>
      <w:r>
        <w:t>[K033840] If you desire specific information about the application of labeling requirements to your device, or questions on the promotion and advertising of your device, please contact the Office of In Vitro Diagnostic Device Evaluation and Safety at (301) 594-3084.</w:t>
      </w:r>
    </w:p>
    <w:p>
      <w:pPr>
        <w:pStyle w:val="Heading2"/>
      </w:pPr>
      <w:r>
        <w:t>mitigation_governance</w:t>
      </w:r>
    </w:p>
    <w:p>
      <w:pPr>
        <w:pStyle w:val="ListBullet"/>
      </w:pPr>
      <w:r>
        <w:t>[K080595] For questions regarding postmarket surveillance, please contact CDRH's Office of Surveillance and Biometric's (OSB's) Division of Postmarket Surveillance at (240) 276-3474.</w:t>
      </w:r>
    </w:p>
    <w:p>
      <w:pPr>
        <w:pStyle w:val="ListBullet"/>
      </w:pPr>
      <w:r>
        <w:t>[K080762] For questions regarding postmarket .surveillance, please contact CDRH's Office of Surveillance and Biometric's (OSB's) Division of Postmarket Surveillance at 240-276- 3474.</w:t>
      </w:r>
    </w:p>
    <w:p>
      <w:pPr>
        <w:pStyle w:val="ListBullet"/>
      </w:pPr>
      <w:r>
        <w:t>[K080896] For questions regarding postmarket surveillance, please contact CDRH's Office of Surveillance and Biometric's (OSB's) Division of Postmarket Surveillance at 240-276-3474.</w:t>
      </w:r>
    </w:p>
    <w:p>
      <w:pPr>
        <w:pStyle w:val="Heading2"/>
      </w:pPr>
      <w:r>
        <w:t>performance_disparity</w:t>
      </w:r>
    </w:p>
    <w:p>
      <w:pPr>
        <w:pStyle w:val="ListBullet"/>
      </w:pPr>
      <w:r>
        <w:t>[K033840] Conclusions drawn from clinical tests: The following information was obtained from the clinical tests: • accuracy for cell-location * accuracy for the verified classification for each cell class * precision for the verified classification for each cell class * clinical sensitivity and specificity The results show that the DM96 is equivalent in accuracy, precision and clinical sensitivity and specificity and fulfilled the pre-defined requirements for overview image quality.</w:t>
      </w:r>
    </w:p>
    <w:p>
      <w:pPr>
        <w:pStyle w:val="ListBullet"/>
      </w:pPr>
      <w:r>
        <w:t>[K033840] The following tests were conducted and successfully completed: a) Evaluation of: - Performance (accuracy and precision, clinical sensitivity, specificity, cell-location) - Safety b) Inspections to verify that all design features are as intended and that all authorized design changes have been accomplished and recorded.</w:t>
      </w:r>
    </w:p>
    <w:p>
      <w:pPr>
        <w:pStyle w:val="ListBullet"/>
      </w:pPr>
      <w:r>
        <w:t>[K033840] Conclusion Based on extensive performance testing and a comparison to the predicate device, it is the conclusion of CellaVision AB that DM96 is substantially equivalent to devices already on the market (cleared by the 510(k) process) and presents no new concerns about safety and effectiveness.</w:t>
      </w:r>
    </w:p>
    <w:p>
      <w:pPr>
        <w:pStyle w:val="Heading2"/>
      </w:pPr>
      <w:r>
        <w:t>structural_determinants (revised rule note — replaces prior OCR false positives). 繁中：舊版以 \bneighborhood\b 掃描時，K182336 等影像增強敘事（pixel’s neighborhood、convolutional kernel）曾被誤歸類；現已改為「影像技術詞排除 + 與社經脈絡共現」門檻，bias_field 層級 doc_rate=0。 See structural_determinants_match.py and Appendix D2.</w:t>
      </w:r>
    </w:p>
    <w:p>
      <w:pPr>
        <w:pStyle w:val="ListBullet"/>
      </w:pPr>
      <w:r/>
    </w:p>
    <w:p>
      <w:pPr>
        <w:pStyle w:val="ListBullet"/>
      </w:pPr>
      <w:r/>
    </w:p>
    <w:p>
      <w:pPr>
        <w:pStyle w:val="ListBullet"/>
      </w:pPr>
      <w:r/>
    </w:p>
    <w:p>
      <w:r>
        <w:br w:type="page"/>
      </w:r>
    </w:p>
    <w:p>
      <w:pPr>
        <w:pStyle w:val="Heading1"/>
      </w:pPr>
      <w:r>
        <w:t>EU Benchmark Compliance Gap</w:t>
      </w:r>
    </w:p>
    <w:p>
      <w:pPr>
        <w:pStyle w:val="Heading2"/>
      </w:pPr>
      <w:r>
        <w:t>中文摘要</w:t>
      </w:r>
    </w:p>
    <w:p>
      <w:r>
        <w:t>本節將 FDA 文件語料與 EU AI Act 高風險要求（Article 10、Article 11、Annex IV）進行代理指標對比。</w:t>
      </w:r>
    </w:p>
    <w:p>
      <w:pPr>
        <w:pStyle w:val="ListBullet"/>
      </w:pPr>
      <w:r>
        <w:t>有效文件數: 1384</w:t>
      </w:r>
    </w:p>
    <w:p>
      <w:pPr>
        <w:pStyle w:val="ListBullet"/>
      </w:pPr>
      <w:r>
        <w:t>平均 EU 對齊分數: 0.4604</w:t>
      </w:r>
    </w:p>
    <w:p>
      <w:pPr>
        <w:pStyle w:val="ListBullet"/>
      </w:pPr>
      <w:r>
        <w:t>Aligned: 0 (0.00%)</w:t>
      </w:r>
    </w:p>
    <w:p>
      <w:pPr>
        <w:pStyle w:val="ListBullet"/>
      </w:pPr>
      <w:r>
        <w:t>Partial: 0 (0.00%)</w:t>
      </w:r>
    </w:p>
    <w:p>
      <w:pPr>
        <w:pStyle w:val="ListBullet"/>
      </w:pPr>
      <w:r>
        <w:t>Likely non-aligned: 1384 (100.00%)</w:t>
      </w:r>
    </w:p>
    <w:p>
      <w:pPr>
        <w:pStyle w:val="ListBullet"/>
      </w:pPr>
      <w:r>
        <w:t>結構性社會背景覆蓋率: 0.00%</w:t>
      </w:r>
    </w:p>
    <w:p>
      <w:pPr>
        <w:pStyle w:val="ListBullet"/>
      </w:pPr>
      <w:r>
        <w:t>代表性覆蓋率: 49.57%</w:t>
      </w:r>
    </w:p>
    <w:p>
      <w:pPr>
        <w:pStyle w:val="ListBullet"/>
      </w:pPr>
      <w:r>
        <w:t>資料治理/前處理覆蓋率: 99.93%</w:t>
      </w:r>
    </w:p>
    <w:p>
      <w:r>
        <w:t>解讀：在資料前處理與程序性文件層面，文件看似高度完備；但在 EU 強調的結構性情境與權利風險維度上，呈現幾乎全面缺席，形成顯著的合規落差。</w:t>
      </w:r>
    </w:p>
    <w:p>
      <w:pPr>
        <w:pStyle w:val="Heading2"/>
      </w:pPr>
      <w:r>
        <w:t>English Summary</w:t>
      </w:r>
    </w:p>
    <w:p>
      <w:r>
        <w:t>This section benchmarks the FDA corpus against EU AI Act high-risk expectations (Article 10, Article 11, Annex IV) using textual proxy indicators.</w:t>
      </w:r>
    </w:p>
    <w:p>
      <w:pPr>
        <w:pStyle w:val="ListBullet"/>
      </w:pPr>
      <w:r>
        <w:t>Valid documents: 1384</w:t>
      </w:r>
    </w:p>
    <w:p>
      <w:pPr>
        <w:pStyle w:val="ListBullet"/>
      </w:pPr>
      <w:r>
        <w:t>Average EU alignment score: 0.4604</w:t>
      </w:r>
    </w:p>
    <w:p>
      <w:pPr>
        <w:pStyle w:val="ListBullet"/>
      </w:pPr>
      <w:r>
        <w:t>Aligned: 0 (0.00%)</w:t>
      </w:r>
    </w:p>
    <w:p>
      <w:pPr>
        <w:pStyle w:val="ListBullet"/>
      </w:pPr>
      <w:r>
        <w:t>Partial: 0 (0.00%)</w:t>
      </w:r>
    </w:p>
    <w:p>
      <w:pPr>
        <w:pStyle w:val="ListBullet"/>
      </w:pPr>
      <w:r>
        <w:t>Likely non-aligned: 1384 (100.00%)</w:t>
      </w:r>
    </w:p>
    <w:p>
      <w:pPr>
        <w:pStyle w:val="ListBullet"/>
      </w:pPr>
      <w:r>
        <w:t>Structural-context coverage: 0.00%</w:t>
      </w:r>
    </w:p>
    <w:p>
      <w:pPr>
        <w:pStyle w:val="ListBullet"/>
      </w:pPr>
      <w:r>
        <w:t>Representation coverage: 49.57%</w:t>
      </w:r>
    </w:p>
    <w:p>
      <w:pPr>
        <w:pStyle w:val="ListBullet"/>
      </w:pPr>
      <w:r>
        <w:t>Data-preparation documentation coverage: 99.93%</w:t>
      </w:r>
    </w:p>
    <w:p>
      <w:r>
        <w:t>Interpretation: procedural documentation is comparatively strong, but structural-context evidence remains nearly absent. Under an EU-style high-risk lens, this produces a pronounced compliance gap in socially grounded risk documentation.</w:t>
      </w:r>
    </w:p>
    <w:p>
      <w:pPr>
        <w:pStyle w:val="Heading2"/>
      </w:pPr>
      <w:r>
        <w:t>Figure: EU alignment score distribution</w:t>
      </w:r>
    </w:p>
    <w:p>
      <w:r>
        <w:t>Histogram of per-document EU high-risk proxy scores (n=1384). Dashed line indicates the corpus mean.</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eu_high_risk_score_histogram.png"/>
                    <pic:cNvPicPr/>
                  </pic:nvPicPr>
                  <pic:blipFill>
                    <a:blip r:embed="rId11"/>
                    <a:stretch>
                      <a:fillRect/>
                    </a:stretch>
                  </pic:blipFill>
                  <pic:spPr>
                    <a:xfrm>
                      <a:off x="0" y="0"/>
                      <a:ext cx="5669280" cy="3188970"/>
                    </a:xfrm>
                    <a:prstGeom prst="rect"/>
                  </pic:spPr>
                </pic:pic>
              </a:graphicData>
            </a:graphic>
          </wp:inline>
        </w:drawing>
      </w:r>
    </w:p>
    <w:p>
      <w:r>
        <w:br w:type="page"/>
      </w:r>
    </w:p>
    <w:p>
      <w:pPr>
        <w:pStyle w:val="Heading1"/>
      </w:pPr>
      <w:r>
        <w:t>Appendix: EU–US–China regulatory comparison (for manuscript)</w:t>
      </w:r>
    </w:p>
    <w:p>
      <w:r>
        <w:rPr>
          <w:b w:val="0"/>
        </w:rPr>
        <w:t>繁中：下表為「規範維度」對照，便於論文直接引用；並非逐字逐條的法律適用判斷。</w:t>
      </w:r>
    </w:p>
    <w:p>
      <w:r>
        <w:t>English: The table maps obligation themes across jurisdictions for scholarly comparison; it is not a determination of legal compliance for any specific filing.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Dimension</w:t>
            </w:r>
          </w:p>
        </w:tc>
        <w:tc>
          <w:tcPr>
            <w:tcW w:type="dxa" w:w="1728"/>
          </w:tcPr>
          <w:p>
            <w:r>
              <w:rPr>
                <w:b/>
                <w:sz w:val="18"/>
              </w:rPr>
              <w:t>EU (binding reference)</w:t>
            </w:r>
          </w:p>
        </w:tc>
        <w:tc>
          <w:tcPr>
            <w:tcW w:type="dxa" w:w="1728"/>
          </w:tcPr>
          <w:p>
            <w:r>
              <w:rPr>
                <w:b/>
                <w:sz w:val="18"/>
              </w:rPr>
              <w:t>US (primary sources)</w:t>
            </w:r>
          </w:p>
        </w:tc>
        <w:tc>
          <w:tcPr>
            <w:tcW w:type="dxa" w:w="1728"/>
          </w:tcPr>
          <w:p>
            <w:r>
              <w:rPr>
                <w:b/>
                <w:sz w:val="18"/>
              </w:rPr>
              <w:t>China (primary sources)</w:t>
            </w:r>
          </w:p>
        </w:tc>
        <w:tc>
          <w:tcPr>
            <w:tcW w:type="dxa" w:w="1728"/>
          </w:tcPr>
          <w:p>
            <w:r>
              <w:rPr>
                <w:b/>
                <w:sz w:val="18"/>
              </w:rPr>
              <w:t>Study corpus proxy</w:t>
            </w:r>
          </w:p>
        </w:tc>
      </w:tr>
      <w:tr>
        <w:tc>
          <w:tcPr>
            <w:tcW w:type="dxa" w:w="1728"/>
          </w:tcPr>
          <w:p>
            <w:r>
              <w:rPr>
                <w:sz w:val="16"/>
              </w:rPr>
              <w:t>Data governance &amp; bias examination</w:t>
            </w:r>
          </w:p>
        </w:tc>
        <w:tc>
          <w:tcPr>
            <w:tcW w:type="dxa" w:w="1728"/>
          </w:tcPr>
          <w:p>
            <w:r>
              <w:rPr>
                <w:sz w:val="16"/>
              </w:rPr>
              <w:t>EU AI Act Art.10(2) (design; provenance; prep; assumptions; bias exam; mitigation; gaps)</w:t>
            </w:r>
          </w:p>
        </w:tc>
        <w:tc>
          <w:tcPr>
            <w:tcW w:type="dxa" w:w="1728"/>
          </w:tcPr>
          <w:p>
            <w:r>
              <w:rPr>
                <w:sz w:val="16"/>
              </w:rPr>
              <w:t>FDA FDCA/21 CFR device pathway; FDA AI/ML SaMD Action Plan (GMLP; algorithm eval; RWP); NIST AI RMF (voluntary) — fairness as trustworthiness</w:t>
            </w:r>
          </w:p>
        </w:tc>
        <w:tc>
          <w:tcPr>
            <w:tcW w:type="dxa" w:w="1728"/>
          </w:tcPr>
          <w:p>
            <w:r>
              <w:rPr>
                <w:sz w:val="16"/>
              </w:rPr>
              <w:t>Cybersecurity Law; Data Security Law; PIPL; Interim Measures on Generative AI Services (training data quality; lawful sources)</w:t>
            </w:r>
          </w:p>
        </w:tc>
        <w:tc>
          <w:tcPr>
            <w:tcW w:type="dxa" w:w="1728"/>
          </w:tcPr>
          <w:p>
            <w:r>
              <w:rPr>
                <w:sz w:val="16"/>
              </w:rPr>
              <w:t>Keyword/proxy: labeling/annotation/cleaning; bias/fairness/mitigation in raw_text; eu_data_prep_doc; eu_bias_mitigation_doc</w:t>
            </w:r>
          </w:p>
        </w:tc>
      </w:tr>
      <w:tr>
        <w:tc>
          <w:tcPr>
            <w:tcW w:type="dxa" w:w="1728"/>
          </w:tcPr>
          <w:p>
            <w:r>
              <w:rPr>
                <w:sz w:val="16"/>
              </w:rPr>
              <w:t>Representativeness &amp; statistical adequacy</w:t>
            </w:r>
          </w:p>
        </w:tc>
        <w:tc>
          <w:tcPr>
            <w:tcW w:type="dxa" w:w="1728"/>
          </w:tcPr>
          <w:p>
            <w:r>
              <w:rPr>
                <w:sz w:val="16"/>
              </w:rPr>
              <w:t>EU AI Act Art.10(3) (relevant; representative; errors; statistical properties for intended groups)</w:t>
            </w:r>
          </w:p>
        </w:tc>
        <w:tc>
          <w:tcPr>
            <w:tcW w:type="dxa" w:w="1728"/>
          </w:tcPr>
          <w:p>
            <w:r>
              <w:rPr>
                <w:sz w:val="16"/>
              </w:rPr>
              <w:t>FDA clinical/performance evidence expectations in submissions; demographic performance tables common in summaries</w:t>
            </w:r>
          </w:p>
        </w:tc>
        <w:tc>
          <w:tcPr>
            <w:tcW w:type="dxa" w:w="1728"/>
          </w:tcPr>
          <w:p>
            <w:r>
              <w:rPr>
                <w:sz w:val="16"/>
              </w:rPr>
              <w:t>Generative AI Measures (accuracy; objectivity; diversity of training data); algorithmic transparency norms where applicable</w:t>
            </w:r>
          </w:p>
        </w:tc>
        <w:tc>
          <w:tcPr>
            <w:tcW w:type="dxa" w:w="1728"/>
          </w:tcPr>
          <w:p>
            <w:r>
              <w:rPr>
                <w:sz w:val="16"/>
              </w:rPr>
              <w:t>dataset_representation bias-field; term_race/ethnicity/gender/age; eu_representation_doc</w:t>
            </w:r>
          </w:p>
        </w:tc>
      </w:tr>
      <w:tr>
        <w:tc>
          <w:tcPr>
            <w:tcW w:type="dxa" w:w="1728"/>
          </w:tcPr>
          <w:p>
            <w:r>
              <w:rPr>
                <w:sz w:val="16"/>
              </w:rPr>
              <w:t>Context of use (geographic / behavioural / deployment)</w:t>
            </w:r>
          </w:p>
        </w:tc>
        <w:tc>
          <w:tcPr>
            <w:tcW w:type="dxa" w:w="1728"/>
          </w:tcPr>
          <w:p>
            <w:r>
              <w:rPr>
                <w:sz w:val="16"/>
              </w:rPr>
              <w:t>EU AI Act Art.10(4) (contextual setting of deployment)</w:t>
            </w:r>
          </w:p>
        </w:tc>
        <w:tc>
          <w:tcPr>
            <w:tcW w:type="dxa" w:w="1728"/>
          </w:tcPr>
          <w:p>
            <w:r>
              <w:rPr>
                <w:sz w:val="16"/>
              </w:rPr>
              <w:t>FDA emphasis on intended use; RWP pilots; site/generalization language in summaries</w:t>
            </w:r>
          </w:p>
        </w:tc>
        <w:tc>
          <w:tcPr>
            <w:tcW w:type="dxa" w:w="1728"/>
          </w:tcPr>
          <w:p>
            <w:r>
              <w:rPr>
                <w:sz w:val="16"/>
              </w:rPr>
              <w:t>Data localization and security context under DSL/CSL; less often explicit in device summaries in US corpus</w:t>
            </w:r>
          </w:p>
        </w:tc>
        <w:tc>
          <w:tcPr>
            <w:tcW w:type="dxa" w:w="1728"/>
          </w:tcPr>
          <w:p>
            <w:r>
              <w:rPr>
                <w:sz w:val="16"/>
              </w:rPr>
              <w:t>clinical_workflow_shift; external validation; site; deployment in raw_text</w:t>
            </w:r>
          </w:p>
        </w:tc>
      </w:tr>
      <w:tr>
        <w:tc>
          <w:tcPr>
            <w:tcW w:type="dxa" w:w="1728"/>
          </w:tcPr>
          <w:p>
            <w:r>
              <w:rPr>
                <w:sz w:val="16"/>
              </w:rPr>
              <w:t>Technical documentation &amp; discrimination impacts</w:t>
            </w:r>
          </w:p>
        </w:tc>
        <w:tc>
          <w:tcPr>
            <w:tcW w:type="dxa" w:w="1728"/>
          </w:tcPr>
          <w:p>
            <w:r>
              <w:rPr>
                <w:sz w:val="16"/>
              </w:rPr>
              <w:t>EU AI Act Art.11 + Annex IV (documentation; discriminatory impacts in testing)</w:t>
            </w:r>
          </w:p>
        </w:tc>
        <w:tc>
          <w:tcPr>
            <w:tcW w:type="dxa" w:w="1728"/>
          </w:tcPr>
          <w:p>
            <w:r>
              <w:rPr>
                <w:sz w:val="16"/>
              </w:rPr>
              <w:t>510(k) substantial equivalence narrative; software documentation practice; less standardized than Annex IV checklist</w:t>
            </w:r>
          </w:p>
        </w:tc>
        <w:tc>
          <w:tcPr>
            <w:tcW w:type="dxa" w:w="1728"/>
          </w:tcPr>
          <w:p>
            <w:r>
              <w:rPr>
                <w:sz w:val="16"/>
              </w:rPr>
              <w:t>NMPA medical device review practice (parallel: technical dossier); generative/algorithm rules for public-facing services</w:t>
            </w:r>
          </w:p>
        </w:tc>
        <w:tc>
          <w:tcPr>
            <w:tcW w:type="dxa" w:w="1728"/>
          </w:tcPr>
          <w:p>
            <w:r>
              <w:rPr>
                <w:sz w:val="16"/>
              </w:rPr>
              <w:t>Annex IV-style proxies: test metrics; mitigation_governance; EU compliance score components</w:t>
            </w:r>
          </w:p>
        </w:tc>
      </w:tr>
      <w:tr>
        <w:tc>
          <w:tcPr>
            <w:tcW w:type="dxa" w:w="1728"/>
          </w:tcPr>
          <w:p>
            <w:r>
              <w:rPr>
                <w:sz w:val="16"/>
              </w:rPr>
              <w:t>Risk management &amp; post-market</w:t>
            </w:r>
          </w:p>
        </w:tc>
        <w:tc>
          <w:tcPr>
            <w:tcW w:type="dxa" w:w="1728"/>
          </w:tcPr>
          <w:p>
            <w:r>
              <w:rPr>
                <w:sz w:val="16"/>
              </w:rPr>
              <w:t>EU AI Act Art.9; Annex IV (risk mgmt; post-market monitoring plan)</w:t>
            </w:r>
          </w:p>
        </w:tc>
        <w:tc>
          <w:tcPr>
            <w:tcW w:type="dxa" w:w="1728"/>
          </w:tcPr>
          <w:p>
            <w:r>
              <w:rPr>
                <w:sz w:val="16"/>
              </w:rPr>
              <w:t>FDA QSR; PMCF-like thinking; AI/ML Action Plan RWP</w:t>
            </w:r>
          </w:p>
        </w:tc>
        <w:tc>
          <w:tcPr>
            <w:tcW w:type="dxa" w:w="1728"/>
          </w:tcPr>
          <w:p>
            <w:r>
              <w:rPr>
                <w:sz w:val="16"/>
              </w:rPr>
              <w:t>NMPA adverse event and recall frameworks; network security obligations for operators</w:t>
            </w:r>
          </w:p>
        </w:tc>
        <w:tc>
          <w:tcPr>
            <w:tcW w:type="dxa" w:w="1728"/>
          </w:tcPr>
          <w:p>
            <w:r>
              <w:rPr>
                <w:sz w:val="16"/>
              </w:rPr>
              <w:t>oversight_postmarket proxy; post-market; risk management terms in raw_text; eu_oversight_postmarket_doc</w:t>
            </w:r>
          </w:p>
        </w:tc>
      </w:tr>
      <w:tr>
        <w:tc>
          <w:tcPr>
            <w:tcW w:type="dxa" w:w="1728"/>
          </w:tcPr>
          <w:p>
            <w:r>
              <w:rPr>
                <w:sz w:val="16"/>
              </w:rPr>
              <w:t>Fundamental rights / socio-structural determinants</w:t>
            </w:r>
          </w:p>
        </w:tc>
        <w:tc>
          <w:tcPr>
            <w:tcW w:type="dxa" w:w="1728"/>
          </w:tcPr>
          <w:p>
            <w:r>
              <w:rPr>
                <w:sz w:val="16"/>
              </w:rPr>
              <w:t>EU AI Act Art.10(2)(f)–(h); Art.27 (FRIA for deployers) — rights &amp; structural harms</w:t>
            </w:r>
          </w:p>
        </w:tc>
        <w:tc>
          <w:tcPr>
            <w:tcW w:type="dxa" w:w="1728"/>
          </w:tcPr>
          <w:p>
            <w:r>
              <w:rPr>
                <w:sz w:val="16"/>
              </w:rPr>
              <w:t>No single US AI Act analogue; rights discourse fragmented (EOs; state law; civil rights frameworks) — rarely in device summaries</w:t>
            </w:r>
          </w:p>
        </w:tc>
        <w:tc>
          <w:tcPr>
            <w:tcW w:type="dxa" w:w="1728"/>
          </w:tcPr>
          <w:p>
            <w:r>
              <w:rPr>
                <w:sz w:val="16"/>
              </w:rPr>
              <w:t>PIPL consent/lawful basis; anti-discrimination in Generative AI Measures (enumerated grounds)</w:t>
            </w:r>
          </w:p>
        </w:tc>
        <w:tc>
          <w:tcPr>
            <w:tcW w:type="dxa" w:w="1728"/>
          </w:tcPr>
          <w:p>
            <w:r>
              <w:rPr>
                <w:sz w:val="16"/>
              </w:rPr>
              <w:t>structural_determinants field; policy_discourse terms; eu_structural_context_doc; near-absence in FDA corpus</w:t>
            </w:r>
          </w:p>
        </w:tc>
      </w:tr>
    </w:tbl>
    <w:p/>
    <w:p>
      <w:pPr>
        <w:pStyle w:val="IntenseQuote"/>
      </w:pPr>
      <w:r>
        <w:t>Source CSV (editable): data/analysis/eu_us_cn_regulatory_mapping.csv</w:t>
      </w:r>
    </w:p>
    <w:p>
      <w:r>
        <w:br w:type="page"/>
      </w:r>
    </w:p>
    <w:p>
      <w:pPr>
        <w:pStyle w:val="Heading2"/>
      </w:pPr>
      <w:r>
        <w:t>Data update: full bias-field sentence export</w:t>
      </w:r>
    </w:p>
    <w:p>
      <w:r>
        <w:t>The previous bias_field_sentence_samples.csv (20 sentences per category) has been removed. Use data/analysis/bias_field_sentences_full.csv for the complete sentence-level extraction. See data/analysis/data_output_manifest.txt for which outputs are full-corpus vs aggregate summaries.</w:t>
      </w:r>
    </w:p>
    <w:p>
      <w:r>
        <w:t>繁中：已刪除每類僅 20 句的樣本檔；全量句子命中請見 bias_field_sentences_full.csv；各檔案是否為「全量」請見 data_output_manifest.txt。</w:t>
      </w:r>
    </w:p>
    <w:p>
      <w:r>
        <w:br w:type="page"/>
      </w:r>
    </w:p>
    <w:p>
      <w:pPr>
        <w:pStyle w:val="Heading1"/>
      </w:pPr>
      <w:r>
        <w:rPr>
          <w:sz w:val="28"/>
        </w:rPr>
        <w:t>Appendix D — Integrated extensions (discourse templates, semantics, panels; May 2026)</w:t>
      </w:r>
    </w:p>
    <w:p>
      <w:pPr>
        <w:spacing w:after="120"/>
      </w:pPr>
      <w:r>
        <w:rPr>
          <w:i/>
        </w:rPr>
        <w:t>繁中：本附錄彙整近期分析（話語模板 A/B/C、dataset_representation 語義對比、K182336 像素鄰域、量化—質性對照表、Panel× 模板、結構決定因素詞典修訂）。統計以 bias_field_summary.csv、abstract_politics_summary.csv、significance_stats.json 為準。</w:t>
      </w:r>
    </w:p>
    <w:p>
      <w:pPr>
        <w:spacing w:after="120"/>
      </w:pPr>
      <w:r>
        <w:rPr>
          <w:i/>
        </w:rPr>
        <w:t>English: This appendix consolidates recent qualitative–quantitative work: discourse templates A/B/C, semantic contrast in dataset_representation, K182336 “pixel neighborhood” colonization, a closure table, and panel-level template prevalence. Statistics follow the CSV/JSON artifacts named above.</w:t>
      </w:r>
    </w:p>
    <w:p>
      <w:pPr>
        <w:pStyle w:val="Heading2"/>
      </w:pPr>
      <w:r>
        <w:rPr>
          <w:sz w:val="24"/>
        </w:rPr>
        <w:t>D1. Discourse templates (A/B/C) — definitions</w:t>
      </w:r>
    </w:p>
    <w:p>
      <w:pPr>
        <w:spacing w:after="120"/>
      </w:pPr>
      <w:r>
        <w:t>Template A (procedural completeness trap): dense 21 CFR / registration / labeling / QS / substantial-equivalence checklist language; bias framed as closed once procedural boxes are checked.</w:t>
      </w:r>
    </w:p>
    <w:p>
      <w:pPr>
        <w:spacing w:after="120"/>
      </w:pPr>
      <w:r>
        <w:t>Template B (statistical neutralization): race/ethnicity co-presented as distributional strata with %, CI, subgroup tables—difference rendered as population statistics.</w:t>
      </w:r>
    </w:p>
    <w:p>
      <w:pPr>
        <w:spacing w:after="120"/>
      </w:pPr>
      <w:r>
        <w:t>Template C (post-market deferral): residual risk deferred to post-market surveillance / lifecycle monitoring (requires careful regex hygiene to avoid bedside-monitoring false positives).</w:t>
      </w:r>
    </w:p>
    <w:p>
      <w:pPr>
        <w:pStyle w:val="Heading2"/>
      </w:pPr>
      <w:r>
        <w:rPr>
          <w:sz w:val="24"/>
        </w:rPr>
        <w:t>D2. Structural determinants — neighborhood gating (technical)</w:t>
      </w:r>
    </w:p>
    <w:p>
      <w:pPr>
        <w:spacing w:after="120"/>
      </w:pPr>
      <w:r>
        <w:t>Neighborhood hits are suppressed when imaging/CV tokens appear in the same sentence (pixel, voxel, kernel, image, convolutional, DICOM, PACS, CNN, …). Neighborhood counts only with socio-context co-words (poverty, census tract, SDOH, socioeconomic, …). Result: structural_determinants doc_rate=0.0000 on N=1388 bias-field table; term_neighborhood in abstract_politics_report is likewise gated.</w:t>
      </w:r>
    </w:p>
    <w:p>
      <w:pPr>
        <w:pStyle w:val="Heading2"/>
      </w:pPr>
      <w:r>
        <w:rPr>
          <w:sz w:val="24"/>
        </w:rPr>
        <w:t>D3. dataset_representation — lexical contrast (Bias/Fairness/Equity vs Error/Accuracy/Variance/Disparity)</w:t>
      </w:r>
    </w:p>
    <w:p>
      <w:pPr>
        <w:spacing w:after="120"/>
      </w:pPr>
      <w:r>
        <w:t>Strict token families on N=3265 dataset_representation sentences: SOCIAL (bias/biases/fairness/equity) = 41 hits; TECH (errors/accuracy/variance/disparity) = 170 hits; ratio TECH/SOCIAL ≈ 4.15:1; fairness and equity surface hits = 0 in this slice. Optional broader TECH cluster (sensitivity/specificity/CI/…) ≈ 21× SOCIAL (sensitivity analysis).</w:t>
      </w:r>
    </w:p>
    <w:p>
      <w:pPr>
        <w:spacing w:after="120"/>
      </w:pPr>
      <w:r>
        <w:t>Interpretation (bilingual gist): “abstract politics” at the lexical level—justice concerns displaced into calibration/optimization vocabulary within the channel that should be closest to representational justice.</w:t>
      </w:r>
    </w:p>
    <w:p>
      <w:pPr>
        <w:pStyle w:val="Heading2"/>
      </w:pPr>
      <w:r>
        <w:rPr>
          <w:sz w:val="24"/>
        </w:rPr>
        <w:t>D4. K182336 — “neighborhood” as pixel support (ironic reading)</w:t>
      </w:r>
    </w:p>
    <w:p>
      <w:pPr>
        <w:spacing w:after="120"/>
      </w:pPr>
      <w:r>
        <w:t>In SDOH policy English, neighborhood indexes community structure; in K182336 (SubtlePET / image enhancement), the same lexeme is technically colonized: CNN operates in a pixel’s neighborhood; Clarity™ analyzes “image structure in the neighborhood of each pixel”; devices share “neighborhood information” in image-domain filtering. This illustrates semantic competition: spatial words are pre-registered by algorithmic sense, shrinking sayability of social structure in public summaries.</w:t>
      </w:r>
    </w:p>
    <w:p>
      <w:pPr>
        <w:pStyle w:val="Heading2"/>
      </w:pPr>
      <w:r>
        <w:rPr>
          <w:sz w:val="24"/>
        </w:rPr>
        <w:t>D5. Closure table — templates ↔ headline statistics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Template</w:t>
            </w:r>
          </w:p>
        </w:tc>
        <w:tc>
          <w:tcPr>
            <w:tcW w:type="dxa" w:w="2160"/>
          </w:tcPr>
          <w:p>
            <w:r>
              <w:rPr>
                <w:b/>
              </w:rPr>
              <w:t>Key rhetoric</w:t>
            </w:r>
          </w:p>
        </w:tc>
        <w:tc>
          <w:tcPr>
            <w:tcW w:type="dxa" w:w="2160"/>
          </w:tcPr>
          <w:p>
            <w:r>
              <w:rPr>
                <w:b/>
              </w:rPr>
              <w:t>Linked statistics (this corpus)</w:t>
            </w:r>
          </w:p>
        </w:tc>
        <w:tc>
          <w:tcPr>
            <w:tcW w:type="dxa" w:w="2160"/>
          </w:tcPr>
          <w:p>
            <w:r>
              <w:rPr>
                <w:b/>
              </w:rPr>
              <w:t>Political effect</w:t>
            </w:r>
          </w:p>
        </w:tc>
      </w:tr>
      <w:tr>
        <w:tc>
          <w:tcPr>
            <w:tcW w:type="dxa" w:w="2160"/>
          </w:tcPr>
          <w:p>
            <w:r>
              <w:t>A 程序完備性陷阱 / Procedural trap</w:t>
            </w:r>
          </w:p>
        </w:tc>
        <w:tc>
          <w:tcPr>
            <w:tcW w:type="dxa" w:w="2160"/>
          </w:tcPr>
          <w:p>
            <w:r>
              <w:t>21 CFR; comply; labeling; QS</w:t>
            </w:r>
          </w:p>
        </w:tc>
        <w:tc>
          <w:tcPr>
            <w:tcW w:type="dxa" w:w="2160"/>
          </w:tcPr>
          <w:p>
            <w:r>
              <w:t>measurement_labeling doc_rate ≈ 99.86% (1382/1388); structural_determinants doc_rate = 0.00%</w:t>
            </w:r>
          </w:p>
        </w:tc>
        <w:tc>
          <w:tcPr>
            <w:tcW w:type="dxa" w:w="2160"/>
          </w:tcPr>
          <w:p>
            <w:r>
              <w:t>Procedural closure: “fairness” implied by conformance, not structural argument.</w:t>
            </w:r>
          </w:p>
        </w:tc>
      </w:tr>
      <w:tr>
        <w:tc>
          <w:tcPr>
            <w:tcW w:type="dxa" w:w="2160"/>
          </w:tcPr>
          <w:p>
            <w:r>
              <w:t>B 統計中立化 / Statistical neutralization</w:t>
            </w:r>
          </w:p>
        </w:tc>
        <w:tc>
          <w:tcPr>
            <w:tcW w:type="dxa" w:w="2160"/>
          </w:tcPr>
          <w:p>
            <w:r>
              <w:t>Subgroup; stratified; AUC/CI; demo tables</w:t>
            </w:r>
          </w:p>
        </w:tc>
        <w:tc>
          <w:tcPr>
            <w:tcW w:type="dxa" w:w="2160"/>
          </w:tcPr>
          <w:p>
            <w:r>
              <w:t>mismatch_finite_mean ≈ 1.123; dataset_representation ≈ 61.05%; performance_disparity ≈ 96.03%</w:t>
            </w:r>
          </w:p>
        </w:tc>
        <w:tc>
          <w:tcPr>
            <w:tcW w:type="dxa" w:w="2160"/>
          </w:tcPr>
          <w:p>
            <w:r>
              <w:t>Identity politics → model/metric optimization problem.</w:t>
            </w:r>
          </w:p>
        </w:tc>
      </w:tr>
      <w:tr>
        <w:tc>
          <w:tcPr>
            <w:tcW w:type="dxa" w:w="2160"/>
          </w:tcPr>
          <w:p>
            <w:r>
              <w:t>C 後市場轉移 / Post-market deferral</w:t>
            </w:r>
          </w:p>
        </w:tc>
        <w:tc>
          <w:tcPr>
            <w:tcW w:type="dxa" w:w="2160"/>
          </w:tcPr>
          <w:p>
            <w:r>
              <w:t>post-market surveillance; Division of Postmarket Surveillance</w:t>
            </w:r>
          </w:p>
        </w:tc>
        <w:tc>
          <w:tcPr>
            <w:tcW w:type="dxa" w:w="2160"/>
          </w:tcPr>
          <w:p>
            <w:r>
              <w:t>mitigation_governance doc_rate ≈ 62.86% (870/1388)</w:t>
            </w:r>
          </w:p>
        </w:tc>
        <w:tc>
          <w:tcPr>
            <w:tcW w:type="dxa" w:w="2160"/>
          </w:tcPr>
          <w:p>
            <w:r>
              <w:t>Temporal deferral of unresolved issues onto post-approval lifecycle.</w:t>
            </w:r>
          </w:p>
        </w:tc>
      </w:tr>
    </w:tbl>
    <w:p/>
    <w:p>
      <w:pPr>
        <w:pStyle w:val="Heading2"/>
      </w:pPr>
      <w:r>
        <w:rPr>
          <w:sz w:val="24"/>
        </w:rPr>
        <w:t>D6. Panel × templates (document-level heuristics; raw_text n≈1384)</w:t>
      </w:r>
    </w:p>
    <w:p>
      <w:pPr>
        <w:spacing w:after="120"/>
      </w:pPr>
      <w:r>
        <w:t>Detectors: A = ≥2×(21 CFR|CFR Part) + comply|compliance + label|labeling; B = (subgroup|stratif…)∧(AUC|ROC|CI|sensitivity|specificity|…) OR (race|ethnicity|…)∧(those stats); C_strict = explicit post[- ]market surveillance / Division of Postmarket Surveillance.</w:t>
      </w:r>
    </w:p>
    <w:p>
      <w:pPr>
        <w:spacing w:after="120"/>
      </w:pPr>
      <w:r>
        <w:t>Volume dominance: Radiology leads raw counts for A/B/C because ~78% of extracted files map to Radiology. B-positive share ≈79% Radiology (229/290). Rate (panel_docs≥25): Cardiovascular B-rate 23.85% slightly &gt; Radiology 21.15%; Template C strict rate higher in Cardiovascular than Radiology though Radiology still has the largest C count (57/94 ≈60.6%).</w:t>
      </w:r>
    </w:p>
    <w:p>
      <w:pPr>
        <w:pStyle w:val="Heading2"/>
      </w:pPr>
      <w:r>
        <w:rPr>
          <w:sz w:val="24"/>
        </w:rPr>
        <w:t>D7. Raw quote IDs (templates A/B/C — prior extraction)</w:t>
      </w:r>
    </w:p>
    <w:p>
      <w:pPr>
        <w:spacing w:after="120"/>
      </w:pPr>
      <w:r>
        <w:t>Template A examples (measurement_labeling boilerplate): K212690, K222406, K210438 (multi-part 807/801/820-style checklists). Template B: K233253 (by Race + AUROC tables), K240301 (By race + CI), K240860 (Race, n(%)). Template C: K181572 (Division of Postmarket Surveillance boilerplate), K243989 (post-market surveillance for privacy), K250753 (post-market surveillance procedure for ML rejections).</w:t>
      </w:r>
    </w:p>
    <w:p>
      <w:pPr>
        <w:pStyle w:val="Heading2"/>
      </w:pPr>
      <w:r>
        <w:rPr>
          <w:sz w:val="24"/>
        </w:rPr>
        <w:t>D8. Reproducibility</w:t>
      </w:r>
    </w:p>
    <w:p>
      <w:pPr>
        <w:spacing w:after="120"/>
      </w:pPr>
      <w:r>
        <w:t>Paths: data/analysis/bias_field_summary.csv, bias_field_sentences_full.csv, abstract_politics_summary.csv, figures/significance_stats.json, eu_ai_act_compliance_summary.json, structural_determinants_match.py, generate_full_report.py.</w:t>
      </w:r>
    </w:p>
    <w:p>
      <w:r>
        <w:br w:type="page"/>
      </w:r>
    </w:p>
    <w:p>
      <w:pPr>
        <w:pStyle w:val="Heading1"/>
      </w:pPr>
      <w:r>
        <w:t>Appendix E — Intrinsic logic: data colonialism, algorithmic sociality, and this corpus</w:t>
      </w:r>
    </w:p>
    <w:p>
      <w:pPr>
        <w:spacing w:after="120"/>
      </w:pPr>
      <w:r>
        <w:t>繁中：本附錄把「數據殖民主義／算法社會性」的宏觀批判，與本研究可觀測的文本機制（Mismatch、偏見場域覆蓋率、三類話語模板、EU 對照、K182336 語義殖民）逐條鉚合；並校正舊稿中已過時的 structural 敘述（修訂後 doc_rate=0，不得再寫 0.14% 或「僅 2 份文件」）。</w:t>
      </w:r>
    </w:p>
    <w:p>
      <w:pPr>
        <w:spacing w:after="120"/>
      </w:pPr>
      <w:r>
        <w:t>English: This appendix tightens the **intrinsic logical links** between (i) data-colonial / algorithmic-sociality accounts of extraction and epistemic erasure and (ii) the **observable regulatory-text mechanisms** in this FDA AI-enabled summary corpus. It also **corrects legacy wording**: after neighborhood gating, **structural_determinants** is **0.0000 doc_rate**—do not repeat the pre-revision “0.14% / two documents” claim.</w:t>
      </w:r>
    </w:p>
    <w:p>
      <w:pPr>
        <w:pStyle w:val="Heading2"/>
      </w:pPr>
      <w:r>
        <w:t>E1. Algorithmic sociality → data colonialism (what moves)</w:t>
      </w:r>
    </w:p>
    <w:p>
      <w:pPr>
        <w:spacing w:after="120"/>
      </w:pPr>
      <w:r>
        <w:t>If “algorithmic sociality” asks how algorithms embed and reshape relations, “data colonialism” asks **who appropriates which slices of life as raw material** and under what institutional permission structures. The FDA summary genre here is a regulatory **permissioning surface**: N=1384 scored documents; mismatch_finite_mean≈1.122753; one-sided discordance test b=997, c=10, p≈2.081e-280.</w:t>
      </w:r>
    </w:p>
    <w:p>
      <w:pPr>
        <w:pStyle w:val="Heading2"/>
      </w:pPr>
      <w:r>
        <w:t>E2. Three colonial mechanisms ↔ three empirical spines</w:t>
      </w:r>
    </w:p>
    <w:p>
      <w:pPr>
        <w:spacing w:after="120"/>
      </w:pPr>
      <w:r>
        <w:t>（1）原料開採 / Extraction — 對接「技術—生物詞彙」對「結構詞彙」的系統性偏載。實證：performance_disparity doc_rate≈0.9603（1329/1384）、dataset_representation≈0.6105（845/1384），而 structural_determinants 在偏見場域層為 0.0000（0/1384）。這不是「忘記寫社會」，而是在可提交、可審計的文本經濟中，「可開採的證據」被壓縮為標示、效能與子群表。呼應 Couldry &amp; Mejias（2019）對生活資料化的取占邏輯。</w:t>
      </w:r>
    </w:p>
    <w:p>
      <w:pPr>
        <w:spacing w:after="120"/>
      </w:pPr>
      <w:r>
        <w:t>（2）抹除社會意義 / Erasure of meaning — 對接「語義殖民」。實證：K182336 將 neighborhood 收編為 **pixel neighborhood** 與 convolutional neighborhood；dataset_representation 子語料中，Bias/Fairness/Equity 狹義命中遠低於 Error/Accuracy/Variance/Disparity 簇（約 4× 量級）。這是 Fricker（2007）意義上的「認識論不正義」在詞位層的具體化：何種「鄰近」值得被說出，已被演算法語義先行註冊。</w:t>
      </w:r>
    </w:p>
    <w:p>
      <w:pPr>
        <w:spacing w:after="120"/>
      </w:pPr>
      <w:r>
        <w:t>（3）審計劇場 / Audit theater — 對接 Template A（程序完備性陷阱）與 Template C（後市場轉移）。實證：measurement_labeling doc_rate≈0.9986（1382/1384）顯示「合規敘事」近乎全覆蓋；mitigation_governance≈0.6286（870/1384）承載上市後監測／通報的標準化卸載。對照 Ananny &amp; Crawford（2018）對「透明但不可理解」的程序透明批判，以及 Porter（1995）對「信賴數字」作為道德迴避裝置的診斷。</w:t>
      </w:r>
    </w:p>
    <w:p>
      <w:pPr>
        <w:pStyle w:val="Heading2"/>
      </w:pPr>
      <w:r>
        <w:t>E3. Templates A/B/C as three “defense lines” (policy-facing)</w:t>
      </w:r>
    </w:p>
    <w:p>
      <w:pPr>
        <w:spacing w:after="120"/>
      </w:pPr>
      <w:r>
        <w:t>Template A stacks 21 CFR / labeling / QS registers (procedural closure). Template B routes protected categories through tables of AUC/CI/subgroups (statistical neutralization). Template C time-shifts residual risk to post-market surveillance (temporal deferral). Appendix D tabulates these against headline doc_rates.</w:t>
      </w:r>
    </w:p>
    <w:p>
      <w:pPr>
        <w:pStyle w:val="Heading2"/>
      </w:pPr>
      <w:r>
        <w:t>E4. EU benchmark as external normative pressure</w:t>
      </w:r>
    </w:p>
    <w:p>
      <w:pPr>
        <w:spacing w:after="120"/>
      </w:pPr>
      <w:r>
        <w:t>The EU AI Act proxy block in this document shows near-total likely non-alignment under the chosen weights—useful as a **counterfactual yardstick** for what “high-risk data governance” lexically expects, against FDA summary defaults.</w:t>
      </w:r>
    </w:p>
    <w:p>
      <w:pPr>
        <w:pStyle w:val="Heading2"/>
      </w:pPr>
      <w:r>
        <w:t>E5. Suggested citation hooks (selective, not exhaustive)</w:t>
      </w:r>
    </w:p>
    <w:p>
      <w:pPr>
        <w:spacing w:after="120"/>
      </w:pPr>
      <w:r>
        <w:t>Semantic colonization / extraction: Couldry &amp; Mejias (2019) *The Costs of Connection*; Television &amp; New Media data colonialism framing. Epistemic injustice of neighborhood→pixel: Fricker (2007). Procedural transparency limits: Ananny &amp; Crawford (2018). Trust in numbers / moral displacement: Porter (1995). Classification power in regulatory texts: Bowker &amp; Star (1999). Medical algorithmic harm exemplars: Obermeyer et al. (2019); Benjamin (2019); Noble (2018). Southern/epistemic Eurocentrism debates: Milan &amp; Treré (2019). EU primary text: European Commission (2021) AI Act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