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spacing w:after="24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 xml:space="preserve">УДК 004.75:004.032.26</w:t>
      </w:r>
    </w:p>
    <w:p>
      <w:pPr>
        <w:spacing w:before="240" w:after="36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Адаптивная маршрутизация HTTP-запросов между синхронным и асинхронным веб-движками на основе классификатора нагрузки</w:t>
      </w:r>
    </w:p>
    <w:p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Синявский Станислав Дмитриевич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ssd-tula@mail.ru</w:t>
      </w:r>
    </w:p>
    <w:p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 xml:space="preserve">МГТУ им. Н.Э. Баумана, Москва, Россия</w:t>
      </w:r>
    </w:p>
    <w:p>
      <w:pPr>
        <w:spacing w:before="24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Аннотация. </w:t>
      </w:r>
      <w:r>
        <w:rPr>
          <w:rFonts w:ascii="Times New Roman" w:hAnsi="Times New Roman" w:cs="Times New Roman"/>
          <w:sz w:val="24"/>
          <w:szCs w:val="24"/>
        </w:rPr>
        <w:t xml:space="preserve">Рассмотрена задача выбора между синхронным и асинхронным веб-движками при разнородном по типу нагрузки потоке запросов. Предложена адаптивная маршрутизация запросов на основе обученного классификатора, направляющая каждый запрос на движок, физически лучше подходящий для его типа (I/O-bound или CPU-bound). Экспериментально показано, что при однородной нагрузке выигрыша нет, а при гетерогенном потоке адаптивная маршрутизация повышает пропускную способность на 39–87% и снижает среднюю задержку в 1,8–2,4 раза относительно лучшего одиночного движка. Сделан вывод о применимости подхода для систем со смешанным профилем нагрузки.</w:t>
      </w:r>
    </w:p>
    <w:p>
      <w:pPr>
        <w:spacing w:before="24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Ключевые слова: </w:t>
      </w:r>
      <w:r>
        <w:rPr>
          <w:rFonts w:ascii="Times New Roman" w:hAnsi="Times New Roman" w:cs="Times New Roman"/>
          <w:sz w:val="24"/>
          <w:szCs w:val="24"/>
        </w:rPr>
        <w:t xml:space="preserve">адаптивная маршрутизация, классификация нагрузки, нейронные сети, синхронные серверы, асинхронные серверы, пропускная способность</w:t>
      </w:r>
    </w:p>
    <w:p>
      <w:pPr>
        <w:spacing w:before="24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Введение. </w:t>
      </w:r>
      <w:r>
        <w:rPr>
          <w:rFonts w:ascii="Times New Roman" w:hAnsi="Times New Roman" w:cs="Times New Roman"/>
          <w:sz w:val="24"/>
          <w:szCs w:val="24"/>
        </w:rPr>
        <w:t xml:space="preserve">Современные веб-приложения обрабатывают запросы разного профиля: часть операций носит вычислительный характер, часть интенсивно использует ввод-вывод. Синхронные серверы обрабатывают каждый запрос в отдельном потоке [1], асинхронные эффективно ожидают ввод-вывод в едином event loop, но чувствительны к попаданию в них CPU-интенсивных задач [2]. На практике команда обычно выбирает один движок для всего приложения, что субоптимально при разнородном трафике; в промышленных распределённых системах эту проблему решают адаптивные алгоритмы балансировки нагрузки [3, 4]. Гипотеза исследования: адаптивная маршрутизация запросов на основе обученного классификатора обеспечивает прирост пропускной способности не менее чем на 25% и снижение задержки в 1,8–2,2 раза относительно одиночного движка при условии гетерогенности входящего потока.</w:t>
      </w:r>
    </w:p>
    <w:p>
      <w:pPr>
        <w:spacing w:before="24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Методы и материалы; результаты. </w:t>
      </w:r>
      <w:r>
        <w:rPr>
          <w:rFonts w:ascii="Times New Roman" w:hAnsi="Times New Roman" w:cs="Times New Roman"/>
          <w:sz w:val="24"/>
          <w:szCs w:val="24"/>
        </w:rPr>
        <w:t xml:space="preserve">Создан прототип: backend-модули на Flask и FastAPI, тип работы каждого запроса (I/O-ожидание либо настоящее CPU-вычисление) определяется его io_intensity; управляющий шлюз AdaptiveRouter с нейросетевым классификатором (PyTorch, архитектура 3–16–8–1, сигмоида на выходе [5]), предсказывающим оптимальный движок по трём признакам нагрузки; точность классификации на отложенной выборке — 99,7% при задержке решения менее 2 мс. Пилотный эксперимент, в котором оба бэкенда эмулировали идентичную задержку независимо от типа запроса, гипотезу не подтвердил (adaptive медленнее лучшего одиночного движка на 5–56%), поскольку при таком дизайне у маршрутизации физически нет причины для выигрыша. После пересмотра модели нагрузки проведён основной эксперимент: собственный асинхронный генератор на httpx отправлял перемежающийся поток из 70% I/O-bound и 30% CPU-bound запросов на adaptive, Flask-only и FastAPI-only при конкурентности 20, 50 и 100 (табл. 1).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725"/>
        <w:gridCol w:w="1725"/>
        <w:gridCol w:w="1725"/>
        <w:gridCol w:w="1725"/>
      </w:tblGrid>
      <w:tr>
        <w:tc>
          <w:tcPr>
            <w:tcW w:w="1600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Конкурентность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adaptive, RPS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Flask-only, RPS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FastAPI-only, RPS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Δ к лучшему, %</w:t>
            </w:r>
          </w:p>
        </w:tc>
      </w:tr>
      <w:tr>
        <w:tc>
          <w:tcPr>
            <w:tcW w:w="1600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44,75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32,15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12,43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+39,2</w:t>
            </w:r>
          </w:p>
        </w:tc>
      </w:tr>
      <w:tr>
        <w:tc>
          <w:tcPr>
            <w:tcW w:w="1600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56,18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31,25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11,16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+79,8</w:t>
            </w:r>
          </w:p>
        </w:tc>
      </w:tr>
      <w:tr>
        <w:tc>
          <w:tcPr>
            <w:tcW w:w="1600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58,47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31,30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11,70</w:t>
            </w:r>
          </w:p>
        </w:tc>
        <w:tc>
          <w:tcPr>
            <w:tcW w:w="1725" w:type="dxa"/>
          </w:tcPr>
          <w:p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+86,8</w:t>
            </w:r>
          </w:p>
        </w:tc>
      </w:tr>
    </w:tbl>
    <w:p>
      <w:pPr>
        <w:spacing w:after="20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Таблица 1 – Пропускная способность на перемежающемся смешанном потоке</w:t>
      </w:r>
    </w:p>
    <w:p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 xml:space="preserve">Прирост пропускной способности adaptive растёт с конкурентностью нагрузки и снижает среднюю задержку в 1,8–2,4 раза относительно Flask-only и в 2,7–6,1 раза относительно FastAPI-only. Причина — CPU-bound вычисление, выполненное напрямую в async-хендлере FastAPI, останавливает единственный event loop и блокирует все остальные запросы [2, 6]; Flask такого катастрофического отказа не создаёт, так как каждый запрос выполняется в отдельном потоке [1].</w:t>
      </w:r>
    </w:p>
    <w:p>
      <w:pPr>
        <w:spacing w:before="24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Заключение. </w:t>
      </w:r>
      <w:r>
        <w:rPr>
          <w:rFonts w:ascii="Times New Roman" w:hAnsi="Times New Roman" w:cs="Times New Roman"/>
          <w:sz w:val="24"/>
          <w:szCs w:val="24"/>
        </w:rPr>
        <w:t xml:space="preserve">Экспериментально подтверждено, что адаптивная маршрутизация между синхронным и асинхронным движками даёт измеримый прирост эффективности, но только при гетерогенном потоке запросов — на однородной нагрузке выигрыш невозможен физически. Практическая ценность работы — количественный критерий применимости: адаптивная маршрутизация оправдана в системах, где CPU-bound запросы могут заблокировать event loop асинхронного сервиса, то есть при смешанном профиле нагрузки. Направление дальнейшей работы — вынесение принятия решения в пул потоков для устранения хвостовой задержки шлюза.</w:t>
      </w:r>
    </w:p>
    <w:p>
      <w:pPr>
        <w:spacing w:after="15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Список источников</w:t>
      </w:r>
    </w:p>
    <w:p>
      <w:pPr>
        <w:spacing w:after="120" w:line="360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 xml:space="preserve">[1]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Макаров, И. С. Влияние асинхронных и многопоточных моделей обработки запросов на производительность серверных веб-приложений [Электронный ресурс] / И. С. Макаров, Д. В. Ларин, Е. Г. Воробьева, Д. П. Емелин, Д. А. Карташов // CyberLeninka. – 2025. – Режим доступа: https://cyberleninka.ru/article/n/vliyanie-asinhronnyh-i-mnogopotochnyh-modeley-obrabotki-zaprosov-na-proizvoditelnost-servernyh-veb-prilozheniy/pdf (дата обращения: 17.09.2026).</w:t>
      </w:r>
    </w:p>
    <w:p>
      <w:pPr>
        <w:spacing w:after="120" w:line="360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 xml:space="preserve">[2]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Савостин, П. А. Практическое применение асинхронного программирования на языке Python при помощи пакета asyncio [Электронный ресурс] // CyberLeninka. – 2018. – Режим доступа: https://cyberleninka.ru/article/n/prakticheskoe-primenenie-asinhronnogo-programmirovaniya-na-yazyke-python-pri-pomoschi-paketa-asyncio (дата обращения: 17.09.2026).</w:t>
      </w:r>
    </w:p>
    <w:p>
      <w:pPr>
        <w:spacing w:after="120" w:line="360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 xml:space="preserve">[3]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Аунг Чжо Мьо. Разработка способа балансировки нагрузки в распределенных системах обработки данных / Аунг Чжо Мьо, Е. М. Портнов, А. С. Волков, М. В. Слюсарь, А. В. Потапов // Вестник Воронежского государственного технического университета. – 2025. – Т. 21, № 1. https://doi.org/10.36622/1729-6501.2025.21.1.010</w:t>
      </w:r>
    </w:p>
    <w:p>
      <w:pPr>
        <w:spacing w:after="120" w:line="360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 xml:space="preserve">[4]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Красовская, Н. В. Анализ методов балансировки сетевого трафика в высоконагруженных сетях // Вестник Новосибирского государственного университета. Серия: Информационные технологии. – 2025. – Т. 23, № 3. – С. 23–31. https://doi.org/10.25205/1818-7900-2025-23-3-23-31</w:t>
      </w:r>
    </w:p>
    <w:p>
      <w:pPr>
        <w:spacing w:after="120" w:line="360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 xml:space="preserve">[5]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Paszke, A. PyTorch: An Imperative Style, High-Performance Deep Learning Library [Text] / A. Paszke, S. Gross, F. Massa et al. // Advances in Neural Information Processing Systems. – 2019. – Vol. 32. – P. 8024–8035.</w:t>
      </w:r>
    </w:p>
    <w:p>
      <w:pPr>
        <w:spacing w:after="120" w:line="360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 xml:space="preserve">[6]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Dean, J. The tail at scale [Text] / J. Dean, L. A. Barroso // Communications of the ACM. – 2013. – Vol. 56, No. 2. – P. 74–80. https://doi.org/10.1145/2408776.2408794</w:t>
      </w:r>
    </w:p>
    <w:sectPr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FC7B9A"/>
    <w:multiLevelType w:val="hybridMultilevel"/>
    <w:tmpl w:val="07187AAE"/>
    <w:lvl w:ilvl="0" w:tplc="DEE457F6">
      <w:start w:val="1"/>
      <w:numFmt w:val="bullet"/>
      <w:lvlText w:val="●"/>
      <w:lvlJc w:val="left"/>
      <w:pPr>
        <w:ind w:left="720" w:hanging="360"/>
      </w:pPr>
    </w:lvl>
    <w:lvl w:ilvl="1" w:tplc="FF70EFE6">
      <w:start w:val="1"/>
      <w:numFmt w:val="bullet"/>
      <w:lvlText w:val="○"/>
      <w:lvlJc w:val="left"/>
      <w:pPr>
        <w:ind w:left="1440" w:hanging="360"/>
      </w:pPr>
    </w:lvl>
    <w:lvl w:ilvl="2" w:tplc="EB4E98DE">
      <w:start w:val="1"/>
      <w:numFmt w:val="bullet"/>
      <w:lvlText w:val="■"/>
      <w:lvlJc w:val="left"/>
      <w:pPr>
        <w:ind w:left="2160" w:hanging="360"/>
      </w:pPr>
    </w:lvl>
    <w:lvl w:ilvl="3" w:tplc="E6783646">
      <w:start w:val="1"/>
      <w:numFmt w:val="bullet"/>
      <w:lvlText w:val="●"/>
      <w:lvlJc w:val="left"/>
      <w:pPr>
        <w:ind w:left="2880" w:hanging="360"/>
      </w:pPr>
    </w:lvl>
    <w:lvl w:ilvl="4" w:tplc="6CDE00E6">
      <w:start w:val="1"/>
      <w:numFmt w:val="bullet"/>
      <w:lvlText w:val="○"/>
      <w:lvlJc w:val="left"/>
      <w:pPr>
        <w:ind w:left="3600" w:hanging="360"/>
      </w:pPr>
    </w:lvl>
    <w:lvl w:ilvl="5" w:tplc="E25EE354">
      <w:start w:val="1"/>
      <w:numFmt w:val="bullet"/>
      <w:lvlText w:val="■"/>
      <w:lvlJc w:val="left"/>
      <w:pPr>
        <w:ind w:left="4320" w:hanging="360"/>
      </w:pPr>
    </w:lvl>
    <w:lvl w:ilvl="6" w:tplc="A42EE2A4">
      <w:start w:val="1"/>
      <w:numFmt w:val="bullet"/>
      <w:lvlText w:val="●"/>
      <w:lvlJc w:val="left"/>
      <w:pPr>
        <w:ind w:left="5040" w:hanging="360"/>
      </w:pPr>
    </w:lvl>
    <w:lvl w:ilvl="7" w:tplc="4EB4BB5E">
      <w:start w:val="1"/>
      <w:numFmt w:val="bullet"/>
      <w:lvlText w:val="●"/>
      <w:lvlJc w:val="left"/>
      <w:pPr>
        <w:ind w:left="5760" w:hanging="360"/>
      </w:pPr>
    </w:lvl>
    <w:lvl w:ilvl="8" w:tplc="A40AACD6">
      <w:start w:val="1"/>
      <w:numFmt w:val="bullet"/>
      <w:lvlText w:val="●"/>
      <w:lvlJc w:val="left"/>
      <w:pPr>
        <w:ind w:left="6480" w:hanging="360"/>
      </w:pPr>
    </w:lvl>
  </w:abstractNum>
  <w:num w:numId="1" w16cid:durableId="8194623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E8C"/>
    <w:rsid w:val="002B11A2"/>
    <w:rsid w:val="004C5F3B"/>
    <w:rsid w:val="00510879"/>
    <w:rsid w:val="0057642A"/>
    <w:rsid w:val="00764320"/>
    <w:rsid w:val="008130EE"/>
    <w:rsid w:val="00A041D6"/>
    <w:rsid w:val="00A04DF4"/>
    <w:rsid w:val="00A13BE1"/>
    <w:rsid w:val="00AE2286"/>
    <w:rsid w:val="00B00337"/>
    <w:rsid w:val="00B21E8C"/>
    <w:rsid w:val="00C57A41"/>
    <w:rsid w:val="00CE17B0"/>
    <w:rsid w:val="00F8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43284"/>
  <w15:docId w15:val="{111AB985-B9F1-445D-8114-50E649701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CE17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berleninka.ru/article/n/upravlenie-api-shlyuzom-na-osnove-arhitektury-mikroservis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yberleninka.ru/article/n/vliyanie-asinhronnyh-i-mnogopotochnyh-modeley-obrabotki-zaprosov-na-proizvoditelnost-servernyh-veb-prilozheniy/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yberleninka.ru/article/n/prakticheskoe-primenenie-asinhronnogo-programmirovaniya-na-yazyke-python-pri-pomoschi-paketa-asyncio" TargetMode="External"/><Relationship Id="rId5" Type="http://schemas.openxmlformats.org/officeDocument/2006/relationships/hyperlink" Target="mailto:ssd-tula@mail.r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1358</Words>
  <Characters>7743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Станислав Синявский</cp:lastModifiedBy>
  <cp:revision>8</cp:revision>
  <dcterms:created xsi:type="dcterms:W3CDTF">2026-09-01T20:07:00Z</dcterms:created>
  <dcterms:modified xsi:type="dcterms:W3CDTF">2026-09-16T20:46:00Z</dcterms:modified>
</cp:coreProperties>
</file>