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1EB78" w14:textId="77777777" w:rsidR="00715C97" w:rsidRDefault="00336BB6">
      <w:pPr>
        <w:spacing w:after="240" w:line="360" w:lineRule="auto"/>
      </w:pPr>
      <w:r>
        <w:rPr>
          <w:sz w:val="24"/>
          <w:szCs w:val="24"/>
        </w:rPr>
        <w:t>УДК 004.75:004.032.26</w:t>
      </w:r>
    </w:p>
    <w:p w14:paraId="38B351F5" w14:textId="77777777" w:rsidR="00715C97" w:rsidRDefault="00336BB6">
      <w:pPr>
        <w:spacing w:before="240" w:after="360" w:line="360" w:lineRule="auto"/>
      </w:pPr>
      <w:r>
        <w:rPr>
          <w:b/>
          <w:bCs/>
          <w:sz w:val="24"/>
          <w:szCs w:val="24"/>
        </w:rPr>
        <w:t>Адаптивная маршрутизация запросов между синхронным и асинхронным веб-движками на основе классификатора нагрузки: оценка практической целесообразности</w:t>
      </w:r>
    </w:p>
    <w:p w14:paraId="525BE50A" w14:textId="2AEFD12E" w:rsidR="00715C97" w:rsidRPr="007A5AE7" w:rsidRDefault="00336BB6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Синявский Станислав Дмитриевич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A5AE7">
        <w:rPr>
          <w:color w:val="0086BF"/>
          <w:sz w:val="24"/>
          <w:szCs w:val="24"/>
          <w:shd w:val="clear" w:color="auto" w:fill="FFFFFF"/>
          <w:lang w:val="en-US"/>
        </w:rPr>
        <w:t>ssd</w:t>
      </w:r>
      <w:r w:rsidR="007A5AE7" w:rsidRPr="007A5AE7">
        <w:rPr>
          <w:color w:val="0086BF"/>
          <w:sz w:val="24"/>
          <w:szCs w:val="24"/>
          <w:shd w:val="clear" w:color="auto" w:fill="FFFFFF"/>
        </w:rPr>
        <w:t>-</w:t>
      </w:r>
      <w:r w:rsidR="007A5AE7">
        <w:rPr>
          <w:color w:val="0086BF"/>
          <w:sz w:val="24"/>
          <w:szCs w:val="24"/>
          <w:shd w:val="clear" w:color="auto" w:fill="FFFFFF"/>
          <w:lang w:val="en-US"/>
        </w:rPr>
        <w:t>tula</w:t>
      </w:r>
      <w:r w:rsidR="007A5AE7" w:rsidRPr="007A5AE7">
        <w:rPr>
          <w:color w:val="0086BF"/>
          <w:sz w:val="24"/>
          <w:szCs w:val="24"/>
          <w:shd w:val="clear" w:color="auto" w:fill="FFFFFF"/>
        </w:rPr>
        <w:t>@</w:t>
      </w:r>
      <w:r w:rsidR="007A5AE7">
        <w:rPr>
          <w:color w:val="0086BF"/>
          <w:sz w:val="24"/>
          <w:szCs w:val="24"/>
          <w:shd w:val="clear" w:color="auto" w:fill="FFFFFF"/>
          <w:lang w:val="en-US"/>
        </w:rPr>
        <w:t>mail</w:t>
      </w:r>
      <w:r w:rsidR="007A5AE7" w:rsidRPr="007A5AE7">
        <w:rPr>
          <w:color w:val="0086BF"/>
          <w:sz w:val="24"/>
          <w:szCs w:val="24"/>
          <w:shd w:val="clear" w:color="auto" w:fill="FFFFFF"/>
        </w:rPr>
        <w:t>.</w:t>
      </w:r>
      <w:r w:rsidR="007A5AE7">
        <w:rPr>
          <w:color w:val="0086BF"/>
          <w:sz w:val="24"/>
          <w:szCs w:val="24"/>
          <w:shd w:val="clear" w:color="auto" w:fill="FFFFFF"/>
          <w:lang w:val="en-US"/>
        </w:rPr>
        <w:t>ru</w:t>
      </w:r>
    </w:p>
    <w:p w14:paraId="63EA5A4C" w14:textId="77777777" w:rsidR="007A5AE7" w:rsidRDefault="007A5AE7">
      <w:pPr>
        <w:spacing w:line="360" w:lineRule="auto"/>
        <w:rPr>
          <w:sz w:val="24"/>
          <w:szCs w:val="24"/>
        </w:rPr>
      </w:pPr>
    </w:p>
    <w:p w14:paraId="2A6EA3F3" w14:textId="3E51D1CC" w:rsidR="00715C97" w:rsidRDefault="00336BB6">
      <w:pPr>
        <w:spacing w:line="360" w:lineRule="auto"/>
      </w:pPr>
      <w:r>
        <w:rPr>
          <w:sz w:val="24"/>
          <w:szCs w:val="24"/>
        </w:rPr>
        <w:t>МГТУ им. Н.Э. Баумана, Москва, Россия</w:t>
      </w:r>
    </w:p>
    <w:p>
      <w:pPr>
        <w:spacing w:before="240" w:line="360" w:lineRule="auto"/>
        <w:jc w:val="both"/>
      </w:pPr>
      <w:r>
        <w:rPr>
          <w:b/>
          <w:bCs/>
          <w:sz w:val="24"/>
          <w:szCs w:val="24"/>
        </w:rPr>
        <w:t xml:space="preserve">Аннотация. </w:t>
      </w:r>
      <w:r>
        <w:rPr>
          <w:sz w:val="24"/>
          <w:szCs w:val="24"/>
        </w:rPr>
        <w:t xml:space="preserve">Рассмотрена задача выбора между синхронным и асинхронным веб-движками при разнородном по типу нагрузки потоке запросов. Предложена адаптивная маршрутизация запросов на основе обученного классификатора, направляющая каждый запрос на движок, физически лучше подходящий для его типа (I/O-bound или CPU-bound). Экспериментально показано, что при однородной нагрузке выигрыша нет, а при гетерогенном потоке адаптивная маршрутизация повышает пропускную способность на 39–87% и снижает среднюю задержку в 1,8–2,4 раза относительно лучшего одиночного движка. Локализован физический механизм эффекта и сформулирован практический критерий целесообразности применения подобной архитектуры.</w:t>
      </w:r>
    </w:p>
    <w:p>
      <w:pPr>
        <w:spacing w:before="240" w:line="360" w:lineRule="auto"/>
        <w:jc w:val="both"/>
      </w:pPr>
      <w:r>
        <w:rPr>
          <w:b/>
          <w:bCs/>
          <w:sz w:val="24"/>
          <w:szCs w:val="24"/>
        </w:rPr>
        <w:t xml:space="preserve">Ключевые слова: </w:t>
      </w:r>
      <w:r>
        <w:rPr>
          <w:sz w:val="24"/>
          <w:szCs w:val="24"/>
        </w:rPr>
        <w:t xml:space="preserve">адаптивная маршрутизация, классификация нагрузки, нейронные сети, синхронные серверы, асинхронные серверы, пропускная способность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Введение. </w:t>
      </w:r>
      <w:r>
        <w:rPr>
          <w:sz w:val="24"/>
          <w:szCs w:val="24"/>
        </w:rPr>
        <w:t xml:space="preserve">Веб-приложения обрабатывают запросы разного профиля: часть операций вычислительная, часть сводится к ожиданию ответа внешних систем. Синхронная и асинхронная модели отвечают им по-разному, однако выбор между ними делается при проектировании и применяется ко всему трафику. Промышленные балансировщики распределяют запросы по числу соединений и природу запроса не учитывают [1, 2], а их весовые настройки задаются на маршрут. Отсюда вопрос: даёт ли распределение между движками разного типа по оценке нагрузки каждого запроса выигрыш, оправдывающий усложнение инфраструктуры, и при каких условиях.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Цель, задачи и гипотеза. </w:t>
      </w:r>
      <w:r>
        <w:rPr>
          <w:sz w:val="24"/>
          <w:szCs w:val="24"/>
        </w:rPr>
        <w:t xml:space="preserve">Цель — оценка практической целесообразности адаптивной маршрутизации HTTP-запросов между синхронным и асинхронным веб-движками на основе классификатора нагрузки. Задачи: измерить, чем различаются движки при обработке одного запроса; установить, по каким наблюдаемым признакам предсказуемы нагрузочные свойства запроса; сравнить маршрутизацию с одиночными движками и балансировкой по загрузке при разных нагрузках и составах потока; локализовать механизм и определить границы применимости. Гипотеза: маршрутизация повышает пропускную способность и снижает среднюю задержку относительно лучшего одиночного движка при разнородном потоке и не даёт выигрыша при однородном.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Синхронная и асинхронная модели обработки. </w:t>
      </w:r>
      <w:r>
        <w:rPr>
          <w:sz w:val="24"/>
          <w:szCs w:val="24"/>
        </w:rPr>
        <w:t xml:space="preserve">Синхронная модель (Flask в режиме threaded) обслуживает каждое соединение отдельным потоком операционной системы [3]: вычисление в одном потоке не останавливает остальные, планировщик переключает их каждые несколько миллисекунд, а операции на C освобождают глобальную блокировку интерпретатора и выполняются параллельно [5]. Асинхронная модель (FastAPI поверх uvicorn) обслуживает все соединения единственным циклом событий [4]: ожидание обходится дёшево, но вычисление выполняется неделимо и на всё своё время останавливает обработку остальных [6].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Экспериментальный стенд. </w:t>
      </w:r>
      <w:r>
        <w:rPr>
          <w:sz w:val="24"/>
          <w:szCs w:val="24"/>
        </w:rPr>
        <w:t xml:space="preserve">Стенд состоит из синхронного и асинхронного движков, внешнего сервиса, к которому оба обращаются при операциях ввода-вывода, и шлюза [7], принимающего решение по каждому запросу. Нагрузка не эмулируется: хеширование PBKDF2, кодирование изображения в JPEG, сортировка массива, чтение СУБД, обращение по сети; причина такого выбора разобрана ниже. Определены шесть маршрутов, причём объём работы задаётся не маршрутом, а параметром запроса, который шлюз видит в строке запроса. Каждый движок выполняется в одном процессе, все замеры проведены на одной машине.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Различие движков. </w:t>
      </w:r>
      <w:r>
        <w:rPr>
          <w:sz w:val="24"/>
          <w:szCs w:val="24"/>
        </w:rPr>
        <w:t xml:space="preserve">Для каждой пары «запрос — движок» измерены собственное время обработки и наибольшая задержка, причинённая лёгким обращениям, шедшим параллельно на тот же движок. Вторая величина и есть блокировка — время, на которое движок недоступен остальным (табл. 1).</w:t>
      </w:r>
    </w:p>
    <w:p>
      <w:pPr>
        <w:spacing w:before="240" w:line="360" w:lineRule="auto"/>
        <w:ind w:firstLine="709"/>
        <w:jc w:val="both"/>
      </w:pPr>
      <w:r>
        <w:t xml:space="preserve">Таблица 1 – Собственное время обработки и блокировка движка, мс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1500"/>
        <w:gridCol w:w="1500"/>
        <w:gridCol w:w="1500"/>
        <w:gridCol w:w="1600"/>
      </w:tblGrid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Запрос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Синхр.: своё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Синхр.: блок.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Асинхр.: своё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Асинхр.: блок.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/api/auth/verify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130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9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127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125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/api/report?days=45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328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76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333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222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/api/report?days=75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939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268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937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638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/api/feed?limit=400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495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9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491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10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Собственное время обработки от движка практически не зависит; движки расходятся исключительно в блокировке, и расхождение достигает тринадцатикратного. Оно велико там, где вычисление освобождает глобальную блокировку интерпретатора, и отсутствует там, где запрос ожидает.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Нагрузка запроса не определяется его маршрутом. </w:t>
      </w:r>
      <w:r>
        <w:rPr>
          <w:sz w:val="24"/>
          <w:szCs w:val="24"/>
        </w:rPr>
        <w:t xml:space="preserve">Обращение /api/search?limit=10 выполняется 10 мс, из которых 4 мс приходится на вычисления; то же обращение при limit=600 — 640 мс, из которых вычисления занимают 433 мс. Разброс внутри этого маршрута достигает 61 раза, а для /api/report/generate — 85 раз, поэтому настройка весов по маршрутам структурно неверна: она обязана приписать обоим обращениям одно число. Принадлежность запроса к типу I/O-bound или CPU-bound есть свойство запроса, а не его адреса, и в этом основная трудность задачи.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Оценка нагрузки по признакам запроса. </w:t>
      </w:r>
      <w:r>
        <w:rPr>
          <w:sz w:val="24"/>
          <w:szCs w:val="24"/>
        </w:rPr>
        <w:t xml:space="preserve">Оценивается не тип запроса, а время, на которое он делает движок недоступным для остальных. Признаки — только доступные обратному прокси: маршрут, значение параметра, размер тела. Настройка на 384 замерах, проверка на 156 отложенных со значениями параметра, при настройке не встречавшимися. Медианная относительная ошибка: среднее по маршруту — 80,3 %, экспертное правило «пропорционально параметру» — 11,2 %, степенная зависимость с подобранным показателем — 3,7 %, полносвязная сеть [8] — 3,4 %. Подобранные показатели степени составили 1,87–1,95 против истинных 2,00 для квадратичных маршрутов и 0,93–1,02 против 1,00 для линейных, причём истинные значения модели не сообщались.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Правило маршрутизации. </w:t>
      </w:r>
      <w:r>
        <w:rPr>
          <w:sz w:val="24"/>
          <w:szCs w:val="24"/>
        </w:rPr>
        <w:t xml:space="preserve">Запрос допускается в асинхронный движок, только если предсказанная блокировка не превышает порога; синхронный принимает любой. Среди допустимых выбирается движок с меньшей накопленной занятостью очереди. Порог задаёт компромисс: при нуле весь трафик уходит в синхронный движок, при бесконечности правило вырождается в балансировку по весу очереди [9].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Результаты на разнородном потоке. </w:t>
      </w:r>
      <w:r>
        <w:rPr>
          <w:sz w:val="24"/>
          <w:szCs w:val="24"/>
        </w:rPr>
        <w:t xml:space="preserve">Каждая точка получена как среднее трёх повторов по 400 запросов (табл. 2).</w:t>
      </w:r>
    </w:p>
    <w:p>
      <w:pPr>
        <w:spacing w:before="240" w:line="360" w:lineRule="auto"/>
        <w:ind w:firstLine="709"/>
        <w:jc w:val="both"/>
      </w:pPr>
      <w:r>
        <w:t xml:space="preserve">Таблица 2 – Пропускная способность при разном уровне нагрузки, запросов/с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1500"/>
        <w:gridCol w:w="1500"/>
        <w:gridCol w:w="1500"/>
        <w:gridCol w:w="1600"/>
      </w:tblGrid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Конкурентность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Синхронный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Асинхронный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Классификатор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Δ к лучшему, %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16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32,7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26,8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43,9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+34,3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32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27,8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26,1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38,3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+37,8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64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26,4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26,1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38,4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+45,5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96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27,6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25,4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32,7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+18,3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128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25,5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24,8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32,3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+26,4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Прирост относительно лучшего одиночного движка составляет 18–46 %, средняя задержка снижается в 1,3–1,7 раза, доля запросов с ухудшенным откликом падает с 89 до 5–7 %. Наибольший выигрыш достигается при конкурентности 64; далее система приближается к насыщению по процессорному времени — оба движка располагают вместе примерно двумя ядрами, — и преимущество убывает, оставаясь положительным.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О предварительной серии измерений. </w:t>
      </w:r>
      <w:r>
        <w:rPr>
          <w:sz w:val="24"/>
          <w:szCs w:val="24"/>
        </w:rPr>
        <w:t xml:space="preserve">Приведённые значения меньше указанных в аннотации 39–87 % и 1,8–2,4 раза, полученных в предварительной серии. Расхождение объясняется её методикой: вычисление моделировалось холостым циклом, который не освобождает глобальную блокировку интерпретатора и парализует асинхронный движок полностью. На чисто вычислительном потоке тот выдаёт 8,7 запроса в секунду против 25–27 на разнородном потоке с настоящими операциями, и эмуляция ставит его именно в этот режим. Соперник, относительно которого считается выигрыш, оказывался искусственно ослабленным: эмуляция холостым циклом завышает оценку эффекта примерно вдвое.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Контроль на однородном потоке. </w:t>
      </w:r>
      <w:r>
        <w:rPr>
          <w:sz w:val="24"/>
          <w:szCs w:val="24"/>
        </w:rPr>
        <w:t xml:space="preserve">Если поток состоит из запросов одной природы, разносить их не по чему. Проверка подтверждает это в усиленной форме: на потоке только из обращений к вводу-выводу лучшим одиночным движком является асинхронный (231,8 запроса в секунду), маршрутизация даёт 122–132 и уступает ему 43–47 %, балансировка — 28 %. На чисто вычислительном потоке лучшим оказывается синхронный движок (55,9), маршрутизация уступает ему 13 %. Разнородность потока — не благоприятное условие, а необходимое.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Локализация механизма эффекта. </w:t>
      </w:r>
      <w:r>
        <w:rPr>
          <w:sz w:val="24"/>
          <w:szCs w:val="24"/>
        </w:rPr>
        <w:t xml:space="preserve">Оценка нагрузки применяется в двух ролях: при допуске в асинхронный движок и при взвешивании очередей. Чтобы установить, какая из ролей определяет результат, роли разведены по разным источникам оценки и проверены все четыре сочетания (табл. 3).</w:t>
      </w:r>
    </w:p>
    <w:p>
      <w:pPr>
        <w:spacing w:before="240" w:line="360" w:lineRule="auto"/>
        <w:ind w:firstLine="709"/>
        <w:jc w:val="both"/>
      </w:pPr>
      <w:r>
        <w:t xml:space="preserve">Таблица 3 – Результат при раздельных источниках оценки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1500"/>
        <w:gridCol w:w="1500"/>
        <w:gridCol w:w="1500"/>
        <w:gridCol w:w="1600"/>
      </w:tblGrid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Допуск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Вес очереди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Запросов/с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p95 лёгких, мс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Лёгких &gt; 200 мс, %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правило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правило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37,6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310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6,4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правило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модель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36,2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137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1,7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модель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правило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36,7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417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7,2</w:t>
            </w:r>
          </w:p>
        </w:tc>
      </w:tr>
      <w:tr>
        <w:tc>
          <w:tcPr>
            <w:tcW w:w="2400" w:type="dxa"/>
          </w:tcPr>
          <w:p>
            <w:pPr>
              <w:spacing w:line="360" w:lineRule="auto"/>
              <w:jc w:val="center"/>
            </w:pPr>
            <w:r>
              <w:t xml:space="preserve">модель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модель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35,5</w:t>
            </w:r>
          </w:p>
        </w:tc>
        <w:tc>
          <w:tcPr>
            <w:tcW w:w="1500" w:type="dxa"/>
          </w:tcPr>
          <w:p>
            <w:pPr>
              <w:spacing w:line="360" w:lineRule="auto"/>
              <w:jc w:val="center"/>
            </w:pPr>
            <w:r>
              <w:t xml:space="preserve">130</w:t>
            </w:r>
          </w:p>
        </w:tc>
        <w:tc>
          <w:tcPr>
            <w:tcW w:w="1600" w:type="dxa"/>
          </w:tcPr>
          <w:p>
            <w:pPr>
              <w:spacing w:line="360" w:lineRule="auto"/>
              <w:jc w:val="center"/>
            </w:pPr>
            <w:r>
              <w:t xml:space="preserve">2,2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Результат разделяется строго по источнику, которым взвешена очередь; решение о допуске на него не влияет. Допуск требует лишь верного порядка запросов относительно порога, тогда как взвешивание очереди требует верной абсолютной величины: значения складываются и сравниваются между движками. Ошибка правила в 11 %, систематическая на квадратичных маршрутах, оборачивается втрое большей долей запросов с ухудшенным откликом.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Цена решения. </w:t>
      </w:r>
      <w:r>
        <w:rPr>
          <w:sz w:val="24"/>
          <w:szCs w:val="24"/>
        </w:rPr>
        <w:t xml:space="preserve">Оценка выполняется на каждый запрос, поэтому её стоимость существенна для применимости. На одном ядре решение по степенной зависимости занимает 1,6 мкс — около 640 тысяч решений в секунду, узким местом стать не может. С полносвязной сетью решение занимает 166 мкс, в сто раз дороже, и при нескольких тысячах запросов в секунду само становится ограничением: преимущество сети покупается ценой, которую нагруженная система может не принять.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Критерий целесообразности и граница применимости. </w:t>
      </w:r>
      <w:r>
        <w:rPr>
          <w:sz w:val="24"/>
          <w:szCs w:val="24"/>
        </w:rPr>
        <w:t xml:space="preserve">Маршрутизация оправдана при одновременном выполнении трёх условий. Поток должен быть разнородным: на однородном она вредна. Оценка нагрузки должна строиться по признакам отдельного запроса, а не по маршруту: весовые настройки балансировщиков для этой задачи структурно недостаточны. Обучаемая оценка необходима при взвешивании очередей, но не при выборе движка — там достаточно правила, монотонного по параметру; при этом степенная зависимость предпочтительнее сети по соотношению точности и стоимости.</w:t>
      </w:r>
    </w:p>
    <w:p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Подход опирается на то, что охраняемый движок сохраняет измеренную при профилировании производительность. При его деградации преимущество утрачивается: под фоновой нагрузкой, отбирающей у асинхронного движка процессорное время, доля запросов с ухудшенным откликом растёт с 5,4 до 86,8 %, тогда как балансировка по загрузке удерживает её на 35,6 % при большей пропускной способности. Поправка оценок по наблюдениям улучшает положение до 50,5 %, но разрыв не закрывает.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Заключение. </w:t>
      </w:r>
      <w:r>
        <w:rPr>
          <w:sz w:val="24"/>
          <w:szCs w:val="24"/>
        </w:rPr>
        <w:t xml:space="preserve">Адаптивная маршрутизация повышает пропускную способность на 18–46 % и снижает среднюю задержку в 1,3–1,7 раза относительно лучшего одиночного движка при разнородном потоке и приводит к потерям при однородном. Механизм локализован: движки различаются не временем обработки, а тем, насколько запрос делает движок недоступным для остальных, и различие достигает тринадцатикратного. Нагрузочные свойства запроса не определяются маршрутом, а обучаемая оценка необходима при взвешивании очередей, но не при выборе движка.</w:t>
      </w:r>
    </w:p>
    <w:p>
      <w:pPr>
        <w:spacing w:after="150" w:line="360" w:lineRule="auto"/>
      </w:pPr>
      <w:r>
        <w:rPr>
          <w:b/>
          <w:bCs/>
          <w:sz w:val="24"/>
          <w:szCs w:val="24"/>
        </w:rPr>
        <w:t xml:space="preserve">Список источников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[1]</w:t>
      </w:r>
      <w:r>
        <w:rPr>
          <w:sz w:val="24"/>
          <w:szCs w:val="24"/>
        </w:rPr>
        <w:tab/>
        <w:t xml:space="preserve">Аунг Чжо Мьо. Разработка способа балансировки нагрузки в распределенных системах обработки данных / Аунг Чжо Мьо, Е. М. Портнов, А. С. Волков, М. В. Слюсарь // Современная наука: актуальные проблемы теории и практики. Серия: Естественные и технические науки. – 2019. – № 5. – С. 44–48.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[2]</w:t>
      </w:r>
      <w:r>
        <w:rPr>
          <w:sz w:val="24"/>
          <w:szCs w:val="24"/>
        </w:rPr>
        <w:tab/>
        <w:t xml:space="preserve">Красовская, Н. В. Анализ методов балансировки сетевого трафика в высоконагруженных сетях // Вестник Новосибирского государственного университета. Серия: Информационные технологии. – 2023. – Т. 21, № 3. – С. 18–29.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[3]</w:t>
      </w:r>
      <w:r>
        <w:rPr>
          <w:sz w:val="24"/>
          <w:szCs w:val="24"/>
        </w:rPr>
        <w:tab/>
        <w:t xml:space="preserve">Grinberg, M. Flask Web Development: Developing Web Applications with Python [Text]. – 2nd ed. – Sebastopol : O'Reilly Media, 2018. – 276 p.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[4]</w:t>
      </w:r>
      <w:r>
        <w:rPr>
          <w:sz w:val="24"/>
          <w:szCs w:val="24"/>
        </w:rPr>
        <w:tab/>
        <w:t xml:space="preserve">Ramírez, S. FastAPI Documentation [Электронный ресурс]. – 2024. – Режим доступа: https://fastapi.tiangolo.com (дата обращения: 17.09.2026).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[5]</w:t>
      </w:r>
      <w:r>
        <w:rPr>
          <w:sz w:val="24"/>
          <w:szCs w:val="24"/>
        </w:rPr>
        <w:tab/>
        <w:t xml:space="preserve">Макаров, И. С. Влияние асинхронных и многопоточных моделей обработки запросов на производительность серверных веб-приложений [Электронный ресурс] / И. С. Макаров, Д. В. Ларин, Е. Г. Воробьева, Д. П. Емелин, Д. А. Карташов // CyberLeninka. – 2025. – Режим доступа: https://cyberleninka.ru/article/n/vliyanie-asinhronnyh-i-mnogopotochnyh-modeley-obrabotki-zaprosov-na-proizvoditelnost-servernyh-veb-prilozheniy/pdf (дата обращения: 17.09.2026).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[6]</w:t>
      </w:r>
      <w:r>
        <w:rPr>
          <w:sz w:val="24"/>
          <w:szCs w:val="24"/>
        </w:rPr>
        <w:tab/>
        <w:t xml:space="preserve">Савостин, П. А. Практическое применение асинхронного программирования на языке Python при помощи пакета asyncio [Электронный ресурс] // CyberLeninka. – 2023. – Режим доступа: https://cyberleninka.ru/article/n/prakticheskoe-primenenie-asinhronnogo-programmirovaniya-na-yazyke-python-pri-pomoschi-paketa-asyncio (дата обращения: 17.09.2026).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[7]</w:t>
      </w:r>
      <w:r>
        <w:rPr>
          <w:sz w:val="24"/>
          <w:szCs w:val="24"/>
        </w:rPr>
        <w:tab/>
        <w:t xml:space="preserve">Нуркаев, Р. Управление API-шлюзом на основе архитектуры микросервиса [Электронный ресурс] // CyberLeninka. – 2023. – Режим доступа: https://cyberleninka.ru/article/n/upravlenie-api-shlyuzom-na-osnove-arhitektury-mikroservisa (дата обращения: 17.09.2026).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[8]</w:t>
      </w:r>
      <w:r>
        <w:rPr>
          <w:sz w:val="24"/>
          <w:szCs w:val="24"/>
        </w:rPr>
        <w:tab/>
        <w:t xml:space="preserve">Paszke, A. PyTorch: An Imperative Style, High-Performance Deep Learning Library [Text] / A. Paszke, S. Gross, F. Massa et al. // Advances in Neural Information Processing Systems. – 2019. – Vol. 32. – P. 8024–8035.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[9]</w:t>
      </w:r>
      <w:r>
        <w:rPr>
          <w:sz w:val="24"/>
          <w:szCs w:val="24"/>
        </w:rPr>
        <w:tab/>
        <w:t xml:space="preserve">Dean, J. The tail at scale [Text] / J. Dean, L. A. Barroso // Communications of the ACM. – 2013. – Vol. 56, No. 2. – P. 74–80. https://doi.org/10.1145/2408776.2408794</w:t>
      </w:r>
    </w:p>
    <w:sectPr w:rsidR="00715C97" w:rsidRPr="00336BB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7B9A"/>
    <w:multiLevelType w:val="hybridMultilevel"/>
    <w:tmpl w:val="07187AAE"/>
    <w:lvl w:ilvl="0" w:tplc="DEE457F6">
      <w:start w:val="1"/>
      <w:numFmt w:val="bullet"/>
      <w:lvlText w:val="●"/>
      <w:lvlJc w:val="left"/>
      <w:pPr>
        <w:ind w:left="720" w:hanging="360"/>
      </w:pPr>
    </w:lvl>
    <w:lvl w:ilvl="1" w:tplc="FF70EFE6">
      <w:start w:val="1"/>
      <w:numFmt w:val="bullet"/>
      <w:lvlText w:val="○"/>
      <w:lvlJc w:val="left"/>
      <w:pPr>
        <w:ind w:left="1440" w:hanging="360"/>
      </w:pPr>
    </w:lvl>
    <w:lvl w:ilvl="2" w:tplc="EB4E98DE">
      <w:start w:val="1"/>
      <w:numFmt w:val="bullet"/>
      <w:lvlText w:val="■"/>
      <w:lvlJc w:val="left"/>
      <w:pPr>
        <w:ind w:left="2160" w:hanging="360"/>
      </w:pPr>
    </w:lvl>
    <w:lvl w:ilvl="3" w:tplc="E6783646">
      <w:start w:val="1"/>
      <w:numFmt w:val="bullet"/>
      <w:lvlText w:val="●"/>
      <w:lvlJc w:val="left"/>
      <w:pPr>
        <w:ind w:left="2880" w:hanging="360"/>
      </w:pPr>
    </w:lvl>
    <w:lvl w:ilvl="4" w:tplc="6CDE00E6">
      <w:start w:val="1"/>
      <w:numFmt w:val="bullet"/>
      <w:lvlText w:val="○"/>
      <w:lvlJc w:val="left"/>
      <w:pPr>
        <w:ind w:left="3600" w:hanging="360"/>
      </w:pPr>
    </w:lvl>
    <w:lvl w:ilvl="5" w:tplc="E25EE354">
      <w:start w:val="1"/>
      <w:numFmt w:val="bullet"/>
      <w:lvlText w:val="■"/>
      <w:lvlJc w:val="left"/>
      <w:pPr>
        <w:ind w:left="4320" w:hanging="360"/>
      </w:pPr>
    </w:lvl>
    <w:lvl w:ilvl="6" w:tplc="A42EE2A4">
      <w:start w:val="1"/>
      <w:numFmt w:val="bullet"/>
      <w:lvlText w:val="●"/>
      <w:lvlJc w:val="left"/>
      <w:pPr>
        <w:ind w:left="5040" w:hanging="360"/>
      </w:pPr>
    </w:lvl>
    <w:lvl w:ilvl="7" w:tplc="4EB4BB5E">
      <w:start w:val="1"/>
      <w:numFmt w:val="bullet"/>
      <w:lvlText w:val="●"/>
      <w:lvlJc w:val="left"/>
      <w:pPr>
        <w:ind w:left="5760" w:hanging="360"/>
      </w:pPr>
    </w:lvl>
    <w:lvl w:ilvl="8" w:tplc="A40AAC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0929CF"/>
    <w:multiLevelType w:val="hybridMultilevel"/>
    <w:tmpl w:val="3FC02C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462320">
    <w:abstractNumId w:val="0"/>
    <w:lvlOverride w:ilvl="0">
      <w:startOverride w:val="1"/>
    </w:lvlOverride>
  </w:num>
  <w:num w:numId="2" w16cid:durableId="1587759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8C"/>
    <w:rsid w:val="002B11A2"/>
    <w:rsid w:val="002F11B2"/>
    <w:rsid w:val="00336BB6"/>
    <w:rsid w:val="00487184"/>
    <w:rsid w:val="004C5F3B"/>
    <w:rsid w:val="00510879"/>
    <w:rsid w:val="00517DBF"/>
    <w:rsid w:val="0057642A"/>
    <w:rsid w:val="0062157E"/>
    <w:rsid w:val="00715C97"/>
    <w:rsid w:val="00764320"/>
    <w:rsid w:val="007A5AE7"/>
    <w:rsid w:val="008130EE"/>
    <w:rsid w:val="00826346"/>
    <w:rsid w:val="00881314"/>
    <w:rsid w:val="009030BD"/>
    <w:rsid w:val="00A041D6"/>
    <w:rsid w:val="00A04DF4"/>
    <w:rsid w:val="00A13BE1"/>
    <w:rsid w:val="00AE2286"/>
    <w:rsid w:val="00B00337"/>
    <w:rsid w:val="00B21E8C"/>
    <w:rsid w:val="00C57A41"/>
    <w:rsid w:val="00C73559"/>
    <w:rsid w:val="00CE17B0"/>
    <w:rsid w:val="00E92770"/>
    <w:rsid w:val="00F8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7A1CF"/>
  <w15:docId w15:val="{111AB985-B9F1-445D-8114-50E64970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E1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Станислав Синявский</cp:lastModifiedBy>
  <cp:revision>14</cp:revision>
  <dcterms:created xsi:type="dcterms:W3CDTF">2026-09-01T20:07:00Z</dcterms:created>
  <dcterms:modified xsi:type="dcterms:W3CDTF">2026-09-17T09:45:00Z</dcterms:modified>
</cp:coreProperties>
</file>