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keepNext/>
        <w:widowControl/>
        <w:spacing w:after="120"/>
        <w:jc w:val="center"/>
      </w:pPr>
      <w:r>
        <w:rPr>
          <w:rFonts w:ascii="Arial" w:hAnsi="Arial" w:eastAsia="Arial"/>
          <w:color w:val="000000"/>
          <w:sz w:val="40"/>
          <w:lang w:val="en-US"/>
        </w:rPr>
        <w:t>S&amp;P 500 Realized Variance Forecasting</w:t>
      </w:r>
    </w:p>
    <w:p>
      <w:pPr>
        <w:widowControl/>
        <w:spacing w:after="100" w:line="276" w:lineRule="auto"/>
        <w:jc w:val="center"/>
      </w:pPr>
      <w:r>
        <w:rPr>
          <w:rFonts w:ascii="Arial" w:hAnsi="Arial" w:eastAsia="Arial" w:cs="Arial"/>
          <w:b w:val="0"/>
          <w:color w:val="000000"/>
          <w:sz w:val="22"/>
          <w:lang w:val="en-US"/>
        </w:rPr>
        <w:t>Model specification and forecast evaluation</w:t>
      </w:r>
    </w:p>
    <w:p>
      <w:pPr>
        <w:widowControl/>
        <w:spacing w:line="276" w:lineRule="auto" w:before="0" w:after="100"/>
        <w:ind w:firstLine="420"/>
        <w:jc w:val="both"/>
        <w:snapToGrid w:val="0"/>
      </w:pPr>
      <w:r>
        <w:rPr>
          <w:rFonts w:ascii="Arial" w:hAnsi="Arial" w:eastAsia="Arial"/>
          <w:color w:val="000000"/>
          <w:sz w:val="21"/>
          <w:lang w:val="en-US"/>
        </w:rPr>
        <w:t>This report forecasts next-trading-day log realized variance for the S&amp;P 500 using a heterogeneous autoregressive model (HAR-RV) with daily, weekly, and monthly components. Compared with standard HAR-RV, adding Lag 2 reduces mean squared error by about 1.47% in five-fold time-series cross-validation and 1.49% on the independent test set. These results support retaining Lag 2, although the gain is small and significant residual autocorrelation remains in the test period.</w:t>
      </w:r>
    </w:p>
    <w:p>
      <w:pPr>
        <w:pStyle w:val="Heading1"/>
        <w:keepNext/>
        <w:widowControl/>
        <w:spacing w:before="200" w:after="100"/>
      </w:pPr>
      <w:r>
        <w:rPr>
          <w:rFonts w:ascii="Arial" w:hAnsi="Arial" w:eastAsia="Arial" w:cs="Arial"/>
          <w:b/>
          <w:color w:val="000000"/>
          <w:u w:val="none"/>
          <w:lang w:val="en-US"/>
        </w:rPr>
        <w:t>1 Data and Descriptive Statistics</w:t>
      </w:r>
    </w:p>
    <w:p>
      <w:pPr>
        <w:widowControl/>
        <w:spacing w:line="276" w:lineRule="auto" w:before="0" w:after="100"/>
        <w:ind w:firstLine="420"/>
        <w:jc w:val="both"/>
        <w:snapToGrid w:val="0"/>
      </w:pPr>
      <w:r>
        <w:rPr>
          <w:rFonts w:ascii="Arial" w:hAnsi="Arial" w:eastAsia="Arial" w:cs="Times New Roman"/>
          <w:color w:val="000000"/>
          <w:sz w:val="22"/>
          <w:lang w:val="en-US"/>
        </w:rPr>
        <w:t>Table 1 summarizes training-period data for the S&amp;P 500 (.SPX), Dow Jones Industrial Average (.DJI), and Russell 2000 (.RUT). All three series have zero invalid RV5 observations in this sample. The analysis uses realized variance to measure daily variation and forecasts its logarithm.</w:t>
      </w:r>
    </w:p>
    <w:p>
      <w:pPr>
        <w:keepNext/>
        <w:widowControl/>
        <w:spacing w:before="80" w:after="100" w:line="276" w:lineRule="auto"/>
        <w:ind w:firstLine="0"/>
        <w:jc w:val="center"/>
      </w:pPr>
      <w:r>
        <w:rPr>
          <w:rFonts w:ascii="Arial" w:hAnsi="Arial" w:eastAsia="Arial" w:cs="Times New Roman"/>
          <w:color w:val="000000"/>
          <w:sz w:val="20"/>
          <w:lang w:val="en-US"/>
        </w:rPr>
        <w:t>Table 1 Training-Period Return and Realized Variance Statistics</w:t>
      </w:r>
    </w:p>
    <w:tbl>
      <w:tblPr>
        <w:tblW w:type="auto" w:w="0"/>
        <w:tblLayout w:type="fixed"/>
        <w:tblLook w:firstColumn="1" w:firstRow="1" w:lastColumn="0" w:lastRow="0" w:noHBand="0" w:noVBand="1" w:val="04A0"/>
        <w:jc w:val="center"/>
        <w:tblBorders>
          <w:top w:val="single" w:sz="6" w:color="D9D9D9"/>
          <w:left w:val="single" w:sz="6" w:color="D9D9D9"/>
          <w:bottom w:val="single" w:sz="6" w:color="D9D9D9"/>
          <w:right w:val="single" w:sz="6" w:color="D9D9D9"/>
          <w:insideH w:val="single" w:sz="6" w:color="D9D9D9"/>
          <w:insideV w:val="single" w:sz="6" w:color="D9D9D9"/>
        </w:tblBorders>
      </w:tblPr>
      <w:tblGrid>
        <w:gridCol w:w="737"/>
        <w:gridCol w:w="879"/>
        <w:gridCol w:w="879"/>
        <w:gridCol w:w="964"/>
        <w:gridCol w:w="964"/>
        <w:gridCol w:w="964"/>
        <w:gridCol w:w="964"/>
        <w:gridCol w:w="964"/>
        <w:gridCol w:w="737"/>
      </w:tblGrid>
      <w:tr>
        <w:trPr>
          <w:tblHeader/>
          <w:cantSplit/>
          <w:tblHeader/>
        </w:trPr>
        <w:tc>
          <w:tcPr>
            <w:tcW w:type="dxa" w:w="792"/>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5"/>
                <w:lang w:val="en-US"/>
              </w:rPr>
              <w:t>Index</w:t>
            </w:r>
          </w:p>
        </w:tc>
        <w:tc>
          <w:tcPr>
            <w:tcW w:type="dxa" w:w="893"/>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5"/>
                <w:lang w:val="en-US"/>
              </w:rPr>
              <w:t>N</w:t>
            </w:r>
          </w:p>
        </w:tc>
        <w:tc>
          <w:tcPr>
            <w:tcW w:type="dxa" w:w="936"/>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5"/>
                <w:lang w:val="en-US"/>
              </w:rPr>
              <w:t>N Returns</w:t>
            </w:r>
          </w:p>
        </w:tc>
        <w:tc>
          <w:tcPr>
            <w:tcW w:type="dxa" w:w="1181"/>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5"/>
                <w:lang w:val="en-US"/>
              </w:rPr>
              <w:t>Mean Return</w:t>
            </w:r>
          </w:p>
        </w:tc>
        <w:tc>
          <w:tcPr>
            <w:tcW w:type="dxa" w:w="1123"/>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5"/>
                <w:lang w:val="en-US"/>
              </w:rPr>
              <w:t>Std. Ret.</w:t>
            </w:r>
          </w:p>
        </w:tc>
        <w:tc>
          <w:tcPr>
            <w:tcW w:type="dxa" w:w="1080"/>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5"/>
                <w:lang w:val="en-US"/>
              </w:rPr>
              <w:t>Skew</w:t>
            </w:r>
          </w:p>
        </w:tc>
        <w:tc>
          <w:tcPr>
            <w:tcW w:type="dxa" w:w="1123"/>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5"/>
                <w:lang w:val="en-US"/>
              </w:rPr>
              <w:t>Excess Kurt.</w:t>
            </w:r>
          </w:p>
        </w:tc>
        <w:tc>
          <w:tcPr>
            <w:tcW w:type="dxa" w:w="1238"/>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5"/>
                <w:lang w:val="en-US"/>
              </w:rPr>
              <w:t>Mean RV5</w:t>
            </w:r>
          </w:p>
        </w:tc>
        <w:tc>
          <w:tcPr>
            <w:tcW w:type="dxa" w:w="835"/>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5"/>
                <w:lang w:val="en-US"/>
              </w:rPr>
              <w:t>Invalid</w:t>
            </w:r>
          </w:p>
        </w:tc>
      </w:tr>
      <w:tr>
        <w:trPr>
          <w:cantSplit/>
        </w:trPr>
        <w:tc>
          <w:tcPr>
            <w:tcW w:type="dxa" w:w="792"/>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.SPX</w:t>
            </w:r>
          </w:p>
        </w:tc>
        <w:tc>
          <w:tcPr>
            <w:tcW w:type="dxa" w:w="893"/>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2,791</w:t>
            </w:r>
          </w:p>
        </w:tc>
        <w:tc>
          <w:tcPr>
            <w:tcW w:type="dxa" w:w="936"/>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2,791</w:t>
            </w:r>
          </w:p>
        </w:tc>
        <w:tc>
          <w:tcPr>
            <w:tcW w:type="dxa" w:w="118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-0.000036</w:t>
            </w:r>
          </w:p>
        </w:tc>
        <w:tc>
          <w:tcPr>
            <w:tcW w:type="dxa" w:w="1123"/>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0.012895</w:t>
            </w:r>
          </w:p>
        </w:tc>
        <w:tc>
          <w:tcPr>
            <w:tcW w:type="dxa" w:w="1080"/>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-0.090205</w:t>
            </w:r>
          </w:p>
        </w:tc>
        <w:tc>
          <w:tcPr>
            <w:tcW w:type="dxa" w:w="1123"/>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7.370035</w:t>
            </w:r>
          </w:p>
        </w:tc>
        <w:tc>
          <w:tcPr>
            <w:tcW w:type="dxa" w:w="1238"/>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0.000139</w:t>
            </w:r>
          </w:p>
        </w:tc>
        <w:tc>
          <w:tcPr>
            <w:tcW w:type="dxa" w:w="835"/>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w:t>
            </w:r>
          </w:p>
        </w:tc>
      </w:tr>
      <w:tr>
        <w:trPr>
          <w:cantSplit/>
        </w:trPr>
        <w:tc>
          <w:tcPr>
            <w:tcW w:type="dxa" w:w="792"/>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.DJI</w:t>
            </w:r>
          </w:p>
        </w:tc>
        <w:tc>
          <w:tcPr>
            <w:tcW w:type="dxa" w:w="893"/>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2,790</w:t>
            </w:r>
          </w:p>
        </w:tc>
        <w:tc>
          <w:tcPr>
            <w:tcW w:type="dxa" w:w="936"/>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2,790</w:t>
            </w:r>
          </w:p>
        </w:tc>
        <w:tc>
          <w:tcPr>
            <w:tcW w:type="dxa" w:w="1181"/>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0.000144</w:t>
            </w:r>
          </w:p>
        </w:tc>
        <w:tc>
          <w:tcPr>
            <w:tcW w:type="dxa" w:w="1123"/>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0.012617</w:t>
            </w:r>
          </w:p>
        </w:tc>
        <w:tc>
          <w:tcPr>
            <w:tcW w:type="dxa" w:w="1080"/>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0.073539</w:t>
            </w:r>
          </w:p>
        </w:tc>
        <w:tc>
          <w:tcPr>
            <w:tcW w:type="dxa" w:w="1123"/>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7.779407</w:t>
            </w:r>
          </w:p>
        </w:tc>
        <w:tc>
          <w:tcPr>
            <w:tcW w:type="dxa" w:w="1238"/>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0.000141</w:t>
            </w:r>
          </w:p>
        </w:tc>
        <w:tc>
          <w:tcPr>
            <w:tcW w:type="dxa" w:w="835"/>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w:t>
            </w:r>
          </w:p>
        </w:tc>
      </w:tr>
      <w:tr>
        <w:trPr>
          <w:cantSplit/>
        </w:trPr>
        <w:tc>
          <w:tcPr>
            <w:tcW w:type="dxa" w:w="792"/>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.RUT</w:t>
            </w:r>
          </w:p>
        </w:tc>
        <w:tc>
          <w:tcPr>
            <w:tcW w:type="dxa" w:w="893"/>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2,789</w:t>
            </w:r>
          </w:p>
        </w:tc>
        <w:tc>
          <w:tcPr>
            <w:tcW w:type="dxa" w:w="936"/>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2,789</w:t>
            </w:r>
          </w:p>
        </w:tc>
        <w:tc>
          <w:tcPr>
            <w:tcW w:type="dxa" w:w="118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0.000640</w:t>
            </w:r>
          </w:p>
        </w:tc>
        <w:tc>
          <w:tcPr>
            <w:tcW w:type="dxa" w:w="1123"/>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0.012390</w:t>
            </w:r>
          </w:p>
        </w:tc>
        <w:tc>
          <w:tcPr>
            <w:tcW w:type="dxa" w:w="1080"/>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-0.113599</w:t>
            </w:r>
          </w:p>
        </w:tc>
        <w:tc>
          <w:tcPr>
            <w:tcW w:type="dxa" w:w="1123"/>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5.523270</w:t>
            </w:r>
          </w:p>
        </w:tc>
        <w:tc>
          <w:tcPr>
            <w:tcW w:type="dxa" w:w="1238"/>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0.000078</w:t>
            </w:r>
          </w:p>
        </w:tc>
        <w:tc>
          <w:tcPr>
            <w:tcW w:type="dxa" w:w="835"/>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pPr>
              <w:jc w:val="center"/>
            </w:pPr>
            <w:r>
              <w:rPr>
                <w:rFonts w:ascii="Arial" w:hAnsi="Arial" w:eastAsia="Arial"/>
                <w:b w:val="0"/>
                <w:color w:val="000000"/>
                <w:sz w:val="15"/>
                <w:lang w:val="en-US"/>
              </w:rPr>
              <w:t>0</w:t>
            </w:r>
          </w:p>
        </w:tc>
      </w:tr>
    </w:tbl>
    <w:p>
      <w:pPr>
        <w:widowControl/>
        <w:spacing w:line="276" w:lineRule="auto" w:before="80" w:after="100"/>
        <w:ind w:firstLine="420"/>
        <w:jc w:val="both"/>
        <w:snapToGrid w:val="0"/>
      </w:pPr>
      <w:r>
        <w:rPr>
          <w:rFonts w:ascii="Arial" w:hAnsi="Arial" w:eastAsia="Arial" w:cs="Times New Roman"/>
          <w:color w:val="000000"/>
          <w:sz w:val="22"/>
          <w:lang w:val="en-US"/>
        </w:rPr>
        <w:t>For all three indices, mean daily returns are close to zero and absolute skewness is below 0.12. Excess kurtosis ranges from 5.52 to 7.78, compared with zero for a normal distribution. The returns are roughly symmetric but heavy-tailed, so a normal model may understate the frequency of extreme returns.</w:t>
      </w:r>
    </w:p>
    <w:p>
      <w:pPr>
        <w:keepNext/>
        <w:widowControl/>
        <w:spacing w:before="80" w:after="40"/>
        <w:jc w:val="center"/>
      </w:pPr>
      <w:r>
        <w:rPr>
          <w:rFonts w:ascii="Arial" w:hAnsi="Arial" w:eastAsia="Arial" w:cs="Times New Roman"/>
          <w:color w:val="000000"/>
          <w:lang w:val="en-US"/>
        </w:rPr>
        <w:drawing>
          <wp:inline xmlns:a="http://schemas.openxmlformats.org/drawingml/2006/main" xmlns:pic="http://schemas.openxmlformats.org/drawingml/2006/picture">
            <wp:extent cx="3960000" cy="2609158"/>
            <wp:docPr id="1" name="Picture 1" descr="标普500指数训练期收益率正态Q-Q图"/>
            <wp:cNvGraphicFramePr>
              <a:graphicFrameLocks noChangeAspect="1"/>
            </wp:cNvGraphicFramePr>
            <a:graphic>
              <a:graphicData uri="http://schemas.openxmlformats.org/drawingml/2006/picture">
                <pic:pic>
                  <pic:nvPicPr>
                    <pic:cNvPr id="0" name="report_demo1_qq_cropped.png"/>
                    <pic:cNvPicPr/>
                  </pic:nvPicPr>
                  <pic:blipFill>
                    <a:blip r:embed="rId8"/>
                    <a:stretch>
                      <a:fillRect/>
                    </a:stretch>
                  </pic:blipFill>
                  <pic:spPr>
                    <a:xfrm>
                      <a:off x="0" y="0"/>
                      <a:ext cx="3960000" cy="2609158"/>
                    </a:xfrm>
                    <a:prstGeom prst="rect"/>
                  </pic:spPr>
                </pic:pic>
              </a:graphicData>
            </a:graphic>
          </wp:inline>
        </w:drawing>
      </w:r>
    </w:p>
    <w:p>
      <w:pPr>
        <w:widowControl/>
        <w:spacing w:before="80" w:after="100" w:line="276" w:lineRule="auto"/>
        <w:ind w:firstLine="0"/>
        <w:jc w:val="center"/>
      </w:pPr>
      <w:r>
        <w:rPr>
          <w:rFonts w:ascii="Arial" w:hAnsi="Arial" w:eastAsia="Arial" w:cs="Times New Roman"/>
          <w:color w:val="000000"/>
          <w:sz w:val="20"/>
          <w:lang w:val="en-US"/>
        </w:rPr>
        <w:t>Figure 1 Normal Q-Q Plot of S&amp;P 500 Training-Period Returns</w:t>
      </w:r>
    </w:p>
    <w:p>
      <w:pPr>
        <w:widowControl/>
        <w:spacing w:line="276" w:lineRule="auto" w:before="0" w:after="100"/>
        <w:ind w:firstLine="420"/>
        <w:jc w:val="both"/>
        <w:snapToGrid w:val="0"/>
      </w:pPr>
      <w:r>
        <w:rPr>
          <w:rFonts w:ascii="Arial" w:hAnsi="Arial" w:eastAsia="Arial" w:cs="Times New Roman"/>
          <w:color w:val="000000"/>
          <w:sz w:val="22"/>
          <w:lang w:val="en-US"/>
        </w:rPr>
        <w:t>The Q-Q plot follows the normal reference line near the center and departs from it in both tails, consistent with heavy-tailed returns. This describes the return distribution; forecast errors require separate assessment through out-of-sample residual diagnostics.</w:t>
      </w:r>
    </w:p>
    <w:p>
      <w:pPr>
        <w:pStyle w:val="Heading1"/>
        <w:keepNext/>
        <w:widowControl/>
        <w:spacing w:before="200" w:after="100"/>
      </w:pPr>
      <w:r>
        <w:rPr>
          <w:rFonts w:ascii="Arial" w:hAnsi="Arial" w:eastAsia="Arial" w:cs="Arial"/>
          <w:b/>
          <w:color w:val="000000"/>
          <w:u w:val="none"/>
          <w:lang w:val="en-US"/>
        </w:rPr>
        <w:t>2 HAR-RV Model Specification</w:t>
      </w:r>
    </w:p>
    <w:p>
      <w:pPr>
        <w:widowControl/>
        <w:spacing w:line="276" w:lineRule="auto" w:before="0" w:after="100"/>
        <w:ind w:firstLine="420"/>
        <w:jc w:val="both"/>
        <w:snapToGrid w:val="0"/>
      </w:pPr>
      <w:r>
        <w:rPr>
          <w:rFonts w:ascii="Arial" w:hAnsi="Arial" w:eastAsia="Arial" w:cs="Times New Roman"/>
          <w:color w:val="000000"/>
          <w:sz w:val="22"/>
          <w:lang w:val="en-US"/>
        </w:rPr>
        <w:t>HAR-RV captures persistence in realized variance through daily, weekly, and monthly components. These components summarize historical information over different horizons, allowing their contributions to the next-day forecast to be compared. The model describes variance dynamics and does not directly model the tails of the return distribution.</w:t>
      </w:r>
    </w:p>
    <w:p>
      <w:pPr>
        <w:keepNext/>
        <w:widowControl/>
        <w:spacing w:line="276" w:lineRule="auto" w:before="0" w:after="100"/>
        <w:ind w:firstLine="420"/>
        <w:jc w:val="both"/>
        <w:snapToGrid w:val="0"/>
      </w:pPr>
      <w:r>
        <w:rPr>
          <w:rFonts w:ascii="Arial" w:hAnsi="Arial" w:eastAsia="Arial" w:cs="Times New Roman"/>
          <w:color w:val="000000"/>
          <w:sz w:val="22"/>
          <w:lang w:val="en-US"/>
        </w:rPr>
        <w:t>Taking the logarithm compresses the range of realized variance. The standard HAR-RV specification is:</w:t>
      </w:r>
    </w:p>
    <w:p>
      <w:pPr>
        <w:widowControl/>
        <w:spacing w:before="120" w:after="160"/>
        <w:jc w:val="center"/>
      </w:pPr>
      <m:oMathPara>
        <m:oMathParaPr>
          <m:jc m:val="center"/>
        </m:oMathParaPr>
        <m:oMath>
          <m:sSub>
            <m:sSubPr/>
            <m:e>
              <m:r>
                <m:t>log RV</m:t>
              </m:r>
            </m:e>
            <m:sub>
              <m:r>
                <m:t>t+1</m:t>
              </m:r>
            </m:sub>
          </m:sSub>
          <m:r>
            <m:t> = </m:t>
          </m:r>
          <m:sSub>
            <m:sSubPr/>
            <m:e>
              <m:r>
                <m:t>β</m:t>
              </m:r>
            </m:e>
            <m:sub>
              <m:r>
                <m:t>0</m:t>
              </m:r>
            </m:sub>
          </m:sSub>
          <m:r>
            <m:t> + </m:t>
          </m:r>
          <m:sSub>
            <m:sSubPr/>
            <m:e>
              <m:r>
                <m:t>β</m:t>
              </m:r>
            </m:e>
            <m:sub>
              <m:r>
                <m:t>d</m:t>
              </m:r>
            </m:sub>
          </m:sSub>
          <m:r>
            <m:t> </m:t>
          </m:r>
          <m:sSubSup>
            <m:sSubSupPr/>
            <m:e>
              <m:r>
                <m:t>log RV</m:t>
              </m:r>
            </m:e>
            <m:sub>
              <m:r>
                <m:t>t</m:t>
              </m:r>
            </m:sub>
            <m:sup>
              <m:r>
                <m:t>d</m:t>
              </m:r>
            </m:sup>
          </m:sSubSup>
          <m:r>
            <m:t> + </m:t>
          </m:r>
          <m:sSub>
            <m:sSubPr/>
            <m:e>
              <m:r>
                <m:t>β</m:t>
              </m:r>
            </m:e>
            <m:sub>
              <m:r>
                <m:t>w</m:t>
              </m:r>
            </m:sub>
          </m:sSub>
          <m:r>
            <m:t> </m:t>
          </m:r>
          <m:sSubSup>
            <m:sSubSupPr/>
            <m:e>
              <m:r>
                <m:t>log RV</m:t>
              </m:r>
            </m:e>
            <m:sub>
              <m:r>
                <m:t>t</m:t>
              </m:r>
            </m:sub>
            <m:sup>
              <m:r>
                <m:t>w</m:t>
              </m:r>
            </m:sup>
          </m:sSubSup>
          <m:r>
            <m:t> + </m:t>
          </m:r>
          <m:sSub>
            <m:sSubPr/>
            <m:e>
              <m:r>
                <m:t>β</m:t>
              </m:r>
            </m:e>
            <m:sub>
              <m:r>
                <m:t>m</m:t>
              </m:r>
            </m:sub>
          </m:sSub>
          <m:r>
            <m:t> </m:t>
          </m:r>
          <m:sSubSup>
            <m:sSubSupPr/>
            <m:e>
              <m:r>
                <m:t>log RV</m:t>
              </m:r>
            </m:e>
            <m:sub>
              <m:r>
                <m:t>t</m:t>
              </m:r>
            </m:sub>
            <m:sup>
              <m:r>
                <m:t>m</m:t>
              </m:r>
            </m:sup>
          </m:sSubSup>
          <m:r>
            <m:t> + </m:t>
          </m:r>
          <m:sSub>
            <m:sSubPr/>
            <m:e>
              <m:r>
                <m:t>ε</m:t>
              </m:r>
            </m:e>
            <m:sub>
              <m:r>
                <m:t>t+1</m:t>
              </m:r>
            </m:sub>
          </m:sSub>
        </m:oMath>
      </m:oMathPara>
    </w:p>
    <w:p>
      <w:pPr>
        <w:keepNext/>
        <w:widowControl/>
        <w:spacing w:before="80" w:after="100" w:line="276" w:lineRule="auto"/>
        <w:ind w:firstLine="0"/>
        <w:jc w:val="center"/>
      </w:pPr>
      <w:r>
        <w:rPr>
          <w:rFonts w:ascii="Arial" w:hAnsi="Arial" w:eastAsia="Arial" w:cs="Times New Roman"/>
          <w:color w:val="000000"/>
          <w:sz w:val="20"/>
          <w:lang w:val="en-US"/>
        </w:rPr>
        <w:t>Table 2 HAR-RV Variable Definitions</w:t>
      </w:r>
    </w:p>
    <w:tbl>
      <w:tblPr>
        <w:tblW w:type="auto" w:w="0"/>
        <w:tblLayout w:type="fixed"/>
        <w:tblLook w:firstColumn="1" w:firstRow="1" w:lastColumn="0" w:lastRow="0" w:noHBand="0" w:noVBand="1" w:val="04A0"/>
        <w:jc w:val="center"/>
        <w:tblBorders>
          <w:top w:val="single" w:sz="6" w:color="D9D9D9"/>
          <w:left w:val="single" w:sz="6" w:color="D9D9D9"/>
          <w:bottom w:val="single" w:sz="6" w:color="D9D9D9"/>
          <w:right w:val="single" w:sz="6" w:color="D9D9D9"/>
          <w:insideH w:val="single" w:sz="6" w:color="D9D9D9"/>
          <w:insideV w:val="single" w:sz="6" w:color="D9D9D9"/>
        </w:tblBorders>
      </w:tblPr>
      <w:tblGrid>
        <w:gridCol w:w="1757"/>
        <w:gridCol w:w="1361"/>
        <w:gridCol w:w="4819"/>
      </w:tblGrid>
      <w:tr>
        <w:trPr>
          <w:tblHeader/>
          <w:cantSplit/>
          <w:tblHeader/>
        </w:trPr>
        <w:tc>
          <w:tcPr>
            <w:tcW w:type="dxa" w:w="1757"/>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Variable</w:t>
            </w:r>
          </w:p>
        </w:tc>
        <w:tc>
          <w:tcPr>
            <w:tcW w:type="dxa" w:w="1361"/>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Horizon</w:t>
            </w:r>
          </w:p>
        </w:tc>
        <w:tc>
          <w:tcPr>
            <w:tcW w:type="dxa" w:w="4819"/>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Definition</w:t>
            </w:r>
          </w:p>
        </w:tc>
      </w:tr>
      <w:tr>
        <w:trPr>
          <w:cantSplit/>
        </w:trPr>
        <w:tc>
          <w:tcPr>
            <w:tcW w:type="dxa" w:w="1757"/>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log RV(d)</w:t>
            </w:r>
          </w:p>
        </w:tc>
        <w:tc>
          <w:tcPr>
            <w:tcW w:type="dxa" w:w="136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Daily</w:t>
            </w:r>
          </w:p>
        </w:tc>
        <w:tc>
          <w:tcPr>
            <w:tcW w:type="dxa" w:w="4819"/>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Log of current realized variance</w:t>
            </w:r>
          </w:p>
        </w:tc>
      </w:tr>
      <w:tr>
        <w:trPr>
          <w:cantSplit/>
        </w:trPr>
        <w:tc>
          <w:tcPr>
            <w:tcW w:type="dxa" w:w="1757"/>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log RV(w)</w:t>
            </w:r>
          </w:p>
        </w:tc>
        <w:tc>
          <w:tcPr>
            <w:tcW w:type="dxa" w:w="1361"/>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Weekly</w:t>
            </w:r>
          </w:p>
        </w:tc>
        <w:tc>
          <w:tcPr>
            <w:tcW w:type="dxa" w:w="4819"/>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Log of mean realized variance over the latest 5 trading days</w:t>
            </w:r>
          </w:p>
        </w:tc>
      </w:tr>
      <w:tr>
        <w:trPr>
          <w:cantSplit/>
        </w:trPr>
        <w:tc>
          <w:tcPr>
            <w:tcW w:type="dxa" w:w="1757"/>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log RV(m)</w:t>
            </w:r>
          </w:p>
        </w:tc>
        <w:tc>
          <w:tcPr>
            <w:tcW w:type="dxa" w:w="136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Monthly</w:t>
            </w:r>
          </w:p>
        </w:tc>
        <w:tc>
          <w:tcPr>
            <w:tcW w:type="dxa" w:w="4819"/>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Log of mean realized variance over the latest 22 trading days</w:t>
            </w:r>
          </w:p>
        </w:tc>
      </w:tr>
      <w:tr>
        <w:trPr>
          <w:cantSplit/>
        </w:trPr>
        <w:tc>
          <w:tcPr>
            <w:tcW w:type="dxa" w:w="1757"/>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log RV(t+1)</w:t>
            </w:r>
          </w:p>
        </w:tc>
        <w:tc>
          <w:tcPr>
            <w:tcW w:type="dxa" w:w="1361"/>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Target</w:t>
            </w:r>
          </w:p>
        </w:tc>
        <w:tc>
          <w:tcPr>
            <w:tcW w:type="dxa" w:w="4819"/>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Log realized variance on the next trading day</w:t>
            </w:r>
          </w:p>
        </w:tc>
      </w:tr>
    </w:tbl>
    <w:p>
      <w:pPr>
        <w:widowControl/>
        <w:spacing w:line="276" w:lineRule="auto" w:before="80" w:after="100"/>
        <w:ind w:firstLine="420"/>
        <w:jc w:val="both"/>
        <w:snapToGrid w:val="0"/>
      </w:pPr>
      <w:r>
        <w:rPr>
          <w:rFonts w:ascii="Arial" w:hAnsi="Arial" w:eastAsia="Arial" w:cs="Times New Roman"/>
          <w:color w:val="000000"/>
          <w:sz w:val="22"/>
          <w:lang w:val="en-US"/>
        </w:rPr>
        <w:t>The intercept is β0, and βd, βw, and βm are the daily, weekly, and monthly coefficients. The error term is ε(t+1). Weekly and monthly components are calculated by averaging realized variance over the latest 5 and 22 trading days through t, then taking the logarithm. All explanatory variables use information available by t.</w:t>
      </w:r>
    </w:p>
    <w:p>
      <w:pPr>
        <w:pStyle w:val="Heading1"/>
        <w:keepNext/>
        <w:widowControl/>
        <w:spacing w:before="200" w:after="100"/>
      </w:pPr>
      <w:r>
        <w:rPr>
          <w:rFonts w:ascii="Arial" w:hAnsi="Arial" w:eastAsia="Arial" w:cs="Arial"/>
          <w:b/>
          <w:color w:val="000000"/>
          <w:u w:val="none"/>
          <w:lang w:val="en-US"/>
        </w:rPr>
        <w:t>3 Validation Design</w:t>
      </w:r>
    </w:p>
    <w:p>
      <w:pPr>
        <w:widowControl/>
        <w:spacing w:line="276" w:lineRule="auto" w:before="0" w:after="100"/>
        <w:ind w:firstLine="420"/>
        <w:jc w:val="both"/>
        <w:snapToGrid w:val="0"/>
      </w:pPr>
      <w:r>
        <w:rPr>
          <w:rFonts w:ascii="Arial" w:hAnsi="Arial" w:eastAsia="Arial"/>
          <w:color w:val="000000"/>
          <w:sz w:val="21"/>
          <w:lang w:val="en-US"/>
        </w:rPr>
        <w:t>The sample is split chronologically into training, validation, and test periods (Table 3). Random splitting could train the model on later observations and assess it on earlier ones, reversing the forecasting sequence. The persistence baseline uses today's log realized variance to predict the next trading day. During development, TimeSeriesSplit generates five expanding-window folds with a one-observation gap between training and validation. Mean squared error (MSE) and mean absolute error (MAE) are measured on the log realized variance scale. Model selection is completed before the final test evaluation.</w:t>
      </w:r>
    </w:p>
    <w:p>
      <w:pPr>
        <w:keepNext/>
        <w:widowControl/>
        <w:spacing w:before="120" w:after="100" w:line="276" w:lineRule="auto"/>
        <w:jc w:val="center"/>
      </w:pPr>
      <w:r>
        <w:rPr>
          <w:rFonts w:ascii="Arial" w:hAnsi="Arial" w:eastAsia="Arial"/>
          <w:b/>
          <w:color w:val="000000"/>
          <w:sz w:val="19"/>
          <w:lang w:val="en-US"/>
        </w:rPr>
        <w:t>Table 3 Chronological Sample Split</w:t>
      </w:r>
    </w:p>
    <w:tbl>
      <w:tblPr>
        <w:tblW w:type="auto" w:w="0"/>
        <w:tblLayout w:type="fixed"/>
        <w:tblLook w:firstColumn="1" w:firstRow="1" w:lastColumn="0" w:lastRow="0" w:noHBand="0" w:noVBand="1" w:val="04A0"/>
        <w:jc w:val="center"/>
        <w:tblBorders>
          <w:top w:val="single" w:sz="6" w:color="D9D9D9"/>
          <w:left w:val="single" w:sz="6" w:color="D9D9D9"/>
          <w:bottom w:val="single" w:sz="6" w:color="D9D9D9"/>
          <w:right w:val="single" w:sz="6" w:color="D9D9D9"/>
          <w:insideH w:val="single" w:sz="6" w:color="D9D9D9"/>
          <w:insideV w:val="single" w:sz="6" w:color="D9D9D9"/>
        </w:tblBorders>
      </w:tblPr>
      <w:tblGrid>
        <w:gridCol w:w="2324"/>
        <w:gridCol w:w="2324"/>
        <w:gridCol w:w="2324"/>
        <w:gridCol w:w="2324"/>
      </w:tblGrid>
      <w:tr>
        <w:trPr>
          <w:cantSplit/>
          <w:tblHeader/>
          <w:tblHeader/>
          <w:tblHeader/>
        </w:trPr>
        <w:tc>
          <w:tcPr>
            <w:tcW w:type="dxa" w:w="1247"/>
            <w:vAlign w:val="center"/>
            <w:tcMar>
              <w:top w:w="0" w:type="dxa"/>
              <w:start w:w="120" w:type="dxa"/>
              <w:bottom w:w="0"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Dataset</w:t>
            </w:r>
          </w:p>
        </w:tc>
        <w:tc>
          <w:tcPr>
            <w:tcW w:type="dxa" w:w="964"/>
            <w:vAlign w:val="center"/>
            <w:tcMar>
              <w:top w:w="0" w:type="dxa"/>
              <w:start w:w="120" w:type="dxa"/>
              <w:bottom w:w="0"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Obs.</w:t>
            </w:r>
          </w:p>
        </w:tc>
        <w:tc>
          <w:tcPr>
            <w:tcW w:type="dxa" w:w="3118"/>
            <w:vAlign w:val="center"/>
            <w:tcMar>
              <w:top w:w="0" w:type="dxa"/>
              <w:start w:w="120" w:type="dxa"/>
              <w:bottom w:w="0"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Target Date Range</w:t>
            </w:r>
          </w:p>
        </w:tc>
        <w:tc>
          <w:tcPr>
            <w:tcW w:type="dxa" w:w="3402"/>
            <w:vAlign w:val="center"/>
            <w:tcMar>
              <w:top w:w="0" w:type="dxa"/>
              <w:start w:w="120" w:type="dxa"/>
              <w:bottom w:w="0"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Purpose</w:t>
            </w:r>
          </w:p>
        </w:tc>
      </w:tr>
      <w:tr>
        <w:trPr>
          <w:cantSplit/>
        </w:trPr>
        <w:tc>
          <w:tcPr>
            <w:tcW w:type="dxa" w:w="1247"/>
            <w:vAlign w:val="center"/>
            <w:tcMar>
              <w:top w:w="0" w:type="dxa"/>
              <w:start w:w="120" w:type="dxa"/>
              <w:bottom w:w="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Training</w:t>
            </w:r>
          </w:p>
        </w:tc>
        <w:tc>
          <w:tcPr>
            <w:tcW w:type="dxa" w:w="964"/>
            <w:vAlign w:val="center"/>
            <w:tcMar>
              <w:top w:w="0" w:type="dxa"/>
              <w:start w:w="120" w:type="dxa"/>
              <w:bottom w:w="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2,770</w:t>
            </w:r>
          </w:p>
        </w:tc>
        <w:tc>
          <w:tcPr>
            <w:tcW w:type="dxa" w:w="3118"/>
            <w:vAlign w:val="center"/>
            <w:tcMar>
              <w:top w:w="0" w:type="dxa"/>
              <w:start w:w="120" w:type="dxa"/>
              <w:bottom w:w="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2000-02-03</w:t>
              <w:br/>
              <w:t>to 2011-02-22</w:t>
            </w:r>
          </w:p>
        </w:tc>
        <w:tc>
          <w:tcPr>
            <w:tcW w:type="dxa" w:w="3402"/>
            <w:vAlign w:val="center"/>
            <w:tcMar>
              <w:top w:w="0" w:type="dxa"/>
              <w:start w:w="120" w:type="dxa"/>
              <w:bottom w:w="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Fit and initial diagnostics</w:t>
            </w:r>
          </w:p>
        </w:tc>
      </w:tr>
      <w:tr>
        <w:trPr>
          <w:cantSplit/>
        </w:trPr>
        <w:tc>
          <w:tcPr>
            <w:tcW w:type="dxa" w:w="1247"/>
            <w:vAlign w:val="center"/>
            <w:tcMar>
              <w:top w:w="0" w:type="dxa"/>
              <w:start w:w="120" w:type="dxa"/>
              <w:bottom w:w="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Validation</w:t>
            </w:r>
          </w:p>
        </w:tc>
        <w:tc>
          <w:tcPr>
            <w:tcW w:type="dxa" w:w="964"/>
            <w:vAlign w:val="center"/>
            <w:tcMar>
              <w:top w:w="0" w:type="dxa"/>
              <w:start w:w="120" w:type="dxa"/>
              <w:bottom w:w="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923</w:t>
            </w:r>
          </w:p>
        </w:tc>
        <w:tc>
          <w:tcPr>
            <w:tcW w:type="dxa" w:w="3118"/>
            <w:vAlign w:val="center"/>
            <w:tcMar>
              <w:top w:w="0" w:type="dxa"/>
              <w:start w:w="120" w:type="dxa"/>
              <w:bottom w:w="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2011-02-24</w:t>
              <w:br/>
              <w:t>to 2014-10-22</w:t>
            </w:r>
          </w:p>
        </w:tc>
        <w:tc>
          <w:tcPr>
            <w:tcW w:type="dxa" w:w="3402"/>
            <w:vAlign w:val="center"/>
            <w:tcMar>
              <w:top w:w="0" w:type="dxa"/>
              <w:start w:w="120" w:type="dxa"/>
              <w:bottom w:w="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Model selection and residual diagnostics</w:t>
            </w:r>
          </w:p>
        </w:tc>
      </w:tr>
      <w:tr>
        <w:trPr>
          <w:cantSplit/>
        </w:trPr>
        <w:tc>
          <w:tcPr>
            <w:tcW w:type="dxa" w:w="1247"/>
            <w:vAlign w:val="center"/>
            <w:tcMar>
              <w:top w:w="0" w:type="dxa"/>
              <w:start w:w="120" w:type="dxa"/>
              <w:bottom w:w="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Test</w:t>
            </w:r>
          </w:p>
        </w:tc>
        <w:tc>
          <w:tcPr>
            <w:tcW w:type="dxa" w:w="964"/>
            <w:vAlign w:val="center"/>
            <w:tcMar>
              <w:top w:w="0" w:type="dxa"/>
              <w:start w:w="120" w:type="dxa"/>
              <w:bottom w:w="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924</w:t>
            </w:r>
          </w:p>
        </w:tc>
        <w:tc>
          <w:tcPr>
            <w:tcW w:type="dxa" w:w="3118"/>
            <w:vAlign w:val="center"/>
            <w:tcMar>
              <w:top w:w="0" w:type="dxa"/>
              <w:start w:w="120" w:type="dxa"/>
              <w:bottom w:w="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2014-10-27</w:t>
              <w:br/>
              <w:t>to 2018-06-26</w:t>
            </w:r>
          </w:p>
        </w:tc>
        <w:tc>
          <w:tcPr>
            <w:tcW w:type="dxa" w:w="3402"/>
            <w:vAlign w:val="center"/>
            <w:tcMar>
              <w:top w:w="0" w:type="dxa"/>
              <w:start w:w="120" w:type="dxa"/>
              <w:bottom w:w="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Final test evaluation</w:t>
            </w:r>
          </w:p>
        </w:tc>
      </w:tr>
    </w:tbl>
    <w:p>
      <w:pPr>
        <w:pStyle w:val="Heading1"/>
        <w:keepNext/>
        <w:widowControl/>
        <w:spacing w:before="80" w:after="100"/>
      </w:pPr>
      <w:r>
        <w:rPr>
          <w:rFonts w:ascii="Arial" w:hAnsi="Arial" w:eastAsia="Arial" w:cs="Arial"/>
          <w:b/>
          <w:color w:val="000000"/>
          <w:u w:val="none"/>
          <w:lang w:val="en-US"/>
        </w:rPr>
        <w:t>4 Introducing and Validating Lag 2</w:t>
      </w:r>
    </w:p>
    <w:p>
      <w:pPr>
        <w:widowControl/>
        <w:spacing w:line="276" w:lineRule="auto" w:before="0" w:after="100"/>
        <w:ind w:firstLine="420"/>
        <w:jc w:val="both"/>
        <w:snapToGrid w:val="0"/>
      </w:pPr>
      <w:r>
        <w:rPr>
          <w:rFonts w:ascii="Arial" w:hAnsi="Arial" w:eastAsia="Arial" w:cs="Times New Roman"/>
          <w:color w:val="000000"/>
          <w:sz w:val="22"/>
          <w:lang w:val="en-US"/>
        </w:rPr>
        <w:t>The standard model's validation residuals have lag-2 autocorrelation (ACF) and partial autocorrelation (PACF) of about 0.088; values at lags 3 and 4 are close to zero. This suggests testing Lag 2 as an additional predictor. Residual diagnostics identify a candidate feature, but its value must be checked against out-of-sample errors.</w:t>
      </w:r>
    </w:p>
    <w:p>
      <w:pPr>
        <w:keepNext/>
        <w:widowControl/>
        <w:spacing w:line="276" w:lineRule="auto" w:before="0" w:after="100"/>
        <w:ind w:firstLine="420"/>
        <w:jc w:val="both"/>
        <w:snapToGrid w:val="0"/>
      </w:pPr>
      <w:r>
        <w:rPr>
          <w:rFonts w:ascii="Arial" w:hAnsi="Arial" w:eastAsia="Arial" w:cs="Times New Roman"/>
          <w:color w:val="000000"/>
          <w:sz w:val="22"/>
          <w:lang w:val="en-US"/>
        </w:rPr>
        <w:t>For a forecast at t+1, Day is log realized variance at t and Lag 2 is log realized variance at t−1. The predictors therefore lag the target by one and two trading days, respectively. Adding Lag 2 gives:</w:t>
      </w:r>
    </w:p>
    <w:p>
      <w:pPr>
        <w:widowControl/>
        <w:spacing w:before="120" w:after="160"/>
        <w:jc w:val="center"/>
      </w:pPr>
      <m:oMathPara>
        <m:oMathParaPr>
          <m:jc m:val="center"/>
        </m:oMathParaPr>
        <m:oMath>
          <m:sSub>
            <m:sSubPr/>
            <m:e>
              <m:r>
                <m:t>log RV</m:t>
              </m:r>
            </m:e>
            <m:sub>
              <m:r>
                <m:t>t+1</m:t>
              </m:r>
            </m:sub>
          </m:sSub>
          <m:r>
            <m:t> = </m:t>
          </m:r>
          <m:sSub>
            <m:sSubPr/>
            <m:e>
              <m:r>
                <m:t>β</m:t>
              </m:r>
            </m:e>
            <m:sub>
              <m:r>
                <m:t>0</m:t>
              </m:r>
            </m:sub>
          </m:sSub>
          <m:r>
            <m:t> + </m:t>
          </m:r>
          <m:sSub>
            <m:sSubPr/>
            <m:e>
              <m:r>
                <m:t>β</m:t>
              </m:r>
            </m:e>
            <m:sub>
              <m:r>
                <m:t>d</m:t>
              </m:r>
            </m:sub>
          </m:sSub>
          <m:r>
            <m:t> </m:t>
          </m:r>
          <m:sSub>
            <m:sSubPr/>
            <m:e>
              <m:r>
                <m:t>log RV</m:t>
              </m:r>
            </m:e>
            <m:sub>
              <m:r>
                <m:t>t</m:t>
              </m:r>
            </m:sub>
          </m:sSub>
          <m:r>
            <m:t> + </m:t>
          </m:r>
          <m:sSub>
            <m:sSubPr/>
            <m:e>
              <m:r>
                <m:t>β</m:t>
              </m:r>
            </m:e>
            <m:sub>
              <m:r>
                <m:t>2</m:t>
              </m:r>
            </m:sub>
          </m:sSub>
          <m:r>
            <m:t> </m:t>
          </m:r>
          <m:sSub>
            <m:sSubPr/>
            <m:e>
              <m:r>
                <m:t>log RV</m:t>
              </m:r>
            </m:e>
            <m:sub>
              <m:r>
                <m:t>t-1</m:t>
              </m:r>
            </m:sub>
          </m:sSub>
          <m:r>
            <m:t> + </m:t>
          </m:r>
          <m:sSub>
            <m:sSubPr/>
            <m:e>
              <m:r>
                <m:t>β</m:t>
              </m:r>
            </m:e>
            <m:sub>
              <m:r>
                <m:t>w</m:t>
              </m:r>
            </m:sub>
          </m:sSub>
          <m:r>
            <m:t> </m:t>
          </m:r>
          <m:sSubSup>
            <m:sSubSupPr/>
            <m:e>
              <m:r>
                <m:t>log RV</m:t>
              </m:r>
            </m:e>
            <m:sub>
              <m:r>
                <m:t>t</m:t>
              </m:r>
            </m:sub>
            <m:sup>
              <m:r>
                <m:t>w</m:t>
              </m:r>
            </m:sup>
          </m:sSubSup>
          <m:r>
            <m:t> + </m:t>
          </m:r>
          <m:sSub>
            <m:sSubPr/>
            <m:e>
              <m:r>
                <m:t>β</m:t>
              </m:r>
            </m:e>
            <m:sub>
              <m:r>
                <m:t>m</m:t>
              </m:r>
            </m:sub>
          </m:sSub>
          <m:r>
            <m:t> </m:t>
          </m:r>
          <m:sSubSup>
            <m:sSubSupPr/>
            <m:e>
              <m:r>
                <m:t>log RV</m:t>
              </m:r>
            </m:e>
            <m:sub>
              <m:r>
                <m:t>t</m:t>
              </m:r>
            </m:sub>
            <m:sup>
              <m:r>
                <m:t>m</m:t>
              </m:r>
            </m:sup>
          </m:sSubSup>
          <m:r>
            <m:t> + </m:t>
          </m:r>
          <m:sSub>
            <m:sSubPr/>
            <m:e>
              <m:r>
                <m:t>ε</m:t>
              </m:r>
            </m:e>
            <m:sub>
              <m:r>
                <m:t>t+1</m:t>
              </m:r>
            </m:sub>
          </m:sSub>
        </m:oMath>
      </m:oMathPara>
    </w:p>
    <w:p>
      <w:pPr>
        <w:keepNext/>
        <w:widowControl/>
        <w:spacing w:before="80" w:after="100" w:line="276" w:lineRule="auto"/>
        <w:ind w:firstLine="0"/>
        <w:jc w:val="center"/>
      </w:pPr>
      <w:r>
        <w:rPr>
          <w:rFonts w:ascii="Arial" w:hAnsi="Arial" w:eastAsia="Arial"/>
          <w:b/>
          <w:color w:val="000000"/>
          <w:sz w:val="19"/>
          <w:lang w:val="en-US"/>
        </w:rPr>
        <w:t>Table 4 Diagnostics and Forecast Errors With and Without Lag 2</w:t>
      </w:r>
    </w:p>
    <w:tbl>
      <w:tblPr>
        <w:tblW w:type="auto" w:w="0"/>
        <w:tblLayout w:type="fixed"/>
        <w:tblLook w:firstColumn="1" w:firstRow="1" w:lastColumn="0" w:lastRow="0" w:noHBand="0" w:noVBand="1" w:val="04A0"/>
        <w:jc w:val="center"/>
        <w:tblBorders>
          <w:top w:val="single" w:sz="6" w:color="D9D9D9"/>
          <w:left w:val="single" w:sz="6" w:color="D9D9D9"/>
          <w:bottom w:val="single" w:sz="6" w:color="D9D9D9"/>
          <w:right w:val="single" w:sz="6" w:color="D9D9D9"/>
          <w:insideH w:val="single" w:sz="6" w:color="D9D9D9"/>
          <w:insideV w:val="single" w:sz="6" w:color="D9D9D9"/>
        </w:tblBorders>
      </w:tblPr>
      <w:tblGrid>
        <w:gridCol w:w="2268"/>
        <w:gridCol w:w="1531"/>
        <w:gridCol w:w="1701"/>
        <w:gridCol w:w="2438"/>
      </w:tblGrid>
      <w:tr>
        <w:trPr>
          <w:tblHeader/>
          <w:cantSplit/>
          <w:tblHeader/>
        </w:trPr>
        <w:tc>
          <w:tcPr>
            <w:tcW w:type="dxa" w:w="2268"/>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Evidence</w:t>
            </w:r>
          </w:p>
        </w:tc>
        <w:tc>
          <w:tcPr>
            <w:tcW w:type="dxa" w:w="1531"/>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Standard</w:t>
              <w:br/>
              <w:t>HAR-RV</w:t>
            </w:r>
          </w:p>
        </w:tc>
        <w:tc>
          <w:tcPr>
            <w:tcW w:type="dxa" w:w="1701"/>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HAR-RV + Lag 2</w:t>
            </w:r>
          </w:p>
        </w:tc>
        <w:tc>
          <w:tcPr>
            <w:tcW w:type="dxa" w:w="2438"/>
            <w:vAlign w:val="center"/>
            <w:tcMar>
              <w:top w:w="100" w:type="dxa"/>
              <w:start w:w="120" w:type="dxa"/>
              <w:bottom w:w="100" w:type="dxa"/>
              <w:end w:w="120" w:type="dxa"/>
              <w:left w:w="75" w:type="dxa"/>
              <w:right w:w="75"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Interpretation</w:t>
            </w:r>
          </w:p>
        </w:tc>
      </w:tr>
      <w:tr>
        <w:trPr>
          <w:cantSplit/>
        </w:trPr>
        <w:tc>
          <w:tcPr>
            <w:tcW w:type="dxa" w:w="2268"/>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Residual lag-2 ACF</w:t>
            </w:r>
          </w:p>
        </w:tc>
        <w:tc>
          <w:tcPr>
            <w:tcW w:type="dxa" w:w="153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0.0884</w:t>
            </w:r>
          </w:p>
        </w:tc>
        <w:tc>
          <w:tcPr>
            <w:tcW w:type="dxa" w:w="170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0.0043</w:t>
            </w:r>
          </w:p>
        </w:tc>
        <w:tc>
          <w:tcPr>
            <w:tcW w:type="dxa" w:w="2438"/>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Autocorrelation falls close to zero</w:t>
            </w:r>
          </w:p>
        </w:tc>
      </w:tr>
      <w:tr>
        <w:trPr>
          <w:cantSplit/>
        </w:trPr>
        <w:tc>
          <w:tcPr>
            <w:tcW w:type="dxa" w:w="2268"/>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Residual lag-2 PACF</w:t>
            </w:r>
          </w:p>
        </w:tc>
        <w:tc>
          <w:tcPr>
            <w:tcW w:type="dxa" w:w="1531"/>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0.0875</w:t>
            </w:r>
          </w:p>
        </w:tc>
        <w:tc>
          <w:tcPr>
            <w:tcW w:type="dxa" w:w="1701"/>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0.0041</w:t>
            </w:r>
          </w:p>
        </w:tc>
        <w:tc>
          <w:tcPr>
            <w:tcW w:type="dxa" w:w="2438"/>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Partial autocorrelation falls close to zero</w:t>
            </w:r>
          </w:p>
        </w:tc>
      </w:tr>
      <w:tr>
        <w:trPr>
          <w:cantSplit/>
        </w:trPr>
        <w:tc>
          <w:tcPr>
            <w:tcW w:type="dxa" w:w="2268"/>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Ljung-Box lag-5 p-value</w:t>
            </w:r>
          </w:p>
        </w:tc>
        <w:tc>
          <w:tcPr>
            <w:tcW w:type="dxa" w:w="153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0.0023</w:t>
            </w:r>
          </w:p>
        </w:tc>
        <w:tc>
          <w:tcPr>
            <w:tcW w:type="dxa" w:w="170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0.2463</w:t>
            </w:r>
          </w:p>
        </w:tc>
        <w:tc>
          <w:tcPr>
            <w:tcW w:type="dxa" w:w="2438"/>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Null not rejected at 5%</w:t>
            </w:r>
          </w:p>
        </w:tc>
      </w:tr>
      <w:tr>
        <w:trPr>
          <w:cantSplit/>
        </w:trPr>
        <w:tc>
          <w:tcPr>
            <w:tcW w:type="dxa" w:w="2268"/>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Ljung-Box lag-10 p-value</w:t>
            </w:r>
          </w:p>
        </w:tc>
        <w:tc>
          <w:tcPr>
            <w:tcW w:type="dxa" w:w="1531"/>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0.0087</w:t>
            </w:r>
          </w:p>
        </w:tc>
        <w:tc>
          <w:tcPr>
            <w:tcW w:type="dxa" w:w="1701"/>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0.3207</w:t>
            </w:r>
          </w:p>
        </w:tc>
        <w:tc>
          <w:tcPr>
            <w:tcW w:type="dxa" w:w="2438"/>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Null not rejected at 5%</w:t>
            </w:r>
          </w:p>
        </w:tc>
      </w:tr>
      <w:tr>
        <w:trPr>
          <w:cantSplit/>
        </w:trPr>
        <w:tc>
          <w:tcPr>
            <w:tcW w:type="dxa" w:w="2268"/>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Five-fold mean MSE</w:t>
            </w:r>
          </w:p>
        </w:tc>
        <w:tc>
          <w:tcPr>
            <w:tcW w:type="dxa" w:w="153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0.350979</w:t>
            </w:r>
          </w:p>
        </w:tc>
        <w:tc>
          <w:tcPr>
            <w:tcW w:type="dxa" w:w="170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0.345829</w:t>
            </w:r>
          </w:p>
        </w:tc>
        <w:tc>
          <w:tcPr>
            <w:tcW w:type="dxa" w:w="2438"/>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Mean MSE declines about 1.47%</w:t>
            </w:r>
          </w:p>
        </w:tc>
      </w:tr>
      <w:tr>
        <w:trPr>
          <w:cantSplit/>
        </w:trPr>
        <w:tc>
          <w:tcPr>
            <w:tcW w:type="dxa" w:w="2268"/>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Final test MSE</w:t>
            </w:r>
          </w:p>
        </w:tc>
        <w:tc>
          <w:tcPr>
            <w:tcW w:type="dxa" w:w="1531"/>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0.429034</w:t>
            </w:r>
          </w:p>
        </w:tc>
        <w:tc>
          <w:tcPr>
            <w:tcW w:type="dxa" w:w="1701"/>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0.422655</w:t>
            </w:r>
          </w:p>
        </w:tc>
        <w:tc>
          <w:tcPr>
            <w:tcW w:type="dxa" w:w="2438"/>
            <w:vAlign w:val="center"/>
            <w:tcMar>
              <w:top w:w="100" w:type="dxa"/>
              <w:start w:w="120" w:type="dxa"/>
              <w:bottom w:w="100" w:type="dxa"/>
              <w:end w:w="120" w:type="dxa"/>
              <w:left w:w="75" w:type="dxa"/>
              <w:right w:w="75"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Test MSE declines about 1.49%</w:t>
            </w:r>
          </w:p>
        </w:tc>
      </w:tr>
      <w:tr>
        <w:trPr>
          <w:cantSplit/>
        </w:trPr>
        <w:tc>
          <w:tcPr>
            <w:tcW w:type="dxa" w:w="2268"/>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Final test MAE</w:t>
            </w:r>
          </w:p>
        </w:tc>
        <w:tc>
          <w:tcPr>
            <w:tcW w:type="dxa" w:w="153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0.514996</w:t>
            </w:r>
          </w:p>
        </w:tc>
        <w:tc>
          <w:tcPr>
            <w:tcW w:type="dxa" w:w="1701"/>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0.511852</w:t>
            </w:r>
          </w:p>
        </w:tc>
        <w:tc>
          <w:tcPr>
            <w:tcW w:type="dxa" w:w="2438"/>
            <w:vAlign w:val="center"/>
            <w:tcMar>
              <w:top w:w="100" w:type="dxa"/>
              <w:start w:w="120" w:type="dxa"/>
              <w:bottom w:w="100" w:type="dxa"/>
              <w:end w:w="120" w:type="dxa"/>
              <w:left w:w="75" w:type="dxa"/>
              <w:right w:w="75"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Test MAE declines about 0.61%</w:t>
            </w:r>
          </w:p>
        </w:tc>
      </w:tr>
    </w:tbl>
    <w:p>
      <w:pPr>
        <w:widowControl/>
        <w:spacing w:line="276" w:lineRule="auto" w:before="80" w:after="100"/>
        <w:ind w:firstLine="420"/>
        <w:jc w:val="both"/>
        <w:snapToGrid w:val="0"/>
      </w:pPr>
      <w:r>
        <w:rPr>
          <w:rFonts w:ascii="Arial" w:hAnsi="Arial" w:eastAsia="Arial" w:cs="Times New Roman"/>
          <w:color w:val="000000"/>
          <w:sz w:val="22"/>
          <w:lang w:val="en-US"/>
        </w:rPr>
        <w:t>With Lag 2, the validation residual ACF and PACF at lag 2 fall to about 0.004. Ljung-Box p-values at lags 5 and 10 rise from 0.0023 and 0.0087 to 0.2463 and 0.3207. Neither test rejects the null of no residual autocorrelation at the 5% level. This suggests weaker linear dependence over the tested lag ranges, but does not establish independence or improved forecast accuracy.</w:t>
      </w:r>
    </w:p>
    <w:p>
      <w:pPr>
        <w:keepNext/>
        <w:widowControl/>
        <w:spacing w:before="60" w:after="40"/>
        <w:jc w:val="center"/>
      </w:pPr>
      <w:r>
        <w:rPr>
          <w:rFonts w:ascii="Arial" w:hAnsi="Arial" w:eastAsia="Arial" w:cs="Times New Roman"/>
          <w:color w:val="000000"/>
          <w:lang w:val="en-US"/>
        </w:rPr>
        <w:drawing>
          <wp:inline xmlns:a="http://schemas.openxmlformats.org/drawingml/2006/main" xmlns:pic="http://schemas.openxmlformats.org/drawingml/2006/picture">
            <wp:extent cx="5040000" cy="3376414"/>
            <wp:docPr id="2" name="Picture 2" descr="HAR-RV 加 Lag2 模型验证集残差、残差正态Q-Q图、残差ACF和平方残差ACF"/>
            <wp:cNvGraphicFramePr>
              <a:graphicFrameLocks noChangeAspect="1"/>
            </wp:cNvGraphicFramePr>
            <a:graphic>
              <a:graphicData uri="http://schemas.openxmlformats.org/drawingml/2006/picture">
                <pic:pic>
                  <pic:nvPicPr>
                    <pic:cNvPr id="0" name="har_lag2_residual_diagnostics_cropped.png"/>
                    <pic:cNvPicPr/>
                  </pic:nvPicPr>
                  <pic:blipFill>
                    <a:blip r:embed="rId9"/>
                    <a:stretch>
                      <a:fillRect/>
                    </a:stretch>
                  </pic:blipFill>
                  <pic:spPr>
                    <a:xfrm>
                      <a:off x="0" y="0"/>
                      <a:ext cx="5040000" cy="3376414"/>
                    </a:xfrm>
                    <a:prstGeom prst="rect"/>
                  </pic:spPr>
                </pic:pic>
              </a:graphicData>
            </a:graphic>
          </wp:inline>
        </w:drawing>
      </w:r>
    </w:p>
    <w:p>
      <w:pPr>
        <w:widowControl/>
        <w:spacing w:before="80" w:after="100" w:line="276" w:lineRule="auto"/>
        <w:ind w:firstLine="0"/>
        <w:jc w:val="center"/>
      </w:pPr>
      <w:r>
        <w:rPr>
          <w:rFonts w:ascii="Arial" w:hAnsi="Arial" w:eastAsia="Arial" w:cs="Times New Roman"/>
          <w:color w:val="000000"/>
          <w:sz w:val="20"/>
          <w:lang w:val="en-US"/>
        </w:rPr>
        <w:t>Figure 2 HAR-RV plus Lag 2 Validation Residual Diagnostics</w:t>
      </w:r>
    </w:p>
    <w:p>
      <w:pPr>
        <w:keepNext/>
        <w:widowControl/>
        <w:spacing w:before="60" w:after="40"/>
        <w:jc w:val="center"/>
      </w:pPr>
      <w:r>
        <w:rPr>
          <w:rFonts w:ascii="Arial" w:hAnsi="Arial" w:eastAsia="Arial" w:cs="Times New Roman"/>
          <w:color w:val="000000"/>
          <w:lang w:val="en-US"/>
        </w:rPr>
        <w:drawing>
          <wp:inline xmlns:a="http://schemas.openxmlformats.org/drawingml/2006/main" xmlns:pic="http://schemas.openxmlformats.org/drawingml/2006/picture">
            <wp:extent cx="4968000" cy="1944732"/>
            <wp:docPr id="3" name="Picture 3" descr="基础 HAR-RV 与 HAR-RV 加 Lag2 模型在多个最大滞后阶数下的 Ljung-Box p 值比较"/>
            <wp:cNvGraphicFramePr>
              <a:graphicFrameLocks noChangeAspect="1"/>
            </wp:cNvGraphicFramePr>
            <a:graphic>
              <a:graphicData uri="http://schemas.openxmlformats.org/drawingml/2006/picture">
                <pic:pic>
                  <pic:nvPicPr>
                    <pic:cNvPr id="0" name="ljung_box_comparison_cropped.png"/>
                    <pic:cNvPicPr/>
                  </pic:nvPicPr>
                  <pic:blipFill>
                    <a:blip r:embed="rId10"/>
                    <a:stretch>
                      <a:fillRect/>
                    </a:stretch>
                  </pic:blipFill>
                  <pic:spPr>
                    <a:xfrm>
                      <a:off x="0" y="0"/>
                      <a:ext cx="4968000" cy="1944732"/>
                    </a:xfrm>
                    <a:prstGeom prst="rect"/>
                  </pic:spPr>
                </pic:pic>
              </a:graphicData>
            </a:graphic>
          </wp:inline>
        </w:drawing>
      </w:r>
    </w:p>
    <w:p>
      <w:pPr>
        <w:widowControl/>
        <w:spacing w:before="80" w:after="100" w:line="276" w:lineRule="auto"/>
        <w:ind w:firstLine="0"/>
        <w:jc w:val="center"/>
      </w:pPr>
      <w:r>
        <w:rPr>
          <w:rFonts w:ascii="Arial" w:hAnsi="Arial" w:eastAsia="Arial" w:cs="Times New Roman"/>
          <w:color w:val="000000"/>
          <w:sz w:val="20"/>
          <w:lang w:val="en-US"/>
        </w:rPr>
        <w:t>Figure 3 Validation Ljung-Box Comparison Before and After Lag 2</w:t>
      </w:r>
    </w:p>
    <w:p>
      <w:pPr>
        <w:pStyle w:val="Heading1"/>
        <w:keepNext/>
        <w:widowControl/>
        <w:spacing w:before="200" w:after="100"/>
      </w:pPr>
      <w:r>
        <w:rPr>
          <w:rFonts w:ascii="Arial" w:hAnsi="Arial" w:eastAsia="Arial"/>
          <w:b/>
          <w:color w:val="000000"/>
          <w:sz w:val="30"/>
          <w:u w:val="none"/>
          <w:lang w:val="en-US"/>
        </w:rPr>
        <w:t>5 Out-of-Sample Performance and Final Model</w:t>
      </w:r>
    </w:p>
    <w:p>
      <w:pPr>
        <w:widowControl/>
        <w:spacing w:line="276" w:lineRule="auto" w:before="0" w:after="100"/>
        <w:ind w:firstLine="420"/>
        <w:jc w:val="both"/>
        <w:snapToGrid w:val="0"/>
      </w:pPr>
      <w:r>
        <w:rPr>
          <w:rFonts w:ascii="Arial" w:hAnsi="Arial" w:eastAsia="Arial"/>
          <w:color w:val="000000"/>
          <w:sz w:val="21"/>
          <w:lang w:val="en-US"/>
        </w:rPr>
        <w:t>Across the five time-series validation folds, mean MSE falls from 0.350979 for standard HAR-RV to 0.345829 with Lag 2, a reduction of about 1.47%. MSE falls in every fold. In the separate validation-set ablation, adding Lag 2 while retaining Day, Week, and Month as predictors lowers MSE from 0.477745 to 0.466884, or about 2.27%. Both comparisons support a small gain from Lag 2. Table 5 reports test errors and percentage reductions relative to persistence.</w:t>
      </w:r>
    </w:p>
    <w:p>
      <w:pPr>
        <w:keepNext/>
        <w:widowControl/>
        <w:spacing w:before="120" w:after="100" w:line="276" w:lineRule="auto"/>
        <w:jc w:val="center"/>
      </w:pPr>
      <w:r>
        <w:rPr>
          <w:rFonts w:ascii="Arial" w:hAnsi="Arial" w:eastAsia="Arial"/>
          <w:b/>
          <w:color w:val="000000"/>
          <w:sz w:val="19"/>
          <w:lang w:val="en-US"/>
        </w:rPr>
        <w:t>Table 5 Independent Test Results</w:t>
      </w:r>
    </w:p>
    <w:tbl>
      <w:tblPr>
        <w:tblW w:type="auto" w:w="0"/>
        <w:tblLayout w:type="fixed"/>
        <w:tblLook w:firstColumn="1" w:firstRow="1" w:lastColumn="0" w:lastRow="0" w:noHBand="0" w:noVBand="1" w:val="04A0"/>
        <w:jc w:val="center"/>
        <w:tblBorders>
          <w:top w:val="single" w:sz="6" w:color="D9D9D9"/>
          <w:left w:val="single" w:sz="6" w:color="D9D9D9"/>
          <w:bottom w:val="single" w:sz="6" w:color="D9D9D9"/>
          <w:right w:val="single" w:sz="6" w:color="D9D9D9"/>
          <w:insideH w:val="single" w:sz="6" w:color="D9D9D9"/>
          <w:insideV w:val="single" w:sz="6" w:color="D9D9D9"/>
        </w:tblBorders>
      </w:tblPr>
      <w:tblGrid>
        <w:gridCol w:w="1860"/>
        <w:gridCol w:w="1860"/>
        <w:gridCol w:w="1860"/>
        <w:gridCol w:w="1860"/>
        <w:gridCol w:w="1860"/>
      </w:tblGrid>
      <w:tr>
        <w:trPr>
          <w:cantSplit/>
          <w:tblHeader/>
          <w:tblHeader/>
          <w:tblHeader/>
        </w:trPr>
        <w:tc>
          <w:tcPr>
            <w:tcW w:type="dxa" w:w="1871"/>
            <w:vAlign w:val="center"/>
            <w:tcMar>
              <w:top w:w="45" w:type="dxa"/>
              <w:start w:w="120" w:type="dxa"/>
              <w:bottom w:w="45"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Model</w:t>
            </w:r>
          </w:p>
        </w:tc>
        <w:tc>
          <w:tcPr>
            <w:tcW w:type="dxa" w:w="1247"/>
            <w:vAlign w:val="center"/>
            <w:tcMar>
              <w:top w:w="45" w:type="dxa"/>
              <w:start w:w="120" w:type="dxa"/>
              <w:bottom w:w="45"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MSE</w:t>
            </w:r>
          </w:p>
        </w:tc>
        <w:tc>
          <w:tcPr>
            <w:tcW w:type="dxa" w:w="1247"/>
            <w:vAlign w:val="center"/>
            <w:tcMar>
              <w:top w:w="45" w:type="dxa"/>
              <w:start w:w="120" w:type="dxa"/>
              <w:bottom w:w="45"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MAE</w:t>
            </w:r>
          </w:p>
        </w:tc>
        <w:tc>
          <w:tcPr>
            <w:tcW w:type="dxa" w:w="2268"/>
            <w:vAlign w:val="center"/>
            <w:tcMar>
              <w:top w:w="45" w:type="dxa"/>
              <w:start w:w="120" w:type="dxa"/>
              <w:bottom w:w="45"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MSE Reduction</w:t>
            </w:r>
          </w:p>
        </w:tc>
        <w:tc>
          <w:tcPr>
            <w:tcW w:type="dxa" w:w="2268"/>
            <w:vAlign w:val="center"/>
            <w:tcMar>
              <w:top w:w="45" w:type="dxa"/>
              <w:start w:w="120" w:type="dxa"/>
              <w:bottom w:w="45"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MAE Reduction</w:t>
            </w:r>
          </w:p>
        </w:tc>
      </w:tr>
      <w:tr>
        <w:trPr>
          <w:cantSplit/>
        </w:trPr>
        <w:tc>
          <w:tcPr>
            <w:tcW w:type="dxa" w:w="1871"/>
            <w:vAlign w:val="center"/>
            <w:tcMar>
              <w:top w:w="45" w:type="dxa"/>
              <w:start w:w="120" w:type="dxa"/>
              <w:bottom w:w="45"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Persistence</w:t>
            </w:r>
          </w:p>
        </w:tc>
        <w:tc>
          <w:tcPr>
            <w:tcW w:type="dxa" w:w="1247"/>
            <w:vAlign w:val="center"/>
            <w:tcMar>
              <w:top w:w="45" w:type="dxa"/>
              <w:start w:w="120" w:type="dxa"/>
              <w:bottom w:w="45"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0.478135</w:t>
            </w:r>
          </w:p>
        </w:tc>
        <w:tc>
          <w:tcPr>
            <w:tcW w:type="dxa" w:w="1247"/>
            <w:vAlign w:val="center"/>
            <w:tcMar>
              <w:top w:w="45" w:type="dxa"/>
              <w:start w:w="120" w:type="dxa"/>
              <w:bottom w:w="45"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0.551313</w:t>
            </w:r>
          </w:p>
        </w:tc>
        <w:tc>
          <w:tcPr>
            <w:tcW w:type="dxa" w:w="2268"/>
            <w:vAlign w:val="center"/>
            <w:tcMar>
              <w:top w:w="45" w:type="dxa"/>
              <w:start w:w="120" w:type="dxa"/>
              <w:bottom w:w="45"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0.00%</w:t>
            </w:r>
          </w:p>
        </w:tc>
        <w:tc>
          <w:tcPr>
            <w:tcW w:type="dxa" w:w="2268"/>
            <w:vAlign w:val="center"/>
            <w:tcMar>
              <w:top w:w="45" w:type="dxa"/>
              <w:start w:w="120" w:type="dxa"/>
              <w:bottom w:w="45"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0.00%</w:t>
            </w:r>
          </w:p>
        </w:tc>
      </w:tr>
      <w:tr>
        <w:trPr>
          <w:cantSplit/>
        </w:trPr>
        <w:tc>
          <w:tcPr>
            <w:tcW w:type="dxa" w:w="1871"/>
            <w:vAlign w:val="center"/>
            <w:tcMar>
              <w:top w:w="45" w:type="dxa"/>
              <w:start w:w="120" w:type="dxa"/>
              <w:bottom w:w="45"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Standard HAR-RV</w:t>
            </w:r>
          </w:p>
        </w:tc>
        <w:tc>
          <w:tcPr>
            <w:tcW w:type="dxa" w:w="1247"/>
            <w:vAlign w:val="center"/>
            <w:tcMar>
              <w:top w:w="45" w:type="dxa"/>
              <w:start w:w="120" w:type="dxa"/>
              <w:bottom w:w="45"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0.429034</w:t>
            </w:r>
          </w:p>
        </w:tc>
        <w:tc>
          <w:tcPr>
            <w:tcW w:type="dxa" w:w="1247"/>
            <w:vAlign w:val="center"/>
            <w:tcMar>
              <w:top w:w="45" w:type="dxa"/>
              <w:start w:w="120" w:type="dxa"/>
              <w:bottom w:w="45"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0.514996</w:t>
            </w:r>
          </w:p>
        </w:tc>
        <w:tc>
          <w:tcPr>
            <w:tcW w:type="dxa" w:w="2268"/>
            <w:vAlign w:val="center"/>
            <w:tcMar>
              <w:top w:w="45" w:type="dxa"/>
              <w:start w:w="120" w:type="dxa"/>
              <w:bottom w:w="45"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10.27%</w:t>
            </w:r>
          </w:p>
        </w:tc>
        <w:tc>
          <w:tcPr>
            <w:tcW w:type="dxa" w:w="2268"/>
            <w:vAlign w:val="center"/>
            <w:tcMar>
              <w:top w:w="45" w:type="dxa"/>
              <w:start w:w="120" w:type="dxa"/>
              <w:bottom w:w="45"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6.59%</w:t>
            </w:r>
          </w:p>
        </w:tc>
      </w:tr>
      <w:tr>
        <w:trPr>
          <w:cantSplit/>
        </w:trPr>
        <w:tc>
          <w:tcPr>
            <w:tcW w:type="dxa" w:w="1871"/>
            <w:vAlign w:val="center"/>
            <w:tcMar>
              <w:top w:w="45" w:type="dxa"/>
              <w:start w:w="120" w:type="dxa"/>
              <w:bottom w:w="45"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HAR-RV + Lag 2</w:t>
            </w:r>
          </w:p>
        </w:tc>
        <w:tc>
          <w:tcPr>
            <w:tcW w:type="dxa" w:w="1247"/>
            <w:vAlign w:val="center"/>
            <w:tcMar>
              <w:top w:w="45" w:type="dxa"/>
              <w:start w:w="120" w:type="dxa"/>
              <w:bottom w:w="45"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0.422655</w:t>
            </w:r>
          </w:p>
        </w:tc>
        <w:tc>
          <w:tcPr>
            <w:tcW w:type="dxa" w:w="1247"/>
            <w:vAlign w:val="center"/>
            <w:tcMar>
              <w:top w:w="45" w:type="dxa"/>
              <w:start w:w="120" w:type="dxa"/>
              <w:bottom w:w="45"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0.511852</w:t>
            </w:r>
          </w:p>
        </w:tc>
        <w:tc>
          <w:tcPr>
            <w:tcW w:type="dxa" w:w="2268"/>
            <w:vAlign w:val="center"/>
            <w:tcMar>
              <w:top w:w="45" w:type="dxa"/>
              <w:start w:w="120" w:type="dxa"/>
              <w:bottom w:w="45"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11.60%</w:t>
            </w:r>
          </w:p>
        </w:tc>
        <w:tc>
          <w:tcPr>
            <w:tcW w:type="dxa" w:w="2268"/>
            <w:vAlign w:val="center"/>
            <w:tcMar>
              <w:top w:w="45" w:type="dxa"/>
              <w:start w:w="120" w:type="dxa"/>
              <w:bottom w:w="45"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7.16%</w:t>
            </w:r>
          </w:p>
        </w:tc>
      </w:tr>
    </w:tbl>
    <w:p>
      <w:pPr>
        <w:keepLines/>
        <w:widowControl/>
        <w:spacing w:line="276" w:lineRule="auto" w:before="80" w:after="100"/>
        <w:ind w:firstLine="420"/>
        <w:jc w:val="both"/>
        <w:snapToGrid w:val="0"/>
      </w:pPr>
      <w:r>
        <w:rPr>
          <w:rFonts w:ascii="Arial" w:hAnsi="Arial" w:eastAsia="Arial"/>
          <w:color w:val="000000"/>
          <w:sz w:val="21"/>
          <w:lang w:val="en-US"/>
        </w:rPr>
        <w:t>The final model uses Day + Lag 2 + Week + Month. On the independent test set, its MSE and MAE are 1.49% and 0.61% lower than standard HAR-RV. These reductions agree in direction with cross-validation and the validation-set ablation. They support retaining Lag 2 in this sample, but do not establish that the improvement is statistically significant.</w:t>
      </w:r>
    </w:p>
    <w:p>
      <w:pPr>
        <w:pStyle w:val="Heading1"/>
        <w:keepNext/>
        <w:widowControl/>
        <w:spacing w:before="200" w:after="100"/>
      </w:pPr>
      <w:r>
        <w:rPr>
          <w:rFonts w:ascii="Arial" w:hAnsi="Arial" w:eastAsia="Arial"/>
          <w:b/>
          <w:color w:val="000000"/>
          <w:sz w:val="30"/>
          <w:u w:val="none"/>
          <w:lang w:val="en-US"/>
        </w:rPr>
        <w:t>6 Saved Model and Forecast Output</w:t>
      </w:r>
    </w:p>
    <w:p>
      <w:pPr>
        <w:widowControl/>
        <w:spacing w:after="100" w:line="276" w:lineRule="auto"/>
      </w:pPr>
      <w:r>
        <w:rPr>
          <w:rFonts w:ascii="Arial" w:hAnsi="Arial" w:eastAsia="Arial"/>
          <w:color w:val="000000"/>
          <w:sz w:val="21"/>
          <w:lang w:val="en-US"/>
        </w:rPr>
        <w:t>After model selection, the final model is refitted on 3,693 combined training and validation observations. The model file is saved with metadata containing feature order, coefficients, training dates, software version, and test metrics. Forecasts load this saved version without retraining, so results can be checked against the same fitted model. Table 6 lists the files and a forecast made at the end of the historical sample. Dates are recorded in UTC.</w:t>
      </w:r>
    </w:p>
    <w:p>
      <w:pPr>
        <w:keepNext/>
        <w:widowControl/>
        <w:spacing w:before="120" w:after="100" w:line="276" w:lineRule="auto"/>
        <w:jc w:val="center"/>
      </w:pPr>
      <w:r>
        <w:rPr>
          <w:rFonts w:ascii="Arial" w:hAnsi="Arial" w:eastAsia="Arial"/>
          <w:b/>
          <w:color w:val="000000"/>
          <w:sz w:val="19"/>
          <w:lang w:val="en-US"/>
        </w:rPr>
        <w:t>Table 6 Saved Files and Example Historical Forecast</w:t>
      </w:r>
    </w:p>
    <w:tbl>
      <w:tblPr>
        <w:tblW w:type="auto" w:w="0"/>
        <w:tblLayout w:type="fixed"/>
        <w:tblLook w:firstColumn="1" w:firstRow="1" w:lastColumn="0" w:lastRow="0" w:noHBand="0" w:noVBand="1" w:val="04A0"/>
        <w:jc w:val="center"/>
        <w:tblBorders>
          <w:top w:val="single" w:sz="6" w:color="D9D9D9"/>
          <w:left w:val="single" w:sz="6" w:color="D9D9D9"/>
          <w:bottom w:val="single" w:sz="6" w:color="D9D9D9"/>
          <w:right w:val="single" w:sz="6" w:color="D9D9D9"/>
          <w:insideH w:val="single" w:sz="6" w:color="D9D9D9"/>
          <w:insideV w:val="single" w:sz="6" w:color="D9D9D9"/>
        </w:tblBorders>
      </w:tblPr>
      <w:tblGrid>
        <w:gridCol w:w="3099"/>
        <w:gridCol w:w="3099"/>
        <w:gridCol w:w="3099"/>
      </w:tblGrid>
      <w:tr>
        <w:trPr>
          <w:cantSplit/>
          <w:tblHeader/>
          <w:tblHeader/>
          <w:tblHeader/>
        </w:trPr>
        <w:tc>
          <w:tcPr>
            <w:tcW w:type="dxa" w:w="1814"/>
            <w:vAlign w:val="center"/>
            <w:tcMar>
              <w:top w:w="70" w:type="dxa"/>
              <w:start w:w="120" w:type="dxa"/>
              <w:bottom w:w="70"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Output</w:t>
            </w:r>
          </w:p>
        </w:tc>
        <w:tc>
          <w:tcPr>
            <w:tcW w:type="dxa" w:w="2494"/>
            <w:vAlign w:val="center"/>
            <w:tcMar>
              <w:top w:w="70" w:type="dxa"/>
              <w:start w:w="120" w:type="dxa"/>
              <w:bottom w:w="70"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Value</w:t>
            </w:r>
          </w:p>
        </w:tc>
        <w:tc>
          <w:tcPr>
            <w:tcW w:type="dxa" w:w="4592"/>
            <w:vAlign w:val="center"/>
            <w:tcMar>
              <w:top w:w="70" w:type="dxa"/>
              <w:start w:w="120" w:type="dxa"/>
              <w:bottom w:w="70" w:type="dxa"/>
              <w:end w:w="120" w:type="dxa"/>
            </w:tcMar>
            <w:shd w:fill="1F4E78"/>
            <w:tcBorders>
              <w:top w:val="single" w:sz="4" w:color="D9D9D9"/>
              <w:left w:val="single" w:sz="4" w:color="D9D9D9"/>
              <w:bottom w:val="single" w:sz="4" w:color="D9D9D9"/>
              <w:right w:val="single" w:sz="4" w:color="D9D9D9"/>
            </w:tcBorders>
          </w:tcPr>
          <w:p>
            <w:pPr>
              <w:jc w:val="center"/>
            </w:pPr>
            <w:r>
              <w:rPr>
                <w:rFonts w:ascii="Arial" w:hAnsi="Arial" w:eastAsia="Arial"/>
                <w:b/>
                <w:color w:val="FFFFFF"/>
                <w:sz w:val="18"/>
                <w:lang w:val="en-US"/>
              </w:rPr>
              <w:t>Description</w:t>
            </w:r>
          </w:p>
        </w:tc>
      </w:tr>
      <w:tr>
        <w:trPr>
          <w:cantSplit/>
        </w:trPr>
        <w:tc>
          <w:tcPr>
            <w:tcW w:type="dxa" w:w="1814"/>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Model file</w:t>
            </w:r>
          </w:p>
        </w:tc>
        <w:tc>
          <w:tcPr>
            <w:tcW w:type="dxa" w:w="2494"/>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har_lag2_model.joblib</w:t>
            </w:r>
          </w:p>
        </w:tc>
        <w:tc>
          <w:tcPr>
            <w:tcW w:type="dxa" w:w="4592"/>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Loadable linear regression model</w:t>
            </w:r>
          </w:p>
        </w:tc>
      </w:tr>
      <w:tr>
        <w:trPr>
          <w:cantSplit/>
        </w:trPr>
        <w:tc>
          <w:tcPr>
            <w:tcW w:type="dxa" w:w="1814"/>
            <w:vAlign w:val="center"/>
            <w:tcMar>
              <w:top w:w="70" w:type="dxa"/>
              <w:start w:w="120" w:type="dxa"/>
              <w:bottom w:w="7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Model metadata</w:t>
            </w:r>
          </w:p>
        </w:tc>
        <w:tc>
          <w:tcPr>
            <w:tcW w:type="dxa" w:w="2494"/>
            <w:vAlign w:val="center"/>
            <w:tcMar>
              <w:top w:w="70" w:type="dxa"/>
              <w:start w:w="120" w:type="dxa"/>
              <w:bottom w:w="7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har_lag2_model_info.json</w:t>
            </w:r>
          </w:p>
        </w:tc>
        <w:tc>
          <w:tcPr>
            <w:tcW w:type="dxa" w:w="4592"/>
            <w:vAlign w:val="center"/>
            <w:tcMar>
              <w:top w:w="70" w:type="dxa"/>
              <w:start w:w="120" w:type="dxa"/>
              <w:bottom w:w="7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Features, coefficients, dates, and test metrics</w:t>
            </w:r>
          </w:p>
        </w:tc>
      </w:tr>
      <w:tr>
        <w:trPr>
          <w:cantSplit/>
        </w:trPr>
        <w:tc>
          <w:tcPr>
            <w:tcW w:type="dxa" w:w="1814"/>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Forecast target</w:t>
            </w:r>
          </w:p>
        </w:tc>
        <w:tc>
          <w:tcPr>
            <w:tcW w:type="dxa" w:w="2494"/>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Next-day log(RV)</w:t>
            </w:r>
          </w:p>
        </w:tc>
        <w:tc>
          <w:tcPr>
            <w:tcW w:type="dxa" w:w="4592"/>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Exponentiated without bias correction</w:t>
            </w:r>
          </w:p>
        </w:tc>
      </w:tr>
      <w:tr>
        <w:trPr>
          <w:cantSplit/>
        </w:trPr>
        <w:tc>
          <w:tcPr>
            <w:tcW w:type="dxa" w:w="1814"/>
            <w:vAlign w:val="center"/>
            <w:tcMar>
              <w:top w:w="70" w:type="dxa"/>
              <w:start w:w="120" w:type="dxa"/>
              <w:bottom w:w="7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Example feature date</w:t>
            </w:r>
          </w:p>
        </w:tc>
        <w:tc>
          <w:tcPr>
            <w:tcW w:type="dxa" w:w="2494"/>
            <w:vAlign w:val="center"/>
            <w:tcMar>
              <w:top w:w="70" w:type="dxa"/>
              <w:start w:w="120" w:type="dxa"/>
              <w:bottom w:w="7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2018-06-26</w:t>
            </w:r>
          </w:p>
        </w:tc>
        <w:tc>
          <w:tcPr>
            <w:tcW w:type="dxa" w:w="4592"/>
            <w:vAlign w:val="center"/>
            <w:tcMar>
              <w:top w:w="70" w:type="dxa"/>
              <w:start w:w="120" w:type="dxa"/>
              <w:bottom w:w="7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Historical feature date recorded in UTC</w:t>
            </w:r>
          </w:p>
        </w:tc>
      </w:tr>
      <w:tr>
        <w:trPr>
          <w:cantSplit/>
        </w:trPr>
        <w:tc>
          <w:tcPr>
            <w:tcW w:type="dxa" w:w="1814"/>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Predicted log(RV)</w:t>
            </w:r>
          </w:p>
        </w:tc>
        <w:tc>
          <w:tcPr>
            <w:tcW w:type="dxa" w:w="2494"/>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-10.076945</w:t>
            </w:r>
          </w:p>
        </w:tc>
        <w:tc>
          <w:tcPr>
            <w:tcW w:type="dxa" w:w="4592"/>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Direct output of the final model</w:t>
            </w:r>
          </w:p>
        </w:tc>
      </w:tr>
      <w:tr>
        <w:trPr>
          <w:cantSplit/>
        </w:trPr>
        <w:tc>
          <w:tcPr>
            <w:tcW w:type="dxa" w:w="1814"/>
            <w:vAlign w:val="center"/>
            <w:tcMar>
              <w:top w:w="70" w:type="dxa"/>
              <w:start w:w="120" w:type="dxa"/>
              <w:bottom w:w="7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Predicted RV</w:t>
            </w:r>
          </w:p>
        </w:tc>
        <w:tc>
          <w:tcPr>
            <w:tcW w:type="dxa" w:w="2494"/>
            <w:vAlign w:val="center"/>
            <w:tcMar>
              <w:top w:w="70" w:type="dxa"/>
              <w:start w:w="120" w:type="dxa"/>
              <w:bottom w:w="7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4.203763 x 10^-5</w:t>
            </w:r>
          </w:p>
        </w:tc>
        <w:tc>
          <w:tcPr>
            <w:tcW w:type="dxa" w:w="4592"/>
            <w:vAlign w:val="center"/>
            <w:tcMar>
              <w:top w:w="70" w:type="dxa"/>
              <w:start w:w="120" w:type="dxa"/>
              <w:bottom w:w="70" w:type="dxa"/>
              <w:end w:w="120" w:type="dxa"/>
            </w:tcMar>
            <w:shd w:fill="EAF2F8"/>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exp(predicted log(RV))</w:t>
            </w:r>
          </w:p>
        </w:tc>
      </w:tr>
      <w:tr>
        <w:trPr>
          <w:cantSplit/>
        </w:trPr>
        <w:tc>
          <w:tcPr>
            <w:tcW w:type="dxa" w:w="1814"/>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Predicted daily volatility</w:t>
            </w:r>
          </w:p>
        </w:tc>
        <w:tc>
          <w:tcPr>
            <w:tcW w:type="dxa" w:w="2494"/>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0.6484%</w:t>
            </w:r>
          </w:p>
        </w:tc>
        <w:tc>
          <w:tcPr>
            <w:tcW w:type="dxa" w:w="4592"/>
            <w:vAlign w:val="center"/>
            <w:tcMar>
              <w:top w:w="70" w:type="dxa"/>
              <w:start w:w="120" w:type="dxa"/>
              <w:bottom w:w="70" w:type="dxa"/>
              <w:end w:w="120" w:type="dxa"/>
            </w:tcMar>
            <w:shd w:fill="FFFFFF"/>
            <w:tcBorders>
              <w:top w:val="single" w:sz="4" w:color="D9D9D9"/>
              <w:left w:val="single" w:sz="4" w:color="D9D9D9"/>
              <w:bottom w:val="single" w:sz="4" w:color="D9D9D9"/>
              <w:right w:val="single" w:sz="4" w:color="D9D9D9"/>
            </w:tcBorders>
          </w:tcPr>
          <w:p>
            <w:r>
              <w:rPr>
                <w:rFonts w:ascii="Arial" w:hAnsi="Arial" w:eastAsia="Arial"/>
                <w:b w:val="0"/>
                <w:color w:val="000000"/>
                <w:sz w:val="19"/>
                <w:lang w:val="en-US"/>
              </w:rPr>
              <w:t>sqrt(predicted RV), not annualized</w:t>
            </w:r>
          </w:p>
        </w:tc>
      </w:tr>
    </w:tbl>
    <w:p>
      <w:pPr>
        <w:pStyle w:val="Heading1"/>
        <w:keepNext/>
        <w:widowControl/>
        <w:spacing w:before="80" w:after="100"/>
      </w:pPr>
      <w:r>
        <w:rPr>
          <w:rFonts w:ascii="Arial" w:hAnsi="Arial" w:eastAsia="Arial"/>
          <w:b/>
          <w:color w:val="000000"/>
          <w:sz w:val="30"/>
          <w:u w:val="none"/>
          <w:lang w:val="en-US"/>
        </w:rPr>
        <w:t>7 Conclusion and Limitations</w:t>
      </w:r>
    </w:p>
    <w:p>
      <w:pPr>
        <w:widowControl/>
        <w:spacing w:after="100" w:line="276" w:lineRule="auto"/>
      </w:pPr>
      <w:r>
        <w:rPr>
          <w:rFonts w:ascii="Arial" w:hAnsi="Arial" w:eastAsia="Arial"/>
          <w:color w:val="000000"/>
          <w:sz w:val="21"/>
          <w:lang w:val="en-US"/>
        </w:rPr>
        <w:t>HAR-RV combines daily, weekly, and monthly variance information. Adding Lag 2 lowers error in every validation fold and on the independent test set. The gain is small, and its performance in other market periods remains to be tested.</w:t>
      </w:r>
    </w:p>
    <w:p>
      <w:pPr>
        <w:widowControl/>
        <w:spacing w:after="100" w:line="276" w:lineRule="auto"/>
      </w:pPr>
      <w:r>
        <w:rPr>
          <w:rFonts w:ascii="Arial" w:hAnsi="Arial" w:eastAsia="Arial"/>
          <w:color w:val="000000"/>
          <w:sz w:val="21"/>
          <w:lang w:val="en-US"/>
        </w:rPr>
        <w:t>In the test period, Ljung-Box tests remain significant at several lags, indicating residual linear dependence. Residuals are actual minus predicted values; their mean of about -0.082 means the model overpredicts log realized variance on average. Tests of squared residuals also differ across lags, so dependence in conditional variance may remain. Further comparisons could include HAR variants with leverage effects, rolling estimation, regularized regression, or tree models. These comparisons should preserve chronological validation and use evaluation data that have not informed model selection.</w:t>
      </w:r>
    </w:p>
    <w:p>
      <w:pPr>
        <w:pStyle w:val="Heading2"/>
        <w:keepNext/>
        <w:widowControl/>
        <w:spacing w:before="200" w:after="100"/>
      </w:pPr>
      <w:r>
        <w:rPr>
          <w:rFonts w:ascii="Arial" w:hAnsi="Arial" w:eastAsia="Arial"/>
          <w:b/>
          <w:color w:val="000000"/>
          <w:sz w:val="30"/>
          <w:u w:val="none"/>
          <w:lang w:val="en-US"/>
        </w:rPr>
        <w:t>Appendix Reproducing the Analysis</w:t>
      </w:r>
    </w:p>
    <w:p>
      <w:pPr>
        <w:keepLines/>
        <w:widowControl/>
        <w:spacing w:line="252" w:lineRule="auto" w:after="100"/>
      </w:pPr>
      <w:r>
        <w:rPr>
          <w:rFonts w:ascii="Arial" w:hAnsi="Arial" w:eastAsia="Arial"/>
          <w:sz w:val="20"/>
          <w:lang w:val="en-US"/>
        </w:rPr>
        <w:t>From the project root, run python run_pipeline.py --stage all to execute the workflow. Run python -m unittest discover -s tests -v for the seven automated checks. The example prediction refers to the end of the historical sample and is not a live market forecast.</w:t>
      </w:r>
    </w:p>
    <w:sectPr w:rsidR="00EE0237" w:rsidRPr="00EE0237">
      <w:headerReference w:type="default" r:id="rId11"/>
      <w:footerReference w:type="default" r:id="rId12"/>
      <w:pgSz w:w="11906" w:h="16838"/>
      <w:pgMar w:top="1134" w:right="1304" w:bottom="1134" w:left="130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1E0DC5"/>
    <w:multiLevelType w:val="hybridMultilevel"/>
    <w:tmpl w:val="1786D9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2165445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237"/>
    <w:rsid w:val="00233146"/>
    <w:rsid w:val="003E351D"/>
    <w:rsid w:val="004B749D"/>
    <w:rsid w:val="00620B01"/>
    <w:rsid w:val="00BA37BF"/>
    <w:rsid w:val="00C17A38"/>
    <w:rsid w:val="00EE0237"/>
    <w:rsid w:val="00F940F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B55264"/>
  <w15:chartTrackingRefBased/>
  <w15:docId w15:val="{1B2810A6-FDE3-0A49-8803-742B99E76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07" w:lineRule="auto" w:after="80"/>
    </w:pPr>
    <w:rPr>
      <w:rFonts w:ascii="Arial" w:hAnsi="Arial" w:eastAsia="Arial"/>
      <w:color w:val="000000"/>
      <w:sz w:val="22"/>
    </w:rPr>
  </w:style>
  <w:style w:type="paragraph" w:styleId="Heading1">
    <w:name w:val="heading 1"/>
    <w:basedOn w:val="Normal"/>
    <w:next w:val="Normal"/>
    <w:link w:val="Heading1Char"/>
    <w:uiPriority w:val="9"/>
    <w:qFormat/>
    <w:rsid w:val="00EE0237"/>
    <w:pPr>
      <w:keepNext/>
      <w:keepLines/>
      <w:spacing w:before="200" w:after="100"/>
      <w:outlineLvl w:val="0"/>
    </w:pPr>
    <w:rPr>
      <w:rFonts w:asciiTheme="majorHAnsi" w:eastAsiaTheme="majorEastAsia" w:hAnsiTheme="majorHAnsi" w:cstheme="majorBidi" w:ascii="Arial" w:hAnsi="Arial" w:eastAsia="Arial"/>
      <w:b/>
      <w:color w:val="000000"/>
      <w:sz w:val="30"/>
      <w:szCs w:val="40"/>
    </w:rPr>
  </w:style>
  <w:style w:type="paragraph" w:styleId="Heading2">
    <w:name w:val="heading 2"/>
    <w:basedOn w:val="Normal"/>
    <w:next w:val="Normal"/>
    <w:link w:val="Heading2Char"/>
    <w:uiPriority w:val="9"/>
    <w:semiHidden/>
    <w:unhideWhenUsed/>
    <w:qFormat/>
    <w:rsid w:val="00EE0237"/>
    <w:pPr>
      <w:keepNext/>
      <w:keepLines/>
      <w:spacing w:before="200" w:after="100"/>
      <w:outlineLvl w:val="1"/>
    </w:pPr>
    <w:rPr>
      <w:rFonts w:asciiTheme="majorHAnsi" w:eastAsiaTheme="majorEastAsia" w:hAnsiTheme="majorHAnsi" w:cstheme="majorBidi" w:ascii="Arial" w:hAnsi="Arial" w:eastAsia="Arial"/>
      <w:b/>
      <w:color w:val="000000"/>
      <w:sz w:val="24"/>
      <w:szCs w:val="32"/>
    </w:rPr>
  </w:style>
  <w:style w:type="paragraph" w:styleId="Heading3">
    <w:name w:val="heading 3"/>
    <w:basedOn w:val="Normal"/>
    <w:next w:val="Normal"/>
    <w:link w:val="Heading3Char"/>
    <w:uiPriority w:val="9"/>
    <w:semiHidden/>
    <w:unhideWhenUsed/>
    <w:qFormat/>
    <w:rsid w:val="00EE0237"/>
    <w:pPr>
      <w:keepNext/>
      <w:keepLines/>
      <w:spacing w:before="160" w:after="80"/>
      <w:outlineLvl w:val="2"/>
    </w:pPr>
    <w:rPr>
      <w:rFonts w:eastAsiaTheme="majorEastAsia" w:cstheme="majorBidi" w:ascii="Arial" w:hAnsi="Arial" w:eastAsia="Arial"/>
      <w:color w:val="0F4761" w:themeColor="accent1" w:themeShade="BF"/>
      <w:sz w:val="28"/>
      <w:szCs w:val="28"/>
    </w:rPr>
  </w:style>
  <w:style w:type="paragraph" w:styleId="Heading4">
    <w:name w:val="heading 4"/>
    <w:basedOn w:val="Normal"/>
    <w:next w:val="Normal"/>
    <w:link w:val="Heading4Char"/>
    <w:uiPriority w:val="9"/>
    <w:semiHidden/>
    <w:unhideWhenUsed/>
    <w:qFormat/>
    <w:rsid w:val="00EE0237"/>
    <w:pPr>
      <w:keepNext/>
      <w:keepLines/>
      <w:spacing w:before="80" w:after="40"/>
      <w:outlineLvl w:val="3"/>
    </w:pPr>
    <w:rPr>
      <w:rFonts w:eastAsiaTheme="majorEastAsia" w:cstheme="majorBidi" w:ascii="Arial" w:hAnsi="Arial" w:eastAsia="Arial"/>
      <w:i/>
      <w:iCs/>
      <w:color w:val="0F4761" w:themeColor="accent1" w:themeShade="BF"/>
    </w:rPr>
  </w:style>
  <w:style w:type="paragraph" w:styleId="Heading5">
    <w:name w:val="heading 5"/>
    <w:basedOn w:val="Normal"/>
    <w:next w:val="Normal"/>
    <w:link w:val="Heading5Char"/>
    <w:uiPriority w:val="9"/>
    <w:semiHidden/>
    <w:unhideWhenUsed/>
    <w:qFormat/>
    <w:rsid w:val="00EE0237"/>
    <w:pPr>
      <w:keepNext/>
      <w:keepLines/>
      <w:spacing w:before="80" w:after="40"/>
      <w:outlineLvl w:val="4"/>
    </w:pPr>
    <w:rPr>
      <w:rFonts w:eastAsiaTheme="majorEastAsia" w:cstheme="majorBidi" w:ascii="Arial" w:hAnsi="Arial" w:eastAsia="Arial"/>
      <w:color w:val="0F4761" w:themeColor="accent1" w:themeShade="BF"/>
    </w:rPr>
  </w:style>
  <w:style w:type="paragraph" w:styleId="Heading6">
    <w:name w:val="heading 6"/>
    <w:basedOn w:val="Normal"/>
    <w:next w:val="Normal"/>
    <w:link w:val="Heading6Char"/>
    <w:uiPriority w:val="9"/>
    <w:semiHidden/>
    <w:unhideWhenUsed/>
    <w:qFormat/>
    <w:rsid w:val="00EE0237"/>
    <w:pPr>
      <w:keepNext/>
      <w:keepLines/>
      <w:spacing w:before="40" w:after="0"/>
      <w:outlineLvl w:val="5"/>
    </w:pPr>
    <w:rPr>
      <w:rFonts w:eastAsiaTheme="majorEastAsia" w:cstheme="majorBidi" w:ascii="Arial" w:hAnsi="Arial" w:eastAsia="Arial"/>
      <w:i/>
      <w:iCs/>
      <w:color w:val="595959" w:themeColor="text1" w:themeTint="A6"/>
    </w:rPr>
  </w:style>
  <w:style w:type="paragraph" w:styleId="Heading7">
    <w:name w:val="heading 7"/>
    <w:basedOn w:val="Normal"/>
    <w:next w:val="Normal"/>
    <w:link w:val="Heading7Char"/>
    <w:uiPriority w:val="9"/>
    <w:semiHidden/>
    <w:unhideWhenUsed/>
    <w:qFormat/>
    <w:rsid w:val="00EE0237"/>
    <w:pPr>
      <w:keepNext/>
      <w:keepLines/>
      <w:spacing w:before="40" w:after="0"/>
      <w:outlineLvl w:val="6"/>
    </w:pPr>
    <w:rPr>
      <w:rFonts w:eastAsiaTheme="majorEastAsia" w:cstheme="majorBidi" w:ascii="Arial" w:hAnsi="Arial" w:eastAsia="Arial"/>
      <w:color w:val="595959" w:themeColor="text1" w:themeTint="A6"/>
    </w:rPr>
  </w:style>
  <w:style w:type="paragraph" w:styleId="Heading8">
    <w:name w:val="heading 8"/>
    <w:basedOn w:val="Normal"/>
    <w:next w:val="Normal"/>
    <w:link w:val="Heading8Char"/>
    <w:uiPriority w:val="9"/>
    <w:semiHidden/>
    <w:unhideWhenUsed/>
    <w:qFormat/>
    <w:rsid w:val="00EE0237"/>
    <w:pPr>
      <w:keepNext/>
      <w:keepLines/>
      <w:spacing w:after="0"/>
      <w:outlineLvl w:val="7"/>
    </w:pPr>
    <w:rPr>
      <w:rFonts w:eastAsiaTheme="majorEastAsia" w:cstheme="majorBidi" w:ascii="Arial" w:hAnsi="Arial" w:eastAsia="Arial"/>
      <w:i/>
      <w:iCs/>
      <w:color w:val="272727" w:themeColor="text1" w:themeTint="D8"/>
    </w:rPr>
  </w:style>
  <w:style w:type="paragraph" w:styleId="Heading9">
    <w:name w:val="heading 9"/>
    <w:basedOn w:val="Normal"/>
    <w:next w:val="Normal"/>
    <w:link w:val="Heading9Char"/>
    <w:uiPriority w:val="9"/>
    <w:semiHidden/>
    <w:unhideWhenUsed/>
    <w:qFormat/>
    <w:rsid w:val="00EE0237"/>
    <w:pPr>
      <w:keepNext/>
      <w:keepLines/>
      <w:spacing w:after="0"/>
      <w:outlineLvl w:val="8"/>
    </w:pPr>
    <w:rPr>
      <w:rFonts w:eastAsiaTheme="majorEastAsia" w:cstheme="majorBidi" w:ascii="Arial" w:hAnsi="Arial" w:eastAsia="Arial"/>
      <w:color w:val="272727" w:themeColor="text1" w:themeTint="D8"/>
    </w:rPr>
  </w:style>
  <w:style w:type="character" w:default="1" w:styleId="DefaultParagraphFont">
    <w:name w:val="Default Paragraph Font"/>
    <w:uiPriority w:val="1"/>
    <w:semiHidden/>
    <w:unhideWhenUsed/>
    <w:rPr>
      <w:rFonts w:ascii="Arial" w:hAnsi="Arial" w:eastAsia="Arial"/>
    </w:rPr>
  </w:style>
  <w:style w:type="table" w:default="1" w:styleId="TableNormal">
    <w:name w:val="Normal Table"/>
    <w:uiPriority w:val="99"/>
    <w:semiHidden/>
    <w:unhideWhenUsed/>
    <w:rPr>
      <w:rFonts w:ascii="Arial" w:hAnsi="Arial" w:eastAsia="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0237"/>
    <w:rPr>
      <w:rFonts w:asciiTheme="majorHAnsi" w:eastAsiaTheme="majorEastAsia" w:hAnsiTheme="majorHAnsi" w:cstheme="majorBidi" w:ascii="Arial" w:hAnsi="Arial" w:eastAsia="Arial"/>
      <w:color w:val="0F4761" w:themeColor="accent1" w:themeShade="BF"/>
      <w:sz w:val="40"/>
      <w:szCs w:val="40"/>
    </w:rPr>
  </w:style>
  <w:style w:type="character" w:customStyle="1" w:styleId="Heading2Char">
    <w:name w:val="Heading 2 Char"/>
    <w:basedOn w:val="DefaultParagraphFont"/>
    <w:link w:val="Heading2"/>
    <w:uiPriority w:val="9"/>
    <w:semiHidden/>
    <w:rsid w:val="00EE0237"/>
    <w:rPr>
      <w:rFonts w:asciiTheme="majorHAnsi" w:eastAsiaTheme="majorEastAsia" w:hAnsiTheme="majorHAnsi" w:cstheme="majorBidi" w:ascii="Arial" w:hAnsi="Arial" w:eastAsia="Arial"/>
      <w:color w:val="0F4761" w:themeColor="accent1" w:themeShade="BF"/>
      <w:sz w:val="32"/>
      <w:szCs w:val="32"/>
    </w:rPr>
  </w:style>
  <w:style w:type="character" w:customStyle="1" w:styleId="Heading3Char">
    <w:name w:val="Heading 3 Char"/>
    <w:basedOn w:val="DefaultParagraphFont"/>
    <w:link w:val="Heading3"/>
    <w:uiPriority w:val="9"/>
    <w:semiHidden/>
    <w:rsid w:val="00EE0237"/>
    <w:rPr>
      <w:rFonts w:eastAsiaTheme="majorEastAsia" w:cstheme="majorBidi" w:ascii="Arial" w:hAnsi="Arial" w:eastAsia="Arial"/>
      <w:color w:val="0F4761" w:themeColor="accent1" w:themeShade="BF"/>
      <w:sz w:val="28"/>
      <w:szCs w:val="28"/>
    </w:rPr>
  </w:style>
  <w:style w:type="character" w:customStyle="1" w:styleId="Heading4Char">
    <w:name w:val="Heading 4 Char"/>
    <w:basedOn w:val="DefaultParagraphFont"/>
    <w:link w:val="Heading4"/>
    <w:uiPriority w:val="9"/>
    <w:semiHidden/>
    <w:rsid w:val="00EE0237"/>
    <w:rPr>
      <w:rFonts w:eastAsiaTheme="majorEastAsia" w:cstheme="majorBidi" w:ascii="Arial" w:hAnsi="Arial" w:eastAsia="Arial"/>
      <w:i/>
      <w:iCs/>
      <w:color w:val="0F4761" w:themeColor="accent1" w:themeShade="BF"/>
    </w:rPr>
  </w:style>
  <w:style w:type="character" w:customStyle="1" w:styleId="Heading5Char">
    <w:name w:val="Heading 5 Char"/>
    <w:basedOn w:val="DefaultParagraphFont"/>
    <w:link w:val="Heading5"/>
    <w:uiPriority w:val="9"/>
    <w:semiHidden/>
    <w:rsid w:val="00EE0237"/>
    <w:rPr>
      <w:rFonts w:eastAsiaTheme="majorEastAsia" w:cstheme="majorBidi" w:ascii="Arial" w:hAnsi="Arial" w:eastAsia="Arial"/>
      <w:color w:val="0F4761" w:themeColor="accent1" w:themeShade="BF"/>
    </w:rPr>
  </w:style>
  <w:style w:type="character" w:customStyle="1" w:styleId="Heading6Char">
    <w:name w:val="Heading 6 Char"/>
    <w:basedOn w:val="DefaultParagraphFont"/>
    <w:link w:val="Heading6"/>
    <w:uiPriority w:val="9"/>
    <w:semiHidden/>
    <w:rsid w:val="00EE0237"/>
    <w:rPr>
      <w:rFonts w:eastAsiaTheme="majorEastAsia" w:cstheme="majorBidi" w:ascii="Arial" w:hAnsi="Arial" w:eastAsia="Arial"/>
      <w:i/>
      <w:iCs/>
      <w:color w:val="595959" w:themeColor="text1" w:themeTint="A6"/>
    </w:rPr>
  </w:style>
  <w:style w:type="character" w:customStyle="1" w:styleId="Heading7Char">
    <w:name w:val="Heading 7 Char"/>
    <w:basedOn w:val="DefaultParagraphFont"/>
    <w:link w:val="Heading7"/>
    <w:uiPriority w:val="9"/>
    <w:semiHidden/>
    <w:rsid w:val="00EE0237"/>
    <w:rPr>
      <w:rFonts w:eastAsiaTheme="majorEastAsia" w:cstheme="majorBidi" w:ascii="Arial" w:hAnsi="Arial" w:eastAsia="Arial"/>
      <w:color w:val="595959" w:themeColor="text1" w:themeTint="A6"/>
    </w:rPr>
  </w:style>
  <w:style w:type="character" w:customStyle="1" w:styleId="Heading8Char">
    <w:name w:val="Heading 8 Char"/>
    <w:basedOn w:val="DefaultParagraphFont"/>
    <w:link w:val="Heading8"/>
    <w:uiPriority w:val="9"/>
    <w:semiHidden/>
    <w:rsid w:val="00EE0237"/>
    <w:rPr>
      <w:rFonts w:eastAsiaTheme="majorEastAsia" w:cstheme="majorBidi" w:ascii="Arial" w:hAnsi="Arial" w:eastAsia="Arial"/>
      <w:i/>
      <w:iCs/>
      <w:color w:val="272727" w:themeColor="text1" w:themeTint="D8"/>
    </w:rPr>
  </w:style>
  <w:style w:type="character" w:customStyle="1" w:styleId="Heading9Char">
    <w:name w:val="Heading 9 Char"/>
    <w:basedOn w:val="DefaultParagraphFont"/>
    <w:link w:val="Heading9"/>
    <w:uiPriority w:val="9"/>
    <w:semiHidden/>
    <w:rsid w:val="00EE0237"/>
    <w:rPr>
      <w:rFonts w:eastAsiaTheme="majorEastAsia" w:cstheme="majorBidi" w:ascii="Arial" w:hAnsi="Arial" w:eastAsia="Arial"/>
      <w:color w:val="272727" w:themeColor="text1" w:themeTint="D8"/>
    </w:rPr>
  </w:style>
  <w:style w:type="paragraph" w:styleId="Title">
    <w:name w:val="Title"/>
    <w:basedOn w:val="Normal"/>
    <w:next w:val="Normal"/>
    <w:link w:val="TitleChar"/>
    <w:uiPriority w:val="10"/>
    <w:qFormat/>
    <w:rsid w:val="00EE0237"/>
    <w:pPr>
      <w:spacing w:after="160" w:line="240" w:lineRule="auto"/>
      <w:contextualSpacing/>
    </w:pPr>
    <w:rPr>
      <w:rFonts w:asciiTheme="majorHAnsi" w:eastAsiaTheme="majorEastAsia" w:hAnsiTheme="majorHAnsi" w:cstheme="majorBidi" w:ascii="Arial" w:hAnsi="Arial" w:eastAsia="Arial"/>
      <w:b/>
      <w:color w:val="000000"/>
      <w:spacing w:val="-10"/>
      <w:kern w:val="28"/>
      <w:sz w:val="38"/>
      <w:szCs w:val="56"/>
    </w:rPr>
  </w:style>
  <w:style w:type="character" w:customStyle="1" w:styleId="TitleChar">
    <w:name w:val="Title Char"/>
    <w:basedOn w:val="DefaultParagraphFont"/>
    <w:link w:val="Title"/>
    <w:uiPriority w:val="10"/>
    <w:rsid w:val="00EE0237"/>
    <w:rPr>
      <w:rFonts w:asciiTheme="majorHAnsi" w:eastAsiaTheme="majorEastAsia" w:hAnsiTheme="majorHAnsi" w:cstheme="majorBidi" w:ascii="Arial" w:hAnsi="Arial" w:eastAsia="Arial"/>
      <w:spacing w:val="-10"/>
      <w:kern w:val="28"/>
      <w:sz w:val="56"/>
      <w:szCs w:val="56"/>
    </w:rPr>
  </w:style>
  <w:style w:type="paragraph" w:styleId="Subtitle">
    <w:name w:val="Subtitle"/>
    <w:basedOn w:val="Normal"/>
    <w:next w:val="Normal"/>
    <w:link w:val="SubtitleChar"/>
    <w:uiPriority w:val="11"/>
    <w:qFormat/>
    <w:rsid w:val="00EE0237"/>
    <w:pPr>
      <w:numPr>
        <w:ilvl w:val="1"/>
      </w:numPr>
    </w:pPr>
    <w:rPr>
      <w:rFonts w:eastAsiaTheme="majorEastAsia" w:cstheme="majorBidi" w:ascii="Arial" w:hAnsi="Arial" w:eastAsia="Arial"/>
      <w:color w:val="595959" w:themeColor="text1" w:themeTint="A6"/>
      <w:spacing w:val="15"/>
      <w:sz w:val="28"/>
      <w:szCs w:val="28"/>
    </w:rPr>
  </w:style>
  <w:style w:type="character" w:customStyle="1" w:styleId="SubtitleChar">
    <w:name w:val="Subtitle Char"/>
    <w:basedOn w:val="DefaultParagraphFont"/>
    <w:link w:val="Subtitle"/>
    <w:uiPriority w:val="11"/>
    <w:rsid w:val="00EE0237"/>
    <w:rPr>
      <w:rFonts w:eastAsiaTheme="majorEastAsia" w:cstheme="majorBidi" w:ascii="Arial" w:hAnsi="Arial" w:eastAsia="Arial"/>
      <w:color w:val="595959" w:themeColor="text1" w:themeTint="A6"/>
      <w:spacing w:val="15"/>
      <w:sz w:val="28"/>
      <w:szCs w:val="28"/>
    </w:rPr>
  </w:style>
  <w:style w:type="paragraph" w:styleId="Quote">
    <w:name w:val="Quote"/>
    <w:basedOn w:val="Normal"/>
    <w:next w:val="Normal"/>
    <w:link w:val="QuoteChar"/>
    <w:uiPriority w:val="29"/>
    <w:qFormat/>
    <w:rsid w:val="00EE0237"/>
    <w:pPr>
      <w:spacing w:before="160"/>
      <w:jc w:val="center"/>
    </w:pPr>
    <w:rPr>
      <w:rFonts w:ascii="Arial" w:hAnsi="Arial" w:eastAsia="Arial"/>
      <w:i/>
      <w:iCs/>
      <w:color w:val="404040" w:themeColor="text1" w:themeTint="BF"/>
    </w:rPr>
  </w:style>
  <w:style w:type="character" w:customStyle="1" w:styleId="QuoteChar">
    <w:name w:val="Quote Char"/>
    <w:basedOn w:val="DefaultParagraphFont"/>
    <w:link w:val="Quote"/>
    <w:uiPriority w:val="29"/>
    <w:rsid w:val="00EE0237"/>
    <w:rPr>
      <w:rFonts w:ascii="Arial" w:hAnsi="Arial" w:eastAsia="Arial"/>
      <w:i/>
      <w:iCs/>
      <w:color w:val="404040" w:themeColor="text1" w:themeTint="BF"/>
    </w:rPr>
  </w:style>
  <w:style w:type="paragraph" w:styleId="ListParagraph">
    <w:name w:val="List Paragraph"/>
    <w:basedOn w:val="Normal"/>
    <w:uiPriority w:val="34"/>
    <w:qFormat/>
    <w:rsid w:val="00EE0237"/>
    <w:pPr>
      <w:ind w:left="720"/>
      <w:contextualSpacing/>
    </w:pPr>
    <w:rPr>
      <w:rFonts w:ascii="Arial" w:hAnsi="Arial" w:eastAsia="Arial"/>
    </w:rPr>
  </w:style>
  <w:style w:type="character" w:styleId="IntenseEmphasis">
    <w:name w:val="Intense Emphasis"/>
    <w:basedOn w:val="DefaultParagraphFont"/>
    <w:uiPriority w:val="21"/>
    <w:qFormat/>
    <w:rsid w:val="00EE0237"/>
    <w:rPr>
      <w:rFonts w:ascii="Arial" w:hAnsi="Arial" w:eastAsia="Arial"/>
      <w:i/>
      <w:iCs/>
      <w:color w:val="0F4761" w:themeColor="accent1" w:themeShade="BF"/>
    </w:rPr>
  </w:style>
  <w:style w:type="paragraph" w:styleId="IntenseQuote">
    <w:name w:val="Intense Quote"/>
    <w:basedOn w:val="Normal"/>
    <w:next w:val="Normal"/>
    <w:link w:val="IntenseQuoteChar"/>
    <w:uiPriority w:val="30"/>
    <w:qFormat/>
    <w:rsid w:val="00EE0237"/>
    <w:pPr>
      <w:pBdr>
        <w:top w:val="single" w:sz="4" w:space="10" w:color="0F4761" w:themeColor="accent1" w:themeShade="BF"/>
        <w:bottom w:val="single" w:sz="4" w:space="10" w:color="0F4761" w:themeColor="accent1" w:themeShade="BF"/>
      </w:pBdr>
      <w:spacing w:before="360" w:after="360"/>
      <w:ind w:left="864" w:right="864"/>
      <w:jc w:val="center"/>
    </w:pPr>
    <w:rPr>
      <w:rFonts w:ascii="Arial" w:hAnsi="Arial" w:eastAsia="Arial"/>
      <w:i/>
      <w:iCs/>
      <w:color w:val="0F4761" w:themeColor="accent1" w:themeShade="BF"/>
    </w:rPr>
  </w:style>
  <w:style w:type="character" w:customStyle="1" w:styleId="IntenseQuoteChar">
    <w:name w:val="Intense Quote Char"/>
    <w:basedOn w:val="DefaultParagraphFont"/>
    <w:link w:val="IntenseQuote"/>
    <w:uiPriority w:val="30"/>
    <w:rsid w:val="00EE0237"/>
    <w:rPr>
      <w:rFonts w:ascii="Arial" w:hAnsi="Arial" w:eastAsia="Arial"/>
      <w:i/>
      <w:iCs/>
      <w:color w:val="0F4761" w:themeColor="accent1" w:themeShade="BF"/>
    </w:rPr>
  </w:style>
  <w:style w:type="character" w:styleId="IntenseReference">
    <w:name w:val="Intense Reference"/>
    <w:basedOn w:val="DefaultParagraphFont"/>
    <w:uiPriority w:val="32"/>
    <w:qFormat/>
    <w:rsid w:val="00EE0237"/>
    <w:rPr>
      <w:rFonts w:ascii="Arial" w:hAnsi="Arial" w:eastAsia="Arial"/>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121</Words>
  <Characters>694</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S&amp;P 500 Realized Variance Forecasting</dc:title>
  <dc:subject>Model specification, validation, residual diagnostics, and final test</dc:subject>
  <dc:creator>HB81398@365mak.com</dc:creator>
  <cp:keywords>HAR-RV, realized variance, S&amp;P 500, time-series cross-validation</cp:keywords>
  <dc:description/>
  <cp:lastModifiedBy>HB81398@365mak.com</cp:lastModifiedBy>
  <cp:revision>1</cp:revision>
  <dcterms:created xsi:type="dcterms:W3CDTF">2026-10-13T01:02:00Z</dcterms:created>
  <dcterms:modified xsi:type="dcterms:W3CDTF">2026-10-13T01:18:00Z</dcterms:modified>
</cp:coreProperties>
</file>