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itle"/>
        <w:keepNext/>
        <w:widowControl/>
        <w:spacing w:after="120"/>
        <w:jc w:val="center"/>
      </w:pPr>
      <w:r>
        <w:rPr>
          <w:rFonts w:ascii="Arial" w:hAnsi="Arial" w:eastAsia="Arial Unicode MS"/>
          <w:color w:val="000000"/>
          <w:sz w:val="40"/>
        </w:rPr>
        <w:t>基于 HAR RV 模型的标普 500 指数波动预测</w:t>
      </w:r>
    </w:p>
    <w:p>
      <w:pPr>
        <w:widowControl/>
        <w:spacing w:after="100" w:line="276" w:lineRule="auto"/>
        <w:jc w:val="center"/>
      </w:pPr>
      <w:r>
        <w:rPr>
          <w:rFonts w:ascii="Arial" w:hAnsi="Arial" w:eastAsia="Arial Unicode MS" w:cs="Arial"/>
          <w:b w:val="0"/>
          <w:color w:val="000000"/>
          <w:sz w:val="22"/>
        </w:rPr>
        <w:t>数据分析 模型设定与样本外检验</w:t>
      </w:r>
    </w:p>
    <w:p>
      <w:pPr>
        <w:widowControl/>
        <w:spacing w:line="276" w:lineRule="auto" w:before="0" w:after="100"/>
        <w:ind w:firstLine="420"/>
        <w:jc w:val="both"/>
        <w:snapToGrid w:val="0"/>
      </w:pPr>
      <w:r>
        <w:rPr>
          <w:rFonts w:ascii="Arial" w:hAnsi="Arial" w:eastAsia="Arial Unicode MS"/>
          <w:color w:val="000000"/>
          <w:sz w:val="21"/>
        </w:rPr>
        <w:t>本报告使用异质自回归模型（HAR-RV）预测标普 500 指数下一交易日的对数实现方差。模型纳入日、周、月三个时间尺度的波动信息，按时间顺序划分样本。加入 Lag2 后，五折时间序列交叉验证的平均均方误差下降约 1.47%，独立测试集下降约 1.49%。现有结果支持保留 Lag2，但增益较小，且测试期残差仍存在显著自相关。</w:t>
      </w:r>
    </w:p>
    <w:p>
      <w:pPr>
        <w:pStyle w:val="Heading1"/>
        <w:keepNext/>
        <w:widowControl/>
        <w:spacing w:before="200" w:after="100"/>
      </w:pPr>
      <w:r>
        <w:rPr>
          <w:rFonts w:ascii="Arial" w:hAnsi="Arial" w:eastAsia="Arial Unicode MS" w:cs="Arial"/>
          <w:b/>
          <w:color w:val="000000"/>
          <w:u w:val="none"/>
        </w:rPr>
        <w:t>1 数据与描述性统计</w:t>
      </w:r>
    </w:p>
    <w:p>
      <w:pPr>
        <w:widowControl/>
        <w:spacing w:line="276" w:lineRule="auto" w:before="0" w:after="100"/>
        <w:ind w:firstLine="420"/>
        <w:jc w:val="both"/>
        <w:snapToGrid w:val="0"/>
      </w:pPr>
      <w:r>
        <w:rPr>
          <w:rFonts w:ascii="Arial" w:hAnsi="Arial" w:eastAsia="Arial Unicode MS" w:cs="Times New Roman"/>
          <w:color w:val="000000"/>
          <w:sz w:val="22"/>
        </w:rPr>
        <w:t>描述性统计仅使用训练期数据，涵盖标普 500 指数（.SPX）、道琼斯工业平均指数（.DJI）和罗素 2000 指数（.RUT）。三个指数的无效 RV5 记录数均为零，具体统计见表 1。本文用实现方差 RV 衡量波动，模型预测其对数值。</w:t>
      </w:r>
    </w:p>
    <w:p>
      <w:pPr>
        <w:keepNext/>
        <w:widowControl/>
        <w:spacing w:before="80" w:after="100" w:line="276" w:lineRule="auto"/>
        <w:ind w:firstLine="0"/>
        <w:jc w:val="center"/>
      </w:pPr>
      <w:r>
        <w:rPr>
          <w:rFonts w:ascii="Arial" w:hAnsi="Arial" w:eastAsia="Arial Unicode MS" w:cs="Times New Roman"/>
          <w:color w:val="000000"/>
          <w:sz w:val="20"/>
        </w:rPr>
        <w:t>表 1 训练期收益率与实现方差描述性统计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737"/>
        <w:gridCol w:w="879"/>
        <w:gridCol w:w="879"/>
        <w:gridCol w:w="964"/>
        <w:gridCol w:w="964"/>
        <w:gridCol w:w="964"/>
        <w:gridCol w:w="964"/>
        <w:gridCol w:w="964"/>
        <w:gridCol w:w="737"/>
      </w:tblGrid>
      <w:tr>
        <w:trPr>
          <w:tblHeader/>
          <w:cantSplit/>
          <w:tblHeader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</w:rPr>
              <w:t>指数</w:t>
            </w:r>
          </w:p>
        </w:tc>
        <w:tc>
          <w:tcPr>
            <w:tcW w:type="dxa" w:w="879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</w:rPr>
              <w:t>样本数</w:t>
            </w:r>
          </w:p>
        </w:tc>
        <w:tc>
          <w:tcPr>
            <w:tcW w:type="dxa" w:w="879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</w:rPr>
              <w:t>收益率数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</w:rPr>
              <w:t>均值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</w:rPr>
              <w:t>标准差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</w:rPr>
              <w:t>偏度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</w:rPr>
              <w:t>超额峰度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</w:rPr>
              <w:t>平均 RV5</w:t>
            </w:r>
          </w:p>
        </w:tc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</w:rPr>
              <w:t>无效 RV5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left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.SPX</w:t>
            </w:r>
          </w:p>
        </w:tc>
        <w:tc>
          <w:tcPr>
            <w:tcW w:type="dxa" w:w="879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2,791</w:t>
            </w:r>
          </w:p>
        </w:tc>
        <w:tc>
          <w:tcPr>
            <w:tcW w:type="dxa" w:w="879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2,791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-0.000036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0.012895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-0.090205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7.370035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0.000139</w:t>
            </w:r>
          </w:p>
        </w:tc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left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.DJI</w:t>
            </w:r>
          </w:p>
        </w:tc>
        <w:tc>
          <w:tcPr>
            <w:tcW w:type="dxa" w:w="879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2,790</w:t>
            </w:r>
          </w:p>
        </w:tc>
        <w:tc>
          <w:tcPr>
            <w:tcW w:type="dxa" w:w="879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2,790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0.000144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0.012617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0.073539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7.779407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0.000141</w:t>
            </w:r>
          </w:p>
        </w:tc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left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.RUT</w:t>
            </w:r>
          </w:p>
        </w:tc>
        <w:tc>
          <w:tcPr>
            <w:tcW w:type="dxa" w:w="879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2,789</w:t>
            </w:r>
          </w:p>
        </w:tc>
        <w:tc>
          <w:tcPr>
            <w:tcW w:type="dxa" w:w="879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2,789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0.000640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0.012390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-0.113599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5.523270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0.000078</w:t>
            </w:r>
          </w:p>
        </w:tc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</w:t>
            </w:r>
          </w:p>
        </w:tc>
      </w:tr>
    </w:tbl>
    <w:p>
      <w:pPr>
        <w:widowControl/>
        <w:spacing w:line="276" w:lineRule="auto" w:before="80" w:after="100"/>
        <w:ind w:firstLine="420"/>
        <w:jc w:val="both"/>
        <w:snapToGrid w:val="0"/>
      </w:pPr>
      <w:r>
        <w:rPr>
          <w:rFonts w:ascii="Arial" w:hAnsi="Arial" w:eastAsia="Arial Unicode MS" w:cs="Times New Roman"/>
          <w:color w:val="000000"/>
          <w:sz w:val="22"/>
        </w:rPr>
        <w:t>三个指数的日收益率均值接近零，偏度绝对值小于 0.12，分布整体较为对称。超额峰度介于 5.52 和 7.78 之间，高于正态分布的理论值 0，呈现尖峰厚尾特征。用正态分布描述这组收益率，可能低估极端收益出现的频率。</w:t>
      </w:r>
    </w:p>
    <w:p>
      <w:pPr>
        <w:keepNext/>
        <w:widowControl/>
        <w:spacing w:before="80" w:after="40"/>
        <w:jc w:val="center"/>
      </w:pPr>
      <w:r>
        <w:rPr>
          <w:rFonts w:ascii="Times New Roman" w:hAnsi="Times New Roman" w:eastAsia="Songti SC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3960000" cy="2609158"/>
            <wp:docPr id="1" name="Picture 1" descr="标普500指数训练期收益率正态Q-Q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demo1_qq_cropp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09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80" w:after="100" w:line="276" w:lineRule="auto"/>
        <w:ind w:firstLine="0"/>
        <w:jc w:val="center"/>
      </w:pPr>
      <w:r>
        <w:rPr>
          <w:rFonts w:ascii="Arial" w:hAnsi="Arial" w:eastAsia="Arial Unicode MS" w:cs="Times New Roman"/>
          <w:color w:val="000000"/>
          <w:sz w:val="20"/>
        </w:rPr>
        <w:t>图 1 标普 500 指数训练期收益率正态 Q-Q 图</w:t>
      </w:r>
    </w:p>
    <w:p>
      <w:pPr>
        <w:widowControl/>
        <w:spacing w:line="276" w:lineRule="auto" w:before="0" w:after="100"/>
        <w:ind w:firstLine="420"/>
        <w:jc w:val="both"/>
        <w:snapToGrid w:val="0"/>
      </w:pPr>
      <w:r>
        <w:rPr>
          <w:rFonts w:ascii="Arial" w:hAnsi="Arial" w:eastAsia="Arial Unicode MS" w:cs="Times New Roman"/>
          <w:color w:val="000000"/>
          <w:sz w:val="22"/>
        </w:rPr>
        <w:t>Q-Q 图中部的样本点大致贴近正态参考线，两端明显偏离，与厚尾特征一致。这里检验的是收益率分布，不能据此判断模型预测误差的分布。后续评估还需检查样本外误差和预测残差。</w:t>
      </w:r>
    </w:p>
    <w:p>
      <w:pPr>
        <w:pStyle w:val="Heading1"/>
        <w:keepNext/>
        <w:widowControl/>
        <w:spacing w:before="200" w:after="100"/>
      </w:pPr>
      <w:r>
        <w:rPr>
          <w:rFonts w:ascii="Arial" w:hAnsi="Arial" w:eastAsia="Arial Unicode MS" w:cs="Arial"/>
          <w:b/>
          <w:color w:val="000000"/>
          <w:u w:val="none"/>
        </w:rPr>
        <w:t>2 HAR RV 模型设定</w:t>
      </w:r>
    </w:p>
    <w:p>
      <w:pPr>
        <w:widowControl/>
        <w:spacing w:line="276" w:lineRule="auto" w:before="0" w:after="100"/>
        <w:ind w:firstLine="420"/>
        <w:jc w:val="both"/>
        <w:snapToGrid w:val="0"/>
      </w:pPr>
      <w:r>
        <w:rPr>
          <w:rFonts w:ascii="Arial" w:hAnsi="Arial" w:eastAsia="Arial Unicode MS" w:cs="Times New Roman"/>
          <w:color w:val="000000"/>
          <w:sz w:val="22"/>
        </w:rPr>
        <w:t>实现波动通常具有持续性。HAR-RV 将日、周、月分量纳入回归，用不同时间尺度的历史信息预测下一日波动。这一设定也便于比较各分量的预测作用，但并不直接处理收益率分布的厚尾。</w:t>
      </w:r>
    </w:p>
    <w:p>
      <w:pPr>
        <w:keepNext/>
        <w:widowControl/>
        <w:spacing w:line="276" w:lineRule="auto" w:before="0" w:after="100"/>
        <w:ind w:firstLine="420"/>
        <w:jc w:val="both"/>
        <w:snapToGrid w:val="0"/>
      </w:pPr>
      <w:r>
        <w:rPr>
          <w:rFonts w:ascii="Arial" w:hAnsi="Arial" w:eastAsia="Arial Unicode MS" w:cs="Times New Roman"/>
          <w:color w:val="000000"/>
          <w:sz w:val="22"/>
        </w:rPr>
        <w:t>模型对实现方差取对数，压缩其取值范围。基础模型为：</w:t>
      </w:r>
    </w:p>
    <w:p>
      <w:pPr>
        <w:widowControl/>
        <w:spacing w:before="120" w:after="160"/>
        <w:jc w:val="center"/>
      </w:pPr>
      <m:oMathPara>
        <m:oMathParaPr>
          <m:jc m:val="center"/>
        </m:oMathParaPr>
        <m:oMath>
          <m:sSub>
            <m:sSubPr/>
            <m:e>
              <m:r>
                <m:t>log RV</m:t>
              </m:r>
            </m:e>
            <m:sub>
              <m:r>
                <m:t>t+1</m:t>
              </m:r>
            </m:sub>
          </m:sSub>
          <m:r>
            <m:t> = </m:t>
          </m:r>
          <m:sSub>
            <m:sSubPr/>
            <m:e>
              <m:r>
                <m:t>β</m:t>
              </m:r>
            </m:e>
            <m:sub>
              <m:r>
                <m:t>0</m:t>
              </m:r>
            </m:sub>
          </m:sSub>
          <m:r>
            <m:t> + </m:t>
          </m:r>
          <m:sSub>
            <m:sSubPr/>
            <m:e>
              <m:r>
                <m:t>β</m:t>
              </m:r>
            </m:e>
            <m:sub>
              <m:r>
                <m:t>d</m:t>
              </m:r>
            </m:sub>
          </m:sSub>
          <m:r>
            <m:t> </m:t>
          </m:r>
          <m:sSubSup>
            <m:sSubSupPr/>
            <m:e>
              <m:r>
                <m:t>log RV</m:t>
              </m:r>
            </m:e>
            <m:sub>
              <m:r>
                <m:t>t</m:t>
              </m:r>
            </m:sub>
            <m:sup>
              <m:r>
                <m:t>d</m:t>
              </m:r>
            </m:sup>
          </m:sSubSup>
          <m:r>
            <m:t> + </m:t>
          </m:r>
          <m:sSub>
            <m:sSubPr/>
            <m:e>
              <m:r>
                <m:t>β</m:t>
              </m:r>
            </m:e>
            <m:sub>
              <m:r>
                <m:t>w</m:t>
              </m:r>
            </m:sub>
          </m:sSub>
          <m:r>
            <m:t> </m:t>
          </m:r>
          <m:sSubSup>
            <m:sSubSupPr/>
            <m:e>
              <m:r>
                <m:t>log RV</m:t>
              </m:r>
            </m:e>
            <m:sub>
              <m:r>
                <m:t>t</m:t>
              </m:r>
            </m:sub>
            <m:sup>
              <m:r>
                <m:t>w</m:t>
              </m:r>
            </m:sup>
          </m:sSubSup>
          <m:r>
            <m:t> + </m:t>
          </m:r>
          <m:sSub>
            <m:sSubPr/>
            <m:e>
              <m:r>
                <m:t>β</m:t>
              </m:r>
            </m:e>
            <m:sub>
              <m:r>
                <m:t>m</m:t>
              </m:r>
            </m:sub>
          </m:sSub>
          <m:r>
            <m:t> </m:t>
          </m:r>
          <m:sSubSup>
            <m:sSubSupPr/>
            <m:e>
              <m:r>
                <m:t>log RV</m:t>
              </m:r>
            </m:e>
            <m:sub>
              <m:r>
                <m:t>t</m:t>
              </m:r>
            </m:sub>
            <m:sup>
              <m:r>
                <m:t>m</m:t>
              </m:r>
            </m:sup>
          </m:sSubSup>
          <m:r>
            <m:t> + </m:t>
          </m:r>
          <m:sSub>
            <m:sSubPr/>
            <m:e>
              <m:r>
                <m:t>ε</m:t>
              </m:r>
            </m:e>
            <m:sub>
              <m:r>
                <m:t>t+1</m:t>
              </m:r>
            </m:sub>
          </m:sSub>
        </m:oMath>
      </m:oMathPara>
    </w:p>
    <w:p>
      <w:pPr>
        <w:keepNext/>
        <w:widowControl/>
        <w:spacing w:before="80" w:after="100" w:line="276" w:lineRule="auto"/>
        <w:ind w:firstLine="0"/>
        <w:jc w:val="center"/>
      </w:pPr>
      <w:r>
        <w:rPr>
          <w:rFonts w:ascii="Arial" w:hAnsi="Arial" w:eastAsia="Arial Unicode MS" w:cs="Times New Roman"/>
          <w:color w:val="000000"/>
          <w:sz w:val="20"/>
        </w:rPr>
        <w:t>表 2 HAR RV 模型变量定义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57"/>
        <w:gridCol w:w="1361"/>
        <w:gridCol w:w="4819"/>
      </w:tblGrid>
      <w:tr>
        <w:trPr>
          <w:tblHeader/>
          <w:cantSplit/>
          <w:tblHeader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</w:rPr>
              <w:t>变量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</w:rPr>
              <w:t>时间尺度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left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log RV(d)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日度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当日实现方差的对数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left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log RV(w)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周度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最近 5 个交易日平均实现方差的对数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left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log RV(m)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月度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最近 22 个交易日平均实现方差的对数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left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log RV(t+1)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预测目标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下一交易日实现方差的对数</w:t>
            </w:r>
          </w:p>
        </w:tc>
      </w:tr>
    </w:tbl>
    <w:p>
      <w:pPr>
        <w:widowControl/>
        <w:spacing w:line="276" w:lineRule="auto" w:before="80" w:after="100"/>
        <w:ind w:firstLine="420"/>
        <w:jc w:val="both"/>
        <w:snapToGrid w:val="0"/>
      </w:pPr>
      <w:r>
        <w:rPr>
          <w:rFonts w:ascii="Arial" w:hAnsi="Arial" w:eastAsia="Arial Unicode MS" w:cs="Times New Roman"/>
          <w:color w:val="000000"/>
          <w:sz w:val="22"/>
        </w:rPr>
        <w:t>其中，β0 为截距，βd、βw 和 βm 分别为日、周、月分量的回归系数，ε(t+1) 为误差项。周度和月度分量先对截至 t 日的最近 5 个和 22 个交易日的实现方差求平均，再取对数。所有解释变量仅使用 t 日及以前的数据构造。</w:t>
      </w:r>
    </w:p>
    <w:p>
      <w:pPr>
        <w:pStyle w:val="Heading1"/>
        <w:keepNext/>
        <w:widowControl/>
        <w:spacing w:before="200" w:after="100"/>
      </w:pPr>
      <w:r>
        <w:rPr>
          <w:rFonts w:ascii="Arial" w:hAnsi="Arial" w:eastAsia="Arial Unicode MS" w:cs="Arial"/>
          <w:b/>
          <w:color w:val="000000"/>
          <w:u w:val="none"/>
        </w:rPr>
        <w:t>3 模型验证方案</w:t>
      </w:r>
    </w:p>
    <w:p>
      <w:pPr>
        <w:widowControl/>
        <w:spacing w:line="276" w:lineRule="auto" w:before="0" w:after="100"/>
        <w:ind w:firstLine="420"/>
        <w:jc w:val="both"/>
        <w:snapToGrid w:val="0"/>
      </w:pPr>
      <w:r>
        <w:rPr>
          <w:rFonts w:ascii="Arial" w:hAnsi="Arial" w:eastAsia="Arial Unicode MS"/>
          <w:color w:val="000000"/>
          <w:sz w:val="21"/>
        </w:rPr>
        <w:t>样本按时间顺序划分为训练集、验证集和测试集，具体范围见表 3。随机拆分可能用较晚的观测训练模型，再预测较早的样本，不符合实际预测顺序。开发阶段以当日对数实现方差预测下一交易日的持续性模型为基准，使用 TimeSeriesSplit 进行五折扩展窗口验证，并在每折训练区间与验证区间之间留出一个观测间隔。评价指标为均方误差（MSE）和平均绝对误差（MAE），均在对数实现方差尺度上计算。模型确定后，再用未参与选模的测试集评估。</w:t>
      </w:r>
    </w:p>
    <w:p>
      <w:pPr>
        <w:keepNext/>
        <w:widowControl/>
        <w:spacing w:before="120" w:after="100" w:line="276" w:lineRule="auto"/>
        <w:jc w:val="center"/>
      </w:pPr>
      <w:r>
        <w:rPr>
          <w:rFonts w:ascii="Arial" w:hAnsi="Arial" w:eastAsia="Arial Unicode MS"/>
          <w:b/>
          <w:color w:val="000000"/>
          <w:sz w:val="19"/>
        </w:rPr>
        <w:t>表 3 样本的时间顺序划分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24"/>
        <w:gridCol w:w="2324"/>
        <w:gridCol w:w="2324"/>
        <w:gridCol w:w="2324"/>
      </w:tblGrid>
      <w:tr>
        <w:trPr>
          <w:cantSplit/>
          <w:tblHeader/>
          <w:tblHeader/>
          <w:tblHeader/>
        </w:trPr>
        <w:tc>
          <w:tcPr>
            <w:tcW w:type="dxa" w:w="1247"/>
            <w:vAlign w:val="center"/>
            <w:tcMar>
              <w:top w:w="0" w:type="dxa"/>
              <w:start w:w="120" w:type="dxa"/>
              <w:bottom w:w="0" w:type="dxa"/>
              <w:end w:w="120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5"/>
              </w:rPr>
              <w:t>数据集</w:t>
            </w:r>
          </w:p>
        </w:tc>
        <w:tc>
          <w:tcPr>
            <w:tcW w:type="dxa" w:w="964"/>
            <w:vAlign w:val="center"/>
            <w:tcMar>
              <w:top w:w="0" w:type="dxa"/>
              <w:start w:w="120" w:type="dxa"/>
              <w:bottom w:w="0" w:type="dxa"/>
              <w:end w:w="120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5"/>
              </w:rPr>
              <w:t>样本数</w:t>
            </w:r>
          </w:p>
        </w:tc>
        <w:tc>
          <w:tcPr>
            <w:tcW w:type="dxa" w:w="3118"/>
            <w:vAlign w:val="center"/>
            <w:tcMar>
              <w:top w:w="0" w:type="dxa"/>
              <w:start w:w="120" w:type="dxa"/>
              <w:bottom w:w="0" w:type="dxa"/>
              <w:end w:w="120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5"/>
              </w:rPr>
              <w:t>目标日期范围</w:t>
            </w:r>
          </w:p>
        </w:tc>
        <w:tc>
          <w:tcPr>
            <w:tcW w:type="dxa" w:w="3402"/>
            <w:vAlign w:val="center"/>
            <w:tcMar>
              <w:top w:w="0" w:type="dxa"/>
              <w:start w:w="120" w:type="dxa"/>
              <w:bottom w:w="0" w:type="dxa"/>
              <w:end w:w="120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0" w:type="dxa"/>
              <w:start w:w="120" w:type="dxa"/>
              <w:bottom w:w="0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训练集</w:t>
            </w:r>
          </w:p>
        </w:tc>
        <w:tc>
          <w:tcPr>
            <w:tcW w:type="dxa" w:w="964"/>
            <w:vAlign w:val="center"/>
            <w:tcMar>
              <w:top w:w="0" w:type="dxa"/>
              <w:start w:w="120" w:type="dxa"/>
              <w:bottom w:w="0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2,770</w:t>
            </w:r>
          </w:p>
        </w:tc>
        <w:tc>
          <w:tcPr>
            <w:tcW w:type="dxa" w:w="3118"/>
            <w:vAlign w:val="center"/>
            <w:tcMar>
              <w:top w:w="0" w:type="dxa"/>
              <w:start w:w="120" w:type="dxa"/>
              <w:bottom w:w="0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2000-02-03–2011-02-22</w:t>
            </w:r>
          </w:p>
        </w:tc>
        <w:tc>
          <w:tcPr>
            <w:tcW w:type="dxa" w:w="3402"/>
            <w:vAlign w:val="center"/>
            <w:tcMar>
              <w:top w:w="0" w:type="dxa"/>
              <w:start w:w="120" w:type="dxa"/>
              <w:bottom w:w="0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拟合与初步诊断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0" w:type="dxa"/>
              <w:start w:w="120" w:type="dxa"/>
              <w:bottom w:w="0" w:type="dxa"/>
              <w:end w:w="120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验证集</w:t>
            </w:r>
          </w:p>
        </w:tc>
        <w:tc>
          <w:tcPr>
            <w:tcW w:type="dxa" w:w="964"/>
            <w:vAlign w:val="center"/>
            <w:tcMar>
              <w:top w:w="0" w:type="dxa"/>
              <w:start w:w="120" w:type="dxa"/>
              <w:bottom w:w="0" w:type="dxa"/>
              <w:end w:w="120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923</w:t>
            </w:r>
          </w:p>
        </w:tc>
        <w:tc>
          <w:tcPr>
            <w:tcW w:type="dxa" w:w="3118"/>
            <w:vAlign w:val="center"/>
            <w:tcMar>
              <w:top w:w="0" w:type="dxa"/>
              <w:start w:w="120" w:type="dxa"/>
              <w:bottom w:w="0" w:type="dxa"/>
              <w:end w:w="120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2011-02-24–2014-10-22</w:t>
            </w:r>
          </w:p>
        </w:tc>
        <w:tc>
          <w:tcPr>
            <w:tcW w:type="dxa" w:w="3402"/>
            <w:vAlign w:val="center"/>
            <w:tcMar>
              <w:top w:w="0" w:type="dxa"/>
              <w:start w:w="120" w:type="dxa"/>
              <w:bottom w:w="0" w:type="dxa"/>
              <w:end w:w="120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选模与残差诊断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0" w:type="dxa"/>
              <w:start w:w="120" w:type="dxa"/>
              <w:bottom w:w="0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测试集</w:t>
            </w:r>
          </w:p>
        </w:tc>
        <w:tc>
          <w:tcPr>
            <w:tcW w:type="dxa" w:w="964"/>
            <w:vAlign w:val="center"/>
            <w:tcMar>
              <w:top w:w="0" w:type="dxa"/>
              <w:start w:w="120" w:type="dxa"/>
              <w:bottom w:w="0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924</w:t>
            </w:r>
          </w:p>
        </w:tc>
        <w:tc>
          <w:tcPr>
            <w:tcW w:type="dxa" w:w="3118"/>
            <w:vAlign w:val="center"/>
            <w:tcMar>
              <w:top w:w="0" w:type="dxa"/>
              <w:start w:w="120" w:type="dxa"/>
              <w:bottom w:w="0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2014-10-27–2018-06-26</w:t>
            </w:r>
          </w:p>
        </w:tc>
        <w:tc>
          <w:tcPr>
            <w:tcW w:type="dxa" w:w="3402"/>
            <w:vAlign w:val="center"/>
            <w:tcMar>
              <w:top w:w="0" w:type="dxa"/>
              <w:start w:w="120" w:type="dxa"/>
              <w:bottom w:w="0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冻结模型后的最终评估</w:t>
            </w:r>
          </w:p>
        </w:tc>
      </w:tr>
    </w:tbl>
    <w:p>
      <w:pPr>
        <w:pStyle w:val="Heading1"/>
        <w:keepNext/>
        <w:widowControl/>
        <w:spacing w:before="80" w:after="100"/>
      </w:pPr>
      <w:r>
        <w:rPr>
          <w:rFonts w:ascii="Arial" w:hAnsi="Arial" w:eastAsia="Arial Unicode MS" w:cs="Arial"/>
          <w:b/>
          <w:color w:val="000000"/>
          <w:u w:val="none"/>
        </w:rPr>
        <w:t>4 Lag2 特征的引入与验证</w:t>
      </w:r>
    </w:p>
    <w:p>
      <w:pPr>
        <w:widowControl/>
        <w:spacing w:line="276" w:lineRule="auto" w:before="0" w:after="100"/>
        <w:ind w:firstLine="420"/>
        <w:jc w:val="both"/>
        <w:snapToGrid w:val="0"/>
      </w:pPr>
      <w:r>
        <w:rPr>
          <w:rFonts w:ascii="Arial" w:hAnsi="Arial" w:eastAsia="Arial Unicode MS" w:cs="Times New Roman"/>
          <w:color w:val="000000"/>
          <w:sz w:val="22"/>
        </w:rPr>
        <w:t>基础模型的验证集残差在第二滞后期的自相关函数（ACF）和偏自相关函数（PACF）均约为 0.088，第三、第四滞后期接近零。因此，将 Lag2 列为候选特征，进一步检验其能否降低样本外误差。残差诊断提供选取特征的线索，不能单独证明该特征有效。</w:t>
      </w:r>
    </w:p>
    <w:p>
      <w:pPr>
        <w:keepNext/>
        <w:widowControl/>
        <w:spacing w:line="276" w:lineRule="auto" w:before="0" w:after="100"/>
        <w:ind w:firstLine="420"/>
        <w:jc w:val="both"/>
        <w:snapToGrid w:val="0"/>
      </w:pPr>
      <w:r>
        <w:rPr>
          <w:rFonts w:ascii="Arial" w:hAnsi="Arial" w:eastAsia="Arial Unicode MS" w:cs="Times New Roman"/>
          <w:color w:val="000000"/>
          <w:sz w:val="22"/>
        </w:rPr>
        <w:t>预测 t+1 日时，Day 为 t 日的对数实现方差，Lag2 为 t−1 日的对数实现方差，分别相对预测目标滞后一个和两个交易日。加入 Lag2 后，扩展模型为：</w:t>
      </w:r>
    </w:p>
    <w:p>
      <w:pPr>
        <w:widowControl/>
        <w:spacing w:before="120" w:after="160"/>
        <w:jc w:val="center"/>
      </w:pPr>
      <m:oMathPara>
        <m:oMathParaPr>
          <m:jc m:val="center"/>
        </m:oMathParaPr>
        <m:oMath>
          <m:sSub>
            <m:sSubPr/>
            <m:e>
              <m:r>
                <m:t>log RV</m:t>
              </m:r>
            </m:e>
            <m:sub>
              <m:r>
                <m:t>t+1</m:t>
              </m:r>
            </m:sub>
          </m:sSub>
          <m:r>
            <m:t> = </m:t>
          </m:r>
          <m:sSub>
            <m:sSubPr/>
            <m:e>
              <m:r>
                <m:t>β</m:t>
              </m:r>
            </m:e>
            <m:sub>
              <m:r>
                <m:t>0</m:t>
              </m:r>
            </m:sub>
          </m:sSub>
          <m:r>
            <m:t> + </m:t>
          </m:r>
          <m:sSub>
            <m:sSubPr/>
            <m:e>
              <m:r>
                <m:t>β</m:t>
              </m:r>
            </m:e>
            <m:sub>
              <m:r>
                <m:t>d</m:t>
              </m:r>
            </m:sub>
          </m:sSub>
          <m:r>
            <m:t> </m:t>
          </m:r>
          <m:sSub>
            <m:sSubPr/>
            <m:e>
              <m:r>
                <m:t>log RV</m:t>
              </m:r>
            </m:e>
            <m:sub>
              <m:r>
                <m:t>t</m:t>
              </m:r>
            </m:sub>
          </m:sSub>
          <m:r>
            <m:t> + </m:t>
          </m:r>
          <m:sSub>
            <m:sSubPr/>
            <m:e>
              <m:r>
                <m:t>β</m:t>
              </m:r>
            </m:e>
            <m:sub>
              <m:r>
                <m:t>2</m:t>
              </m:r>
            </m:sub>
          </m:sSub>
          <m:r>
            <m:t> </m:t>
          </m:r>
          <m:sSub>
            <m:sSubPr/>
            <m:e>
              <m:r>
                <m:t>log RV</m:t>
              </m:r>
            </m:e>
            <m:sub>
              <m:r>
                <m:t>t-1</m:t>
              </m:r>
            </m:sub>
          </m:sSub>
          <m:r>
            <m:t> + </m:t>
          </m:r>
          <m:sSub>
            <m:sSubPr/>
            <m:e>
              <m:r>
                <m:t>β</m:t>
              </m:r>
            </m:e>
            <m:sub>
              <m:r>
                <m:t>w</m:t>
              </m:r>
            </m:sub>
          </m:sSub>
          <m:r>
            <m:t> </m:t>
          </m:r>
          <m:sSubSup>
            <m:sSubSupPr/>
            <m:e>
              <m:r>
                <m:t>log RV</m:t>
              </m:r>
            </m:e>
            <m:sub>
              <m:r>
                <m:t>t</m:t>
              </m:r>
            </m:sub>
            <m:sup>
              <m:r>
                <m:t>w</m:t>
              </m:r>
            </m:sup>
          </m:sSubSup>
          <m:r>
            <m:t> + </m:t>
          </m:r>
          <m:sSub>
            <m:sSubPr/>
            <m:e>
              <m:r>
                <m:t>β</m:t>
              </m:r>
            </m:e>
            <m:sub>
              <m:r>
                <m:t>m</m:t>
              </m:r>
            </m:sub>
          </m:sSub>
          <m:r>
            <m:t> </m:t>
          </m:r>
          <m:sSubSup>
            <m:sSubSupPr/>
            <m:e>
              <m:r>
                <m:t>log RV</m:t>
              </m:r>
            </m:e>
            <m:sub>
              <m:r>
                <m:t>t</m:t>
              </m:r>
            </m:sub>
            <m:sup>
              <m:r>
                <m:t>m</m:t>
              </m:r>
            </m:sup>
          </m:sSubSup>
          <m:r>
            <m:t> + </m:t>
          </m:r>
          <m:sSub>
            <m:sSubPr/>
            <m:e>
              <m:r>
                <m:t>ε</m:t>
              </m:r>
            </m:e>
            <m:sub>
              <m:r>
                <m:t>t+1</m:t>
              </m:r>
            </m:sub>
          </m:sSub>
        </m:oMath>
      </m:oMathPara>
    </w:p>
    <w:p>
      <w:pPr>
        <w:keepNext/>
        <w:widowControl/>
        <w:spacing w:before="80" w:after="100" w:line="276" w:lineRule="auto"/>
        <w:ind w:firstLine="0"/>
        <w:jc w:val="center"/>
      </w:pPr>
      <w:r>
        <w:rPr>
          <w:rFonts w:ascii="Arial" w:hAnsi="Arial" w:eastAsia="Arial Unicode MS"/>
          <w:b/>
          <w:color w:val="000000"/>
          <w:sz w:val="19"/>
        </w:rPr>
        <w:t>表 4 加入 Lag2 前后的诊断与预测结果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1531"/>
        <w:gridCol w:w="1701"/>
        <w:gridCol w:w="2438"/>
      </w:tblGrid>
      <w:tr>
        <w:trPr>
          <w:tblHeader/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keepNext/>
              <w:snapToGrid w:val="0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</w:rPr>
              <w:t>评价证据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keepNext/>
              <w:snapToGrid w:val="0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</w:rPr>
              <w:t>基础 HAR-RV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keepNext/>
              <w:snapToGrid w:val="0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</w:rPr>
              <w:t>HAR-RV 加 Lag2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keepNext/>
              <w:snapToGrid w:val="0"/>
            </w:pPr>
            <w:r>
              <w:rPr>
                <w:rFonts w:ascii="Arial" w:hAnsi="Arial" w:eastAsia="Arial Unicode MS" w:cs="Arial"/>
                <w:b/>
                <w:color w:val="FFFFFF"/>
                <w:sz w:val="17"/>
              </w:rPr>
              <w:t>结果解释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left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残差 lag 2 ACF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0.0884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0.0043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第二滞后期自相关降至接近零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left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残差 lag 2 PACF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0.0875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0.0041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第二滞后期偏自相关降至接近零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left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Ljung-Box 5 阶 p 值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0.0023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0.2463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5% 水平下不再显著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left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Ljung-Box 10 阶 p 值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0.0087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0.3207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5% 水平下不再显著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left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五折平均 MSE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0.350979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0.345829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平均 MSE 下降约 1.47%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left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最终测试 MSE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0.429034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0.422655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  <w:keepNext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测试 MSE 下降约 1.49%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left"/>
              <w:keepNext w:val="0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最终测试 MAE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keepNext w:val="0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0.514996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 w:before="0"/>
              <w:jc w:val="center"/>
              <w:keepNext w:val="0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0.511852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  <w:left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  <w:keepNext w:val="0"/>
              <w:snapToGrid w:val="0"/>
            </w:pPr>
            <w:r>
              <w:rPr>
                <w:rFonts w:ascii="Arial" w:hAnsi="Arial" w:eastAsia="Arial Unicode MS" w:cs="Arial"/>
                <w:b w:val="0"/>
                <w:color w:val="000000"/>
                <w:sz w:val="17"/>
              </w:rPr>
              <w:t>测试 MAE 下降约 0.61%</w:t>
            </w:r>
          </w:p>
        </w:tc>
      </w:tr>
    </w:tbl>
    <w:p>
      <w:pPr>
        <w:widowControl/>
        <w:spacing w:line="276" w:lineRule="auto" w:before="80" w:after="100"/>
        <w:ind w:firstLine="420"/>
        <w:jc w:val="both"/>
        <w:snapToGrid w:val="0"/>
      </w:pPr>
      <w:r>
        <w:rPr>
          <w:rFonts w:ascii="Arial" w:hAnsi="Arial" w:eastAsia="Arial Unicode MS" w:cs="Times New Roman"/>
          <w:color w:val="000000"/>
          <w:sz w:val="22"/>
        </w:rPr>
        <w:t>加入 Lag2 后，验证集残差在第二滞后期的 ACF 和 PACF 均降至约 0.004。Ljung-Box 检验的 5 阶和 10 阶 p 值分别从 0.0023、0.0087 升至 0.2463、0.3207。在 5% 显著性水平下，这两项检验不再拒绝残差无自相关的原假设，说明所检验滞后范围内的线性相关减弱。是否改善预测，仍需结合样本外误差判断。</w:t>
      </w:r>
    </w:p>
    <w:p>
      <w:pPr>
        <w:keepNext/>
        <w:widowControl/>
        <w:spacing w:before="60" w:after="40"/>
        <w:jc w:val="center"/>
      </w:pPr>
      <w:r>
        <w:rPr>
          <w:rFonts w:ascii="Times New Roman" w:hAnsi="Times New Roman" w:eastAsia="Songti SC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040000" cy="3376414"/>
            <wp:docPr id="2" name="Picture 2" descr="HAR-RV 加 Lag2 模型验证集残差、残差正态Q-Q图、残差ACF和平方残差AC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_lag2_residual_diagnostics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6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80" w:after="100" w:line="276" w:lineRule="auto"/>
        <w:ind w:firstLine="0"/>
        <w:jc w:val="center"/>
      </w:pPr>
      <w:r>
        <w:rPr>
          <w:rFonts w:ascii="Arial" w:hAnsi="Arial" w:eastAsia="Arial Unicode MS" w:cs="Times New Roman"/>
          <w:color w:val="000000"/>
          <w:sz w:val="20"/>
        </w:rPr>
        <w:t>图 2 加入 Lag2 后的验证集残差诊断</w:t>
      </w:r>
    </w:p>
    <w:p>
      <w:pPr>
        <w:keepNext/>
        <w:widowControl/>
        <w:spacing w:before="60" w:after="40"/>
        <w:jc w:val="center"/>
      </w:pPr>
      <w:r>
        <w:rPr>
          <w:rFonts w:ascii="Times New Roman" w:hAnsi="Times New Roman" w:eastAsia="Songti SC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4968000" cy="1944732"/>
            <wp:docPr id="3" name="Picture 3" descr="基础 HAR-RV 与 HAR-RV 加 Lag2 模型在多个最大滞后阶数下的 Ljung-Box p 值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jung_box_comparison_cropp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94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80" w:after="100" w:line="276" w:lineRule="auto"/>
        <w:ind w:firstLine="0"/>
        <w:jc w:val="center"/>
      </w:pPr>
      <w:r>
        <w:rPr>
          <w:rFonts w:ascii="Arial" w:hAnsi="Arial" w:eastAsia="Arial Unicode MS" w:cs="Times New Roman"/>
          <w:color w:val="000000"/>
          <w:sz w:val="20"/>
        </w:rPr>
        <w:t>图 3 加入 Lag2 前后的验证集 Ljung-Box 检验</w:t>
      </w:r>
    </w:p>
    <w:p>
      <w:pPr>
        <w:pStyle w:val="Heading1"/>
        <w:keepNext/>
        <w:widowControl/>
        <w:spacing w:before="200" w:after="100"/>
      </w:pPr>
      <w:r>
        <w:rPr>
          <w:rFonts w:ascii="Arial" w:hAnsi="Arial" w:eastAsia="Arial Unicode MS"/>
          <w:b/>
          <w:color w:val="000000"/>
          <w:sz w:val="30"/>
          <w:u w:val="none"/>
        </w:rPr>
        <w:t>5 样本外表现与最终模型</w:t>
      </w:r>
    </w:p>
    <w:p>
      <w:pPr>
        <w:widowControl/>
        <w:spacing w:line="276" w:lineRule="auto" w:before="0" w:after="100"/>
        <w:ind w:firstLine="420"/>
        <w:jc w:val="both"/>
        <w:snapToGrid w:val="0"/>
      </w:pPr>
      <w:r>
        <w:rPr>
          <w:rFonts w:ascii="Arial" w:hAnsi="Arial" w:eastAsia="Arial Unicode MS"/>
          <w:color w:val="000000"/>
          <w:sz w:val="21"/>
        </w:rPr>
        <w:t>时间序列交叉验证中，基础 HAR-RV 的五折平均 MSE 为 0.350979，加入 Lag2 后为 0.345829，下降约 1.47%，五个验证折的 MSE 均下降。验证集消融比较保留 Day、Week 和 Month，仅增加 Lag2，MSE 从 0.477745 降至 0.466884，下降约 2.27%。两项比较都支持 Lag2 在当前设定下带来小幅增益。</w:t>
      </w:r>
    </w:p>
    <w:p>
      <w:pPr>
        <w:keepNext/>
        <w:widowControl/>
        <w:spacing w:before="120" w:after="100" w:line="276" w:lineRule="auto"/>
        <w:jc w:val="center"/>
      </w:pPr>
      <w:r>
        <w:rPr>
          <w:rFonts w:ascii="Arial" w:hAnsi="Arial" w:eastAsia="Arial Unicode MS"/>
          <w:b/>
          <w:color w:val="000000"/>
          <w:sz w:val="19"/>
        </w:rPr>
        <w:t>表 5 独立测试集预测结果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60"/>
        <w:gridCol w:w="1860"/>
        <w:gridCol w:w="1860"/>
        <w:gridCol w:w="1860"/>
        <w:gridCol w:w="1860"/>
      </w:tblGrid>
      <w:tr>
        <w:trPr>
          <w:cantSplit/>
          <w:tblHeader/>
          <w:tblHeader/>
          <w:tblHeader/>
        </w:trPr>
        <w:tc>
          <w:tcPr>
            <w:tcW w:type="dxa" w:w="1871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1247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MSE</w:t>
            </w:r>
          </w:p>
        </w:tc>
        <w:tc>
          <w:tcPr>
            <w:tcW w:type="dxa" w:w="1247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MAE</w:t>
            </w:r>
          </w:p>
        </w:tc>
        <w:tc>
          <w:tcPr>
            <w:tcW w:type="dxa" w:w="2268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MSE 相对基准降幅</w:t>
            </w:r>
          </w:p>
        </w:tc>
        <w:tc>
          <w:tcPr>
            <w:tcW w:type="dxa" w:w="2268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MAE 相对基准降幅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Persistence</w:t>
            </w:r>
          </w:p>
        </w:tc>
        <w:tc>
          <w:tcPr>
            <w:tcW w:type="dxa" w:w="1247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0.478135</w:t>
            </w:r>
          </w:p>
        </w:tc>
        <w:tc>
          <w:tcPr>
            <w:tcW w:type="dxa" w:w="1247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0.551313</w:t>
            </w:r>
          </w:p>
        </w:tc>
        <w:tc>
          <w:tcPr>
            <w:tcW w:type="dxa" w:w="2268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0.00%</w:t>
            </w:r>
          </w:p>
        </w:tc>
        <w:tc>
          <w:tcPr>
            <w:tcW w:type="dxa" w:w="2268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基础 HAR-RV</w:t>
            </w:r>
          </w:p>
        </w:tc>
        <w:tc>
          <w:tcPr>
            <w:tcW w:type="dxa" w:w="1247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0.429034</w:t>
            </w:r>
          </w:p>
        </w:tc>
        <w:tc>
          <w:tcPr>
            <w:tcW w:type="dxa" w:w="1247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0.514996</w:t>
            </w:r>
          </w:p>
        </w:tc>
        <w:tc>
          <w:tcPr>
            <w:tcW w:type="dxa" w:w="2268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改善 10.27%</w:t>
            </w:r>
          </w:p>
        </w:tc>
        <w:tc>
          <w:tcPr>
            <w:tcW w:type="dxa" w:w="2268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改善 6.59%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HAR-RV 加 Lag2</w:t>
            </w:r>
          </w:p>
        </w:tc>
        <w:tc>
          <w:tcPr>
            <w:tcW w:type="dxa" w:w="1247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0.422655</w:t>
            </w:r>
          </w:p>
        </w:tc>
        <w:tc>
          <w:tcPr>
            <w:tcW w:type="dxa" w:w="1247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0.511852</w:t>
            </w:r>
          </w:p>
        </w:tc>
        <w:tc>
          <w:tcPr>
            <w:tcW w:type="dxa" w:w="2268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改善 11.60%</w:t>
            </w:r>
          </w:p>
        </w:tc>
        <w:tc>
          <w:tcPr>
            <w:tcW w:type="dxa" w:w="2268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改善 7.16%</w:t>
            </w:r>
          </w:p>
        </w:tc>
      </w:tr>
    </w:tbl>
    <w:p>
      <w:pPr>
        <w:widowControl/>
        <w:spacing w:line="276" w:lineRule="auto" w:before="80" w:after="100"/>
        <w:ind w:firstLine="420"/>
        <w:jc w:val="both"/>
        <w:snapToGrid w:val="0"/>
      </w:pPr>
      <w:r>
        <w:rPr>
          <w:rFonts w:ascii="Arial" w:hAnsi="Arial" w:eastAsia="Arial Unicode MS"/>
          <w:color w:val="000000"/>
          <w:sz w:val="21"/>
        </w:rPr>
        <w:t>最终模型采用 Day + Lag2 + Week + Month。独立测试集上，其 MSE 和 MAE 相较基础 HAR-RV 分别下降 1.49% 和 0.61%，改善方向与交叉验证和验证集消融结果一致。现有样本支持保留 Lag2，但尚不能据此认定改善具有统计显著性。</w:t>
      </w:r>
    </w:p>
    <w:p>
      <w:pPr>
        <w:pStyle w:val="Heading1"/>
        <w:keepNext/>
        <w:widowControl/>
        <w:spacing w:before="200" w:after="100"/>
      </w:pPr>
      <w:r>
        <w:rPr>
          <w:rFonts w:ascii="Arial" w:hAnsi="Arial" w:eastAsia="Arial Unicode MS"/>
          <w:b/>
          <w:color w:val="000000"/>
          <w:sz w:val="30"/>
          <w:u w:val="none"/>
        </w:rPr>
        <w:t>6 模型保存与预测输出</w:t>
      </w:r>
    </w:p>
    <w:p>
      <w:pPr>
        <w:widowControl/>
        <w:spacing w:after="100" w:line="276" w:lineRule="auto"/>
      </w:pPr>
      <w:r>
        <w:rPr>
          <w:rFonts w:ascii="Arial" w:hAnsi="Arial" w:eastAsia="Arial Unicode MS"/>
          <w:color w:val="000000"/>
          <w:sz w:val="21"/>
        </w:rPr>
        <w:t>选模完成后，合并训练集与验证集的 3,693 条观测，重新拟合最终模型。模型文件与元数据一并保存，后者记录特征顺序、回归系数、训练区间、软件版本和测试指标。预测时加载同一模型版本，无需重新训练，便于复查结果。表 6 给出保存的文件及历史样例预测；样例日期采用代码中的 UTC 口径。</w:t>
      </w:r>
    </w:p>
    <w:p>
      <w:pPr>
        <w:keepNext/>
        <w:widowControl/>
        <w:spacing w:before="120" w:after="100" w:line="276" w:lineRule="auto"/>
        <w:jc w:val="center"/>
      </w:pPr>
      <w:r>
        <w:rPr>
          <w:rFonts w:ascii="Arial" w:hAnsi="Arial" w:eastAsia="Arial Unicode MS"/>
          <w:b/>
          <w:color w:val="000000"/>
          <w:sz w:val="19"/>
        </w:rPr>
        <w:t>表 6 最终模型输出与历史样例预测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99"/>
        <w:gridCol w:w="3099"/>
        <w:gridCol w:w="3099"/>
      </w:tblGrid>
      <w:tr>
        <w:trPr>
          <w:cantSplit/>
          <w:tblHeader/>
          <w:tblHeader/>
          <w:tblHeader/>
        </w:trPr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输出项</w:t>
            </w:r>
          </w:p>
        </w:tc>
        <w:tc>
          <w:tcPr>
            <w:tcW w:type="dxa" w:w="249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4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模型文件</w:t>
            </w:r>
          </w:p>
        </w:tc>
        <w:tc>
          <w:tcPr>
            <w:tcW w:type="dxa" w:w="249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har_lag2_model.joblib</w:t>
            </w:r>
          </w:p>
        </w:tc>
        <w:tc>
          <w:tcPr>
            <w:tcW w:type="dxa" w:w="4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可直接加载的线性回归模型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模型信息</w:t>
            </w:r>
          </w:p>
        </w:tc>
        <w:tc>
          <w:tcPr>
            <w:tcW w:type="dxa" w:w="249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har_lag2_model_info.json</w:t>
            </w:r>
          </w:p>
        </w:tc>
        <w:tc>
          <w:tcPr>
            <w:tcW w:type="dxa" w:w="4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记录特征顺序、系数、样本区间与测试指标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预测目标</w:t>
            </w:r>
          </w:p>
        </w:tc>
        <w:tc>
          <w:tcPr>
            <w:tcW w:type="dxa" w:w="249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下一交易日 log(RV)</w:t>
            </w:r>
          </w:p>
        </w:tc>
        <w:tc>
          <w:tcPr>
            <w:tcW w:type="dxa" w:w="4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指数变换，未作偏差修正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样例特征日期</w:t>
            </w:r>
          </w:p>
        </w:tc>
        <w:tc>
          <w:tcPr>
            <w:tcW w:type="dxa" w:w="249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2018-06-26</w:t>
            </w:r>
          </w:p>
        </w:tc>
        <w:tc>
          <w:tcPr>
            <w:tcW w:type="dxa" w:w="4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历史特征日，按 UTC 口径记录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预测 log(RV)</w:t>
            </w:r>
          </w:p>
        </w:tc>
        <w:tc>
          <w:tcPr>
            <w:tcW w:type="dxa" w:w="249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-10.076945</w:t>
            </w:r>
          </w:p>
        </w:tc>
        <w:tc>
          <w:tcPr>
            <w:tcW w:type="dxa" w:w="4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最终模型直接输出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预测 RV</w:t>
            </w:r>
          </w:p>
        </w:tc>
        <w:tc>
          <w:tcPr>
            <w:tcW w:type="dxa" w:w="249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4.203763 × 10⁻⁵</w:t>
            </w:r>
          </w:p>
        </w:tc>
        <w:tc>
          <w:tcPr>
            <w:tcW w:type="dxa" w:w="4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exp(预测 log(RV))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预测日波动率</w:t>
            </w:r>
          </w:p>
        </w:tc>
        <w:tc>
          <w:tcPr>
            <w:tcW w:type="dxa" w:w="249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0.6484%</w:t>
            </w:r>
          </w:p>
        </w:tc>
        <w:tc>
          <w:tcPr>
            <w:tcW w:type="dxa" w:w="4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sqrt(预测 RV)，未年化</w:t>
            </w:r>
          </w:p>
        </w:tc>
      </w:tr>
    </w:tbl>
    <w:p>
      <w:pPr>
        <w:pStyle w:val="Heading1"/>
        <w:keepNext/>
        <w:widowControl/>
        <w:spacing w:before="80" w:after="100"/>
      </w:pPr>
      <w:r>
        <w:rPr>
          <w:rFonts w:ascii="Arial" w:hAnsi="Arial" w:eastAsia="Arial Unicode MS"/>
          <w:b/>
          <w:color w:val="000000"/>
          <w:sz w:val="30"/>
          <w:u w:val="none"/>
        </w:rPr>
        <w:t>7 结论与局限性</w:t>
      </w:r>
    </w:p>
    <w:p>
      <w:pPr>
        <w:widowControl/>
        <w:spacing w:after="100" w:line="276" w:lineRule="auto"/>
      </w:pPr>
      <w:r>
        <w:rPr>
          <w:rFonts w:ascii="Arial" w:hAnsi="Arial" w:eastAsia="Arial Unicode MS"/>
          <w:color w:val="000000"/>
          <w:sz w:val="21"/>
        </w:rPr>
        <w:t>基础 HAR-RV 在日度信息之外加入周度、月度分量，Lag2 则进一步降低了各验证折和独立测试集的误差。结果支持在本次模型选择中保留 Lag2，但其增益有限，在其他市场阶段的表现仍需检验。</w:t>
      </w:r>
    </w:p>
    <w:p>
      <w:pPr>
        <w:widowControl/>
        <w:spacing w:after="100" w:line="276" w:lineRule="auto"/>
      </w:pPr>
      <w:r>
        <w:rPr>
          <w:rFonts w:ascii="Arial" w:hAnsi="Arial" w:eastAsia="Arial Unicode MS"/>
          <w:color w:val="000000"/>
          <w:sz w:val="21"/>
        </w:rPr>
        <w:t>最终测试期残差的 Ljung-Box 检验在多个滞后阶数下仍显著，说明模型遗漏了部分线性时间依赖。残差按“实际值减预测值”计算，均值约为 -0.082，表明测试期对数实现方差的预测平均偏高。平方残差的检验结论也随滞后阶数不同而变化，尚不能认为模型已充分捕捉条件波动。后续可比较带杠杆效应的 HAR 变体、滚动估计、正则化回归或树模型，继续按时间顺序验证，并用未参与选模的样本评估。</w:t>
      </w:r>
    </w:p>
    <w:p>
      <w:pPr>
        <w:pStyle w:val="Heading1"/>
        <w:keepNext/>
        <w:widowControl/>
        <w:spacing w:before="200" w:after="100"/>
      </w:pPr>
      <w:r>
        <w:rPr>
          <w:rFonts w:ascii="Arial" w:hAnsi="Arial" w:eastAsia="Arial Unicode MS"/>
          <w:b/>
          <w:color w:val="000000"/>
          <w:sz w:val="30"/>
          <w:u w:val="none"/>
        </w:rPr>
        <w:t>附录 复现说明</w:t>
      </w:r>
    </w:p>
    <w:p>
      <w:pPr>
        <w:keepLines/>
        <w:widowControl/>
        <w:spacing w:line="252" w:lineRule="auto" w:after="100"/>
      </w:pPr>
      <w:r>
        <w:rPr>
          <w:rFonts w:ascii="Arial" w:hAnsi="Arial" w:eastAsia="Arial Unicode MS"/>
          <w:sz w:val="20"/>
        </w:rPr>
        <w:t>项目目录保留数据、固定依赖、统一入口及 7 项自动化测试。在项目根目录运行 python run_pipeline.py --stage all 可执行完整流程；运行 python -m unittest discover -s tests -v 可检查特征目标对齐、时间边界和模型保存与加载。样例预测仅对应历史数据末端。</w:t>
      </w:r>
    </w:p>
    <w:sectPr w:rsidR="00EE0237" w:rsidRPr="00EE0237">
      <w:headerReference w:type="default" r:id="rId11"/>
      <w:footerReference w:type="default" r:id="rId12"/>
      <w:pgSz w:w="11906" w:h="16838"/>
      <w:pgMar w:top="1134" w:right="1304" w:bottom="1134" w:left="130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1E0DC5"/>
    <w:multiLevelType w:val="hybridMultilevel"/>
    <w:tmpl w:val="1786D9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6544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37"/>
    <w:rsid w:val="00233146"/>
    <w:rsid w:val="003E351D"/>
    <w:rsid w:val="004B749D"/>
    <w:rsid w:val="00620B01"/>
    <w:rsid w:val="00BA37BF"/>
    <w:rsid w:val="00C17A38"/>
    <w:rsid w:val="00EE0237"/>
    <w:rsid w:val="00F9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55264"/>
  <w15:chartTrackingRefBased/>
  <w15:docId w15:val="{1B2810A6-FDE3-0A49-8803-742B99E7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07" w:lineRule="auto" w:after="80"/>
    </w:pPr>
    <w:rPr>
      <w:rFonts w:ascii="Times New Roman" w:hAnsi="Times New Roman" w:eastAsia="Songti SC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237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Songti SC"/>
      <w:b/>
      <w:color w:val="000000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237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Songti SC"/>
      <w:b/>
      <w:color w:val="000000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237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Songti SC"/>
      <w:b/>
      <w:color w:val="000000"/>
      <w:spacing w:val="-10"/>
      <w:kern w:val="28"/>
      <w:sz w:val="3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HB81398@365mak.com</dc:creator>
  <cp:keywords/>
  <dc:description/>
  <cp:lastModifiedBy>HB81398@365mak.com</cp:lastModifiedBy>
  <cp:revision>1</cp:revision>
  <dcterms:created xsi:type="dcterms:W3CDTF">2026-10-13T01:02:00Z</dcterms:created>
  <dcterms:modified xsi:type="dcterms:W3CDTF">2026-10-13T01:18:00Z</dcterms:modified>
</cp:coreProperties>
</file>