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jc w:val="center"/>
      </w:pPr>
      <w:r>
        <w:t>基于 HAR RV 模型的标普 500 指数实现波动率预测</w:t>
      </w:r>
    </w:p>
    <w:p>
      <w:pPr>
        <w:spacing w:after="320"/>
        <w:jc w:val="center"/>
      </w:pPr>
      <w:r>
        <w:rPr>
          <w:rFonts w:ascii="Arial" w:hAnsi="Arial" w:eastAsia="Arial Unicode MS"/>
          <w:color w:val="505050"/>
          <w:sz w:val="22"/>
        </w:rPr>
        <w:t>数据特征与模型设定</w:t>
      </w:r>
    </w:p>
    <w:p>
      <w:pPr>
        <w:ind w:firstLine="420"/>
        <w:jc w:val="both"/>
      </w:pPr>
      <w:r>
        <w:rPr>
          <w:rFonts w:ascii="Times New Roman" w:hAnsi="Times New Roman" w:eastAsia="Arial Unicode MS"/>
          <w:sz w:val="22"/>
        </w:rPr>
        <w:t>本报告以标普 500 指数的日度实现波动率为预测对象，构建异质自回归实现波动率模型（HAR-RV），预测下一交易日的对数实现波动率。模型将日、周和月三个时间尺度的波动信息纳入统一回归框架，并按照时间顺序划分样本，以避免未来信息进入模型训练过程。本部分首先分析收益率的分布特征，随后说明模型的选择依据、变量定义和验证方案，并结合残差诊断与样本外检验说明 Lag2 特征的引入过程。</w:t>
      </w:r>
    </w:p>
    <w:p>
      <w:pPr>
        <w:pStyle w:val="Heading1"/>
      </w:pPr>
      <w:r>
        <w:t>1 数据与描述性统计</w:t>
      </w:r>
    </w:p>
    <w:p>
      <w:pPr>
        <w:ind w:firstLine="420"/>
        <w:jc w:val="both"/>
      </w:pPr>
      <w:r>
        <w:rPr>
          <w:rFonts w:ascii="Times New Roman" w:hAnsi="Times New Roman" w:eastAsia="Arial Unicode MS"/>
          <w:sz w:val="22"/>
        </w:rPr>
        <w:t>描述性统计仅使用训练期数据。样本覆盖标普 500 指数（.SPX）、道琼斯工业平均指数（.DJI）和罗素 2000 指数（.RUT）。三个指数均不存在无法用于实现方差计算的记录。</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33"/>
        <w:gridCol w:w="1033"/>
        <w:gridCol w:w="1033"/>
        <w:gridCol w:w="1033"/>
        <w:gridCol w:w="1033"/>
        <w:gridCol w:w="1033"/>
        <w:gridCol w:w="1033"/>
        <w:gridCol w:w="1033"/>
        <w:gridCol w:w="1033"/>
      </w:tblGrid>
      <w:tr>
        <w:tc>
          <w:tcPr>
            <w:tcW w:type="dxa" w:w="709"/>
            <w:vAlign w:val="center"/>
            <w:tcMar>
              <w:top w:w="80" w:type="dxa"/>
              <w:start w:w="80" w:type="dxa"/>
              <w:bottom w:w="80" w:type="dxa"/>
              <w:end w:w="80" w:type="dxa"/>
            </w:tcMar>
            <w:shd w:fill="1F4E78"/>
          </w:tcPr>
          <w:p>
            <w:pPr>
              <w:spacing w:after="0" w:line="252" w:lineRule="auto"/>
              <w:jc w:val="center"/>
            </w:pPr>
            <w:r>
              <w:rPr>
                <w:rFonts w:ascii="Arial" w:hAnsi="Arial" w:eastAsia="Arial Unicode MS"/>
                <w:b/>
                <w:color w:val="FFFFFF"/>
                <w:sz w:val="15"/>
              </w:rPr>
              <w:t>指数</w:t>
            </w:r>
          </w:p>
        </w:tc>
        <w:tc>
          <w:tcPr>
            <w:tcW w:type="dxa" w:w="765"/>
            <w:vAlign w:val="center"/>
            <w:tcMar>
              <w:top w:w="80" w:type="dxa"/>
              <w:start w:w="80" w:type="dxa"/>
              <w:bottom w:w="80" w:type="dxa"/>
              <w:end w:w="80" w:type="dxa"/>
            </w:tcMar>
            <w:shd w:fill="1F4E78"/>
          </w:tcPr>
          <w:p>
            <w:pPr>
              <w:spacing w:after="0" w:line="252" w:lineRule="auto"/>
              <w:jc w:val="center"/>
            </w:pPr>
            <w:r>
              <w:rPr>
                <w:rFonts w:ascii="Arial" w:hAnsi="Arial" w:eastAsia="Arial Unicode MS"/>
                <w:b/>
                <w:color w:val="FFFFFF"/>
                <w:sz w:val="15"/>
              </w:rPr>
              <w:t>样本数</w:t>
            </w:r>
          </w:p>
        </w:tc>
        <w:tc>
          <w:tcPr>
            <w:tcW w:type="dxa" w:w="822"/>
            <w:vAlign w:val="center"/>
            <w:tcMar>
              <w:top w:w="80" w:type="dxa"/>
              <w:start w:w="80" w:type="dxa"/>
              <w:bottom w:w="80" w:type="dxa"/>
              <w:end w:w="80" w:type="dxa"/>
            </w:tcMar>
            <w:shd w:fill="1F4E78"/>
          </w:tcPr>
          <w:p>
            <w:pPr>
              <w:spacing w:after="0" w:line="252" w:lineRule="auto"/>
              <w:jc w:val="center"/>
            </w:pPr>
            <w:r>
              <w:rPr>
                <w:rFonts w:ascii="Arial" w:hAnsi="Arial" w:eastAsia="Arial Unicode MS"/>
                <w:b/>
                <w:color w:val="FFFFFF"/>
                <w:sz w:val="15"/>
              </w:rPr>
              <w:t>收益率数</w:t>
            </w:r>
          </w:p>
        </w:tc>
        <w:tc>
          <w:tcPr>
            <w:tcW w:type="dxa" w:w="992"/>
            <w:vAlign w:val="center"/>
            <w:tcMar>
              <w:top w:w="80" w:type="dxa"/>
              <w:start w:w="80" w:type="dxa"/>
              <w:bottom w:w="80" w:type="dxa"/>
              <w:end w:w="80" w:type="dxa"/>
            </w:tcMar>
            <w:shd w:fill="1F4E78"/>
          </w:tcPr>
          <w:p>
            <w:pPr>
              <w:spacing w:after="0" w:line="252" w:lineRule="auto"/>
              <w:jc w:val="center"/>
            </w:pPr>
            <w:r>
              <w:rPr>
                <w:rFonts w:ascii="Arial" w:hAnsi="Arial" w:eastAsia="Arial Unicode MS"/>
                <w:b/>
                <w:color w:val="FFFFFF"/>
                <w:sz w:val="15"/>
              </w:rPr>
              <w:t>均值</w:t>
            </w:r>
          </w:p>
        </w:tc>
        <w:tc>
          <w:tcPr>
            <w:tcW w:type="dxa" w:w="935"/>
            <w:vAlign w:val="center"/>
            <w:tcMar>
              <w:top w:w="80" w:type="dxa"/>
              <w:start w:w="80" w:type="dxa"/>
              <w:bottom w:w="80" w:type="dxa"/>
              <w:end w:w="80" w:type="dxa"/>
            </w:tcMar>
            <w:shd w:fill="1F4E78"/>
          </w:tcPr>
          <w:p>
            <w:pPr>
              <w:spacing w:after="0" w:line="252" w:lineRule="auto"/>
              <w:jc w:val="center"/>
            </w:pPr>
            <w:r>
              <w:rPr>
                <w:rFonts w:ascii="Arial" w:hAnsi="Arial" w:eastAsia="Arial Unicode MS"/>
                <w:b/>
                <w:color w:val="FFFFFF"/>
                <w:sz w:val="15"/>
              </w:rPr>
              <w:t>标准差</w:t>
            </w:r>
          </w:p>
        </w:tc>
        <w:tc>
          <w:tcPr>
            <w:tcW w:type="dxa" w:w="850"/>
            <w:vAlign w:val="center"/>
            <w:tcMar>
              <w:top w:w="80" w:type="dxa"/>
              <w:start w:w="80" w:type="dxa"/>
              <w:bottom w:w="80" w:type="dxa"/>
              <w:end w:w="80" w:type="dxa"/>
            </w:tcMar>
            <w:shd w:fill="1F4E78"/>
          </w:tcPr>
          <w:p>
            <w:pPr>
              <w:spacing w:after="0" w:line="252" w:lineRule="auto"/>
              <w:jc w:val="center"/>
            </w:pPr>
            <w:r>
              <w:rPr>
                <w:rFonts w:ascii="Arial" w:hAnsi="Arial" w:eastAsia="Arial Unicode MS"/>
                <w:b/>
                <w:color w:val="FFFFFF"/>
                <w:sz w:val="15"/>
              </w:rPr>
              <w:t>偏度</w:t>
            </w:r>
          </w:p>
        </w:tc>
        <w:tc>
          <w:tcPr>
            <w:tcW w:type="dxa" w:w="935"/>
            <w:vAlign w:val="center"/>
            <w:tcMar>
              <w:top w:w="80" w:type="dxa"/>
              <w:start w:w="80" w:type="dxa"/>
              <w:bottom w:w="80" w:type="dxa"/>
              <w:end w:w="80" w:type="dxa"/>
            </w:tcMar>
            <w:shd w:fill="1F4E78"/>
          </w:tcPr>
          <w:p>
            <w:pPr>
              <w:spacing w:after="0" w:line="252" w:lineRule="auto"/>
              <w:jc w:val="center"/>
            </w:pPr>
            <w:r>
              <w:rPr>
                <w:rFonts w:ascii="Arial" w:hAnsi="Arial" w:eastAsia="Arial Unicode MS"/>
                <w:b/>
                <w:color w:val="FFFFFF"/>
                <w:sz w:val="15"/>
              </w:rPr>
              <w:t>超额峰度</w:t>
            </w:r>
          </w:p>
        </w:tc>
        <w:tc>
          <w:tcPr>
            <w:tcW w:type="dxa" w:w="1020"/>
            <w:vAlign w:val="center"/>
            <w:tcMar>
              <w:top w:w="80" w:type="dxa"/>
              <w:start w:w="80" w:type="dxa"/>
              <w:bottom w:w="80" w:type="dxa"/>
              <w:end w:w="80" w:type="dxa"/>
            </w:tcMar>
            <w:shd w:fill="1F4E78"/>
          </w:tcPr>
          <w:p>
            <w:pPr>
              <w:spacing w:after="0" w:line="252" w:lineRule="auto"/>
              <w:jc w:val="center"/>
            </w:pPr>
            <w:r>
              <w:rPr>
                <w:rFonts w:ascii="Arial" w:hAnsi="Arial" w:eastAsia="Arial Unicode MS"/>
                <w:b/>
                <w:color w:val="FFFFFF"/>
                <w:sz w:val="15"/>
              </w:rPr>
              <w:t>平均 RV5</w:t>
            </w:r>
          </w:p>
        </w:tc>
        <w:tc>
          <w:tcPr>
            <w:tcW w:type="dxa" w:w="879"/>
            <w:vAlign w:val="center"/>
            <w:tcMar>
              <w:top w:w="80" w:type="dxa"/>
              <w:start w:w="80" w:type="dxa"/>
              <w:bottom w:w="80" w:type="dxa"/>
              <w:end w:w="80" w:type="dxa"/>
            </w:tcMar>
            <w:shd w:fill="1F4E78"/>
          </w:tcPr>
          <w:p>
            <w:pPr>
              <w:spacing w:after="0" w:line="252" w:lineRule="auto"/>
              <w:jc w:val="center"/>
            </w:pPr>
            <w:r>
              <w:rPr>
                <w:rFonts w:ascii="Arial" w:hAnsi="Arial" w:eastAsia="Arial Unicode MS"/>
                <w:b/>
                <w:color w:val="FFFFFF"/>
                <w:sz w:val="15"/>
              </w:rPr>
              <w:t>无效 RV5</w:t>
            </w:r>
          </w:p>
        </w:tc>
      </w:tr>
      <w:tr>
        <w:tc>
          <w:tcPr>
            <w:tcW w:type="dxa" w:w="709"/>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5"/>
              </w:rPr>
              <w:t>.SPX</w:t>
            </w:r>
          </w:p>
        </w:tc>
        <w:tc>
          <w:tcPr>
            <w:tcW w:type="dxa" w:w="765"/>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5"/>
              </w:rPr>
              <w:t>2,791</w:t>
            </w:r>
          </w:p>
        </w:tc>
        <w:tc>
          <w:tcPr>
            <w:tcW w:type="dxa" w:w="822"/>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5"/>
              </w:rPr>
              <w:t>2,791</w:t>
            </w:r>
          </w:p>
        </w:tc>
        <w:tc>
          <w:tcPr>
            <w:tcW w:type="dxa" w:w="992"/>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5"/>
              </w:rPr>
              <w:t>-0.000036</w:t>
            </w:r>
          </w:p>
        </w:tc>
        <w:tc>
          <w:tcPr>
            <w:tcW w:type="dxa" w:w="935"/>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5"/>
              </w:rPr>
              <w:t>0.012895</w:t>
            </w:r>
          </w:p>
        </w:tc>
        <w:tc>
          <w:tcPr>
            <w:tcW w:type="dxa" w:w="850"/>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5"/>
              </w:rPr>
              <w:t>-0.090205</w:t>
            </w:r>
          </w:p>
        </w:tc>
        <w:tc>
          <w:tcPr>
            <w:tcW w:type="dxa" w:w="935"/>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5"/>
              </w:rPr>
              <w:t>7.370035</w:t>
            </w:r>
          </w:p>
        </w:tc>
        <w:tc>
          <w:tcPr>
            <w:tcW w:type="dxa" w:w="1020"/>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5"/>
              </w:rPr>
              <w:t>0.000139</w:t>
            </w:r>
          </w:p>
        </w:tc>
        <w:tc>
          <w:tcPr>
            <w:tcW w:type="dxa" w:w="879"/>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5"/>
              </w:rPr>
              <w:t>0</w:t>
            </w:r>
          </w:p>
        </w:tc>
      </w:tr>
      <w:tr>
        <w:tc>
          <w:tcPr>
            <w:tcW w:type="dxa" w:w="709"/>
            <w:vAlign w:val="center"/>
            <w:tcMar>
              <w:top w:w="80" w:type="dxa"/>
              <w:start w:w="80" w:type="dxa"/>
              <w:bottom w:w="80" w:type="dxa"/>
              <w:end w:w="80" w:type="dxa"/>
            </w:tcMar>
            <w:shd w:fill="EAF2F8"/>
          </w:tcPr>
          <w:p>
            <w:pPr>
              <w:spacing w:after="0" w:line="252" w:lineRule="auto"/>
              <w:jc w:val="center"/>
            </w:pPr>
            <w:r>
              <w:rPr>
                <w:rFonts w:ascii="Arial" w:hAnsi="Arial" w:eastAsia="Arial Unicode MS"/>
                <w:b w:val="0"/>
                <w:color w:val="000000"/>
                <w:sz w:val="15"/>
              </w:rPr>
              <w:t>.DJI</w:t>
            </w:r>
          </w:p>
        </w:tc>
        <w:tc>
          <w:tcPr>
            <w:tcW w:type="dxa" w:w="765"/>
            <w:vAlign w:val="center"/>
            <w:tcMar>
              <w:top w:w="80" w:type="dxa"/>
              <w:start w:w="80" w:type="dxa"/>
              <w:bottom w:w="80" w:type="dxa"/>
              <w:end w:w="80" w:type="dxa"/>
            </w:tcMar>
            <w:shd w:fill="EAF2F8"/>
          </w:tcPr>
          <w:p>
            <w:pPr>
              <w:spacing w:after="0" w:line="252" w:lineRule="auto"/>
              <w:jc w:val="center"/>
            </w:pPr>
            <w:r>
              <w:rPr>
                <w:rFonts w:ascii="Arial" w:hAnsi="Arial" w:eastAsia="Arial Unicode MS"/>
                <w:b w:val="0"/>
                <w:color w:val="000000"/>
                <w:sz w:val="15"/>
              </w:rPr>
              <w:t>2,790</w:t>
            </w:r>
          </w:p>
        </w:tc>
        <w:tc>
          <w:tcPr>
            <w:tcW w:type="dxa" w:w="822"/>
            <w:vAlign w:val="center"/>
            <w:tcMar>
              <w:top w:w="80" w:type="dxa"/>
              <w:start w:w="80" w:type="dxa"/>
              <w:bottom w:w="80" w:type="dxa"/>
              <w:end w:w="80" w:type="dxa"/>
            </w:tcMar>
            <w:shd w:fill="EAF2F8"/>
          </w:tcPr>
          <w:p>
            <w:pPr>
              <w:spacing w:after="0" w:line="252" w:lineRule="auto"/>
              <w:jc w:val="center"/>
            </w:pPr>
            <w:r>
              <w:rPr>
                <w:rFonts w:ascii="Arial" w:hAnsi="Arial" w:eastAsia="Arial Unicode MS"/>
                <w:b w:val="0"/>
                <w:color w:val="000000"/>
                <w:sz w:val="15"/>
              </w:rPr>
              <w:t>2,790</w:t>
            </w:r>
          </w:p>
        </w:tc>
        <w:tc>
          <w:tcPr>
            <w:tcW w:type="dxa" w:w="992"/>
            <w:vAlign w:val="center"/>
            <w:tcMar>
              <w:top w:w="80" w:type="dxa"/>
              <w:start w:w="80" w:type="dxa"/>
              <w:bottom w:w="80" w:type="dxa"/>
              <w:end w:w="80" w:type="dxa"/>
            </w:tcMar>
            <w:shd w:fill="EAF2F8"/>
          </w:tcPr>
          <w:p>
            <w:pPr>
              <w:spacing w:after="0" w:line="252" w:lineRule="auto"/>
              <w:jc w:val="center"/>
            </w:pPr>
            <w:r>
              <w:rPr>
                <w:rFonts w:ascii="Arial" w:hAnsi="Arial" w:eastAsia="Arial Unicode MS"/>
                <w:b w:val="0"/>
                <w:color w:val="000000"/>
                <w:sz w:val="15"/>
              </w:rPr>
              <w:t>0.000144</w:t>
            </w:r>
          </w:p>
        </w:tc>
        <w:tc>
          <w:tcPr>
            <w:tcW w:type="dxa" w:w="935"/>
            <w:vAlign w:val="center"/>
            <w:tcMar>
              <w:top w:w="80" w:type="dxa"/>
              <w:start w:w="80" w:type="dxa"/>
              <w:bottom w:w="80" w:type="dxa"/>
              <w:end w:w="80" w:type="dxa"/>
            </w:tcMar>
            <w:shd w:fill="EAF2F8"/>
          </w:tcPr>
          <w:p>
            <w:pPr>
              <w:spacing w:after="0" w:line="252" w:lineRule="auto"/>
              <w:jc w:val="center"/>
            </w:pPr>
            <w:r>
              <w:rPr>
                <w:rFonts w:ascii="Arial" w:hAnsi="Arial" w:eastAsia="Arial Unicode MS"/>
                <w:b w:val="0"/>
                <w:color w:val="000000"/>
                <w:sz w:val="15"/>
              </w:rPr>
              <w:t>0.012617</w:t>
            </w:r>
          </w:p>
        </w:tc>
        <w:tc>
          <w:tcPr>
            <w:tcW w:type="dxa" w:w="850"/>
            <w:vAlign w:val="center"/>
            <w:tcMar>
              <w:top w:w="80" w:type="dxa"/>
              <w:start w:w="80" w:type="dxa"/>
              <w:bottom w:w="80" w:type="dxa"/>
              <w:end w:w="80" w:type="dxa"/>
            </w:tcMar>
            <w:shd w:fill="EAF2F8"/>
          </w:tcPr>
          <w:p>
            <w:pPr>
              <w:spacing w:after="0" w:line="252" w:lineRule="auto"/>
              <w:jc w:val="center"/>
            </w:pPr>
            <w:r>
              <w:rPr>
                <w:rFonts w:ascii="Arial" w:hAnsi="Arial" w:eastAsia="Arial Unicode MS"/>
                <w:b w:val="0"/>
                <w:color w:val="000000"/>
                <w:sz w:val="15"/>
              </w:rPr>
              <w:t>0.073539</w:t>
            </w:r>
          </w:p>
        </w:tc>
        <w:tc>
          <w:tcPr>
            <w:tcW w:type="dxa" w:w="935"/>
            <w:vAlign w:val="center"/>
            <w:tcMar>
              <w:top w:w="80" w:type="dxa"/>
              <w:start w:w="80" w:type="dxa"/>
              <w:bottom w:w="80" w:type="dxa"/>
              <w:end w:w="80" w:type="dxa"/>
            </w:tcMar>
            <w:shd w:fill="EAF2F8"/>
          </w:tcPr>
          <w:p>
            <w:pPr>
              <w:spacing w:after="0" w:line="252" w:lineRule="auto"/>
              <w:jc w:val="center"/>
            </w:pPr>
            <w:r>
              <w:rPr>
                <w:rFonts w:ascii="Arial" w:hAnsi="Arial" w:eastAsia="Arial Unicode MS"/>
                <w:b w:val="0"/>
                <w:color w:val="000000"/>
                <w:sz w:val="15"/>
              </w:rPr>
              <w:t>7.779407</w:t>
            </w:r>
          </w:p>
        </w:tc>
        <w:tc>
          <w:tcPr>
            <w:tcW w:type="dxa" w:w="1020"/>
            <w:vAlign w:val="center"/>
            <w:tcMar>
              <w:top w:w="80" w:type="dxa"/>
              <w:start w:w="80" w:type="dxa"/>
              <w:bottom w:w="80" w:type="dxa"/>
              <w:end w:w="80" w:type="dxa"/>
            </w:tcMar>
            <w:shd w:fill="EAF2F8"/>
          </w:tcPr>
          <w:p>
            <w:pPr>
              <w:spacing w:after="0" w:line="252" w:lineRule="auto"/>
              <w:jc w:val="center"/>
            </w:pPr>
            <w:r>
              <w:rPr>
                <w:rFonts w:ascii="Arial" w:hAnsi="Arial" w:eastAsia="Arial Unicode MS"/>
                <w:b w:val="0"/>
                <w:color w:val="000000"/>
                <w:sz w:val="15"/>
              </w:rPr>
              <w:t>0.000141</w:t>
            </w:r>
          </w:p>
        </w:tc>
        <w:tc>
          <w:tcPr>
            <w:tcW w:type="dxa" w:w="879"/>
            <w:vAlign w:val="center"/>
            <w:tcMar>
              <w:top w:w="80" w:type="dxa"/>
              <w:start w:w="80" w:type="dxa"/>
              <w:bottom w:w="80" w:type="dxa"/>
              <w:end w:w="80" w:type="dxa"/>
            </w:tcMar>
            <w:shd w:fill="EAF2F8"/>
          </w:tcPr>
          <w:p>
            <w:pPr>
              <w:spacing w:after="0" w:line="252" w:lineRule="auto"/>
              <w:jc w:val="center"/>
            </w:pPr>
            <w:r>
              <w:rPr>
                <w:rFonts w:ascii="Arial" w:hAnsi="Arial" w:eastAsia="Arial Unicode MS"/>
                <w:b w:val="0"/>
                <w:color w:val="000000"/>
                <w:sz w:val="15"/>
              </w:rPr>
              <w:t>0</w:t>
            </w:r>
          </w:p>
        </w:tc>
      </w:tr>
      <w:tr>
        <w:tc>
          <w:tcPr>
            <w:tcW w:type="dxa" w:w="709"/>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5"/>
              </w:rPr>
              <w:t>.RUT</w:t>
            </w:r>
          </w:p>
        </w:tc>
        <w:tc>
          <w:tcPr>
            <w:tcW w:type="dxa" w:w="765"/>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5"/>
              </w:rPr>
              <w:t>2,789</w:t>
            </w:r>
          </w:p>
        </w:tc>
        <w:tc>
          <w:tcPr>
            <w:tcW w:type="dxa" w:w="822"/>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5"/>
              </w:rPr>
              <w:t>2,789</w:t>
            </w:r>
          </w:p>
        </w:tc>
        <w:tc>
          <w:tcPr>
            <w:tcW w:type="dxa" w:w="992"/>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5"/>
              </w:rPr>
              <w:t>0.000640</w:t>
            </w:r>
          </w:p>
        </w:tc>
        <w:tc>
          <w:tcPr>
            <w:tcW w:type="dxa" w:w="935"/>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5"/>
              </w:rPr>
              <w:t>0.012390</w:t>
            </w:r>
          </w:p>
        </w:tc>
        <w:tc>
          <w:tcPr>
            <w:tcW w:type="dxa" w:w="850"/>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5"/>
              </w:rPr>
              <w:t>-0.113599</w:t>
            </w:r>
          </w:p>
        </w:tc>
        <w:tc>
          <w:tcPr>
            <w:tcW w:type="dxa" w:w="935"/>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5"/>
              </w:rPr>
              <w:t>5.523270</w:t>
            </w:r>
          </w:p>
        </w:tc>
        <w:tc>
          <w:tcPr>
            <w:tcW w:type="dxa" w:w="1020"/>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5"/>
              </w:rPr>
              <w:t>0.000078</w:t>
            </w:r>
          </w:p>
        </w:tc>
        <w:tc>
          <w:tcPr>
            <w:tcW w:type="dxa" w:w="879"/>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5"/>
              </w:rPr>
              <w:t>0</w:t>
            </w:r>
          </w:p>
        </w:tc>
      </w:tr>
    </w:tbl>
    <w:p>
      <w:pPr>
        <w:spacing w:before="80" w:after="120"/>
        <w:jc w:val="center"/>
      </w:pPr>
      <w:r>
        <w:rPr>
          <w:rFonts w:ascii="Times New Roman" w:hAnsi="Times New Roman" w:eastAsia="Arial Unicode MS"/>
          <w:sz w:val="18"/>
        </w:rPr>
        <w:t>表 1 训练期收益率与实现方差描述性统计</w:t>
      </w:r>
    </w:p>
    <w:p>
      <w:pPr>
        <w:ind w:firstLine="420"/>
        <w:jc w:val="both"/>
      </w:pPr>
      <w:r>
        <w:rPr>
          <w:rFonts w:ascii="Times New Roman" w:hAnsi="Times New Roman" w:eastAsia="Arial Unicode MS"/>
          <w:sz w:val="22"/>
        </w:rPr>
        <w:t>三个指数的日收益率均值均接近零，偏度绝对值均小于 0.12，说明收益率分布整体接近对称。然而，超额峰度介于 5.52 和 7.78 之间，显著高于正态分布的理论值 0。这表明样本分布具有尖峰厚尾特征，极端收益出现的频率高于正态分布假设下的预期。</w:t>
      </w:r>
    </w:p>
    <w:p>
      <w:pPr>
        <w:spacing w:before="80" w:after="40"/>
        <w:jc w:val="center"/>
      </w:pPr>
      <w:r>
        <w:drawing>
          <wp:inline xmlns:a="http://schemas.openxmlformats.org/drawingml/2006/main" xmlns:pic="http://schemas.openxmlformats.org/drawingml/2006/picture">
            <wp:extent cx="4160520" cy="2741277"/>
            <wp:docPr id="1" name="Picture 1" descr="标普500指数训练期收益率正态Q-Q图"/>
            <wp:cNvGraphicFramePr>
              <a:graphicFrameLocks noChangeAspect="1"/>
            </wp:cNvGraphicFramePr>
            <a:graphic>
              <a:graphicData uri="http://schemas.openxmlformats.org/drawingml/2006/picture">
                <pic:pic>
                  <pic:nvPicPr>
                    <pic:cNvPr id="0" name="report_demo1_qq_cropped.png"/>
                    <pic:cNvPicPr/>
                  </pic:nvPicPr>
                  <pic:blipFill>
                    <a:blip r:embed="rId8"/>
                    <a:stretch>
                      <a:fillRect/>
                    </a:stretch>
                  </pic:blipFill>
                  <pic:spPr>
                    <a:xfrm>
                      <a:off x="0" y="0"/>
                      <a:ext cx="4160520" cy="2741277"/>
                    </a:xfrm>
                    <a:prstGeom prst="rect"/>
                  </pic:spPr>
                </pic:pic>
              </a:graphicData>
            </a:graphic>
          </wp:inline>
        </w:drawing>
      </w:r>
    </w:p>
    <w:p>
      <w:pPr>
        <w:spacing w:before="80" w:after="120"/>
        <w:jc w:val="center"/>
      </w:pPr>
      <w:r>
        <w:rPr>
          <w:rFonts w:ascii="Times New Roman" w:hAnsi="Times New Roman" w:eastAsia="Arial Unicode MS"/>
          <w:sz w:val="18"/>
        </w:rPr>
        <w:t>图 1 标普 500 指数训练期收益率正态 Q Q 图</w:t>
      </w:r>
    </w:p>
    <w:p>
      <w:pPr>
        <w:ind w:firstLine="420"/>
        <w:jc w:val="both"/>
      </w:pPr>
      <w:r>
        <w:rPr>
          <w:rFonts w:ascii="Times New Roman" w:hAnsi="Times New Roman" w:eastAsia="Arial Unicode MS"/>
          <w:sz w:val="22"/>
        </w:rPr>
        <w:t>Q-Q 图进一步支持上述判断。分布中部的样本点大致贴近正态参考线，但两端出现系统性偏离，说明正负极端收益均比正态分布预测得更频繁。因此，后续模型评估不应仅依赖正态误差假设，还需结合样本外预测误差和残差诊断判断模型有效性。</w:t>
      </w:r>
    </w:p>
    <w:p>
      <w:pPr>
        <w:pStyle w:val="Heading1"/>
      </w:pPr>
      <w:r>
        <w:t>2 HAR RV 模型设定</w:t>
      </w:r>
    </w:p>
    <w:p>
      <w:pPr>
        <w:ind w:firstLine="420"/>
        <w:jc w:val="both"/>
      </w:pPr>
      <w:r>
        <w:rPr>
          <w:rFonts w:ascii="Times New Roman" w:hAnsi="Times New Roman" w:eastAsia="Arial Unicode MS"/>
          <w:sz w:val="22"/>
        </w:rPr>
        <w:t>选择 HAR-RV 模型的主要依据是实现波动率具有显著的持续性，并且不同市场参与者可能在不同时间尺度上形成交易和风险管理决策。HAR-RV 通过日、周和月三个波动分量近似这种异质性。需要强调的是，该模型并非用于直接消除收益率的厚尾，而是用于刻画和预测实现波动率的动态变化。</w:t>
      </w:r>
    </w:p>
    <w:p>
      <w:pPr>
        <w:ind w:firstLine="420"/>
        <w:jc w:val="both"/>
      </w:pPr>
      <w:r>
        <w:rPr>
          <w:rFonts w:ascii="Times New Roman" w:hAnsi="Times New Roman" w:eastAsia="Arial Unicode MS"/>
          <w:sz w:val="22"/>
        </w:rPr>
        <w:t>为减小波动率尺度差异并提高回归关系的稳定性，模型采用对数实现波动率。用于预测下一交易日波动率的基本形式为：</w:t>
      </w:r>
    </w:p>
    <w:p>
      <w:pPr>
        <w:spacing w:before="120" w:after="160"/>
        <w:jc w:val="center"/>
      </w:pPr>
      <m:oMathPara>
        <m:oMathParaPr>
          <m:jc m:val="center"/>
        </m:oMathParaPr>
        <m:oMath>
          <m:sSub>
            <m:sSubPr/>
            <m:e>
              <m:r>
                <m:t>log RV</m:t>
              </m:r>
            </m:e>
            <m:sub>
              <m:r>
                <m:t>t+1</m:t>
              </m:r>
            </m:sub>
          </m:sSub>
          <m:r>
            <m:t> = </m:t>
          </m:r>
          <m:sSub>
            <m:sSubPr/>
            <m:e>
              <m:r>
                <m:t>β</m:t>
              </m:r>
            </m:e>
            <m:sub>
              <m:r>
                <m:t>0</m:t>
              </m:r>
            </m:sub>
          </m:sSub>
          <m:r>
            <m:t> + </m:t>
          </m:r>
          <m:sSub>
            <m:sSubPr/>
            <m:e>
              <m:r>
                <m:t>β</m:t>
              </m:r>
            </m:e>
            <m:sub>
              <m:r>
                <m:t>d</m:t>
              </m:r>
            </m:sub>
          </m:sSub>
          <m:r>
            <m:t> </m:t>
          </m:r>
          <m:sSubSup>
            <m:sSubSupPr/>
            <m:e>
              <m:r>
                <m:t>log RV</m:t>
              </m:r>
            </m:e>
            <m:sub>
              <m:r>
                <m:t>t</m:t>
              </m:r>
            </m:sub>
            <m:sup>
              <m:r>
                <m:t>d</m:t>
              </m:r>
            </m:sup>
          </m:sSubSup>
          <m:r>
            <m:t> + </m:t>
          </m:r>
          <m:sSub>
            <m:sSubPr/>
            <m:e>
              <m:r>
                <m:t>β</m:t>
              </m:r>
            </m:e>
            <m:sub>
              <m:r>
                <m:t>w</m:t>
              </m:r>
            </m:sub>
          </m:sSub>
          <m:r>
            <m:t> </m:t>
          </m:r>
          <m:sSubSup>
            <m:sSubSupPr/>
            <m:e>
              <m:r>
                <m:t>log RV</m:t>
              </m:r>
            </m:e>
            <m:sub>
              <m:r>
                <m:t>t</m:t>
              </m:r>
            </m:sub>
            <m:sup>
              <m:r>
                <m:t>w</m:t>
              </m:r>
            </m:sup>
          </m:sSubSup>
          <m:r>
            <m:t> + </m:t>
          </m:r>
          <m:sSub>
            <m:sSubPr/>
            <m:e>
              <m:r>
                <m:t>β</m:t>
              </m:r>
            </m:e>
            <m:sub>
              <m:r>
                <m:t>m</m:t>
              </m:r>
            </m:sub>
          </m:sSub>
          <m:r>
            <m:t> </m:t>
          </m:r>
          <m:sSubSup>
            <m:sSubSupPr/>
            <m:e>
              <m:r>
                <m:t>log RV</m:t>
              </m:r>
            </m:e>
            <m:sub>
              <m:r>
                <m:t>t</m:t>
              </m:r>
            </m:sub>
            <m:sup>
              <m:r>
                <m:t>m</m:t>
              </m:r>
            </m:sup>
          </m:sSubSup>
          <m:r>
            <m:t> + </m:t>
          </m:r>
          <m:sSub>
            <m:sSubPr/>
            <m:e>
              <m:r>
                <m:t>ε</m:t>
              </m:r>
            </m:e>
            <m:sub>
              <m:r>
                <m:t>t+1</m:t>
              </m:r>
            </m:sub>
          </m:sSub>
        </m:oMath>
      </m:oMathPara>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99"/>
        <w:gridCol w:w="3099"/>
        <w:gridCol w:w="3099"/>
      </w:tblGrid>
      <w:tr>
        <w:tc>
          <w:tcPr>
            <w:tcW w:type="dxa" w:w="1814"/>
            <w:vAlign w:val="center"/>
            <w:tcMar>
              <w:top w:w="80" w:type="dxa"/>
              <w:start w:w="80" w:type="dxa"/>
              <w:bottom w:w="80" w:type="dxa"/>
              <w:end w:w="80" w:type="dxa"/>
            </w:tcMar>
            <w:shd w:fill="404040"/>
          </w:tcPr>
          <w:p>
            <w:pPr>
              <w:spacing w:after="0" w:line="252" w:lineRule="auto"/>
              <w:jc w:val="center"/>
            </w:pPr>
            <w:r>
              <w:rPr>
                <w:rFonts w:ascii="Arial" w:hAnsi="Arial" w:eastAsia="Arial Unicode MS"/>
                <w:b/>
                <w:color w:val="FFFFFF"/>
                <w:sz w:val="18"/>
              </w:rPr>
              <w:t>变量</w:t>
            </w:r>
          </w:p>
        </w:tc>
        <w:tc>
          <w:tcPr>
            <w:tcW w:type="dxa" w:w="1701"/>
            <w:vAlign w:val="center"/>
            <w:tcMar>
              <w:top w:w="80" w:type="dxa"/>
              <w:start w:w="80" w:type="dxa"/>
              <w:bottom w:w="80" w:type="dxa"/>
              <w:end w:w="80" w:type="dxa"/>
            </w:tcMar>
            <w:shd w:fill="404040"/>
          </w:tcPr>
          <w:p>
            <w:pPr>
              <w:spacing w:after="0" w:line="252" w:lineRule="auto"/>
              <w:jc w:val="center"/>
            </w:pPr>
            <w:r>
              <w:rPr>
                <w:rFonts w:ascii="Arial" w:hAnsi="Arial" w:eastAsia="Arial Unicode MS"/>
                <w:b/>
                <w:color w:val="FFFFFF"/>
                <w:sz w:val="18"/>
              </w:rPr>
              <w:t>时间尺度</w:t>
            </w:r>
          </w:p>
        </w:tc>
        <w:tc>
          <w:tcPr>
            <w:tcW w:type="dxa" w:w="5102"/>
            <w:vAlign w:val="center"/>
            <w:tcMar>
              <w:top w:w="80" w:type="dxa"/>
              <w:start w:w="80" w:type="dxa"/>
              <w:bottom w:w="80" w:type="dxa"/>
              <w:end w:w="80" w:type="dxa"/>
            </w:tcMar>
            <w:shd w:fill="404040"/>
          </w:tcPr>
          <w:p>
            <w:pPr>
              <w:spacing w:after="0" w:line="252" w:lineRule="auto"/>
              <w:jc w:val="center"/>
            </w:pPr>
            <w:r>
              <w:rPr>
                <w:rFonts w:ascii="Arial" w:hAnsi="Arial" w:eastAsia="Arial Unicode MS"/>
                <w:b/>
                <w:color w:val="FFFFFF"/>
                <w:sz w:val="18"/>
              </w:rPr>
              <w:t>定义</w:t>
            </w:r>
          </w:p>
        </w:tc>
      </w:tr>
      <w:tr>
        <w:tc>
          <w:tcPr>
            <w:tcW w:type="dxa" w:w="1814"/>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8"/>
              </w:rPr>
              <w:t>log RV(d)</w:t>
            </w:r>
          </w:p>
        </w:tc>
        <w:tc>
          <w:tcPr>
            <w:tcW w:type="dxa" w:w="1701"/>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8"/>
              </w:rPr>
              <w:t>日度</w:t>
            </w:r>
          </w:p>
        </w:tc>
        <w:tc>
          <w:tcPr>
            <w:tcW w:type="dxa" w:w="5102"/>
            <w:vAlign w:val="center"/>
            <w:tcMar>
              <w:top w:w="80" w:type="dxa"/>
              <w:start w:w="80" w:type="dxa"/>
              <w:bottom w:w="80" w:type="dxa"/>
              <w:end w:w="80" w:type="dxa"/>
            </w:tcMar>
          </w:tcPr>
          <w:p>
            <w:pPr>
              <w:spacing w:after="0" w:line="252" w:lineRule="auto"/>
              <w:jc w:val="left"/>
            </w:pPr>
            <w:r>
              <w:rPr>
                <w:rFonts w:ascii="Arial" w:hAnsi="Arial" w:eastAsia="Arial Unicode MS"/>
                <w:b w:val="0"/>
                <w:color w:val="000000"/>
                <w:sz w:val="18"/>
              </w:rPr>
              <w:t>当日实现方差的对数</w:t>
            </w:r>
          </w:p>
        </w:tc>
      </w:tr>
      <w:tr>
        <w:tc>
          <w:tcPr>
            <w:tcW w:type="dxa" w:w="1814"/>
            <w:vAlign w:val="center"/>
            <w:tcMar>
              <w:top w:w="80" w:type="dxa"/>
              <w:start w:w="80" w:type="dxa"/>
              <w:bottom w:w="80" w:type="dxa"/>
              <w:end w:w="80" w:type="dxa"/>
            </w:tcMar>
            <w:shd w:fill="EAF2F8"/>
          </w:tcPr>
          <w:p>
            <w:pPr>
              <w:spacing w:after="0" w:line="252" w:lineRule="auto"/>
              <w:jc w:val="center"/>
            </w:pPr>
            <w:r>
              <w:rPr>
                <w:rFonts w:ascii="Arial" w:hAnsi="Arial" w:eastAsia="Arial Unicode MS"/>
                <w:b w:val="0"/>
                <w:color w:val="000000"/>
                <w:sz w:val="18"/>
              </w:rPr>
              <w:t>log RV(w)</w:t>
            </w:r>
          </w:p>
        </w:tc>
        <w:tc>
          <w:tcPr>
            <w:tcW w:type="dxa" w:w="1701"/>
            <w:vAlign w:val="center"/>
            <w:tcMar>
              <w:top w:w="80" w:type="dxa"/>
              <w:start w:w="80" w:type="dxa"/>
              <w:bottom w:w="80" w:type="dxa"/>
              <w:end w:w="80" w:type="dxa"/>
            </w:tcMar>
            <w:shd w:fill="EAF2F8"/>
          </w:tcPr>
          <w:p>
            <w:pPr>
              <w:spacing w:after="0" w:line="252" w:lineRule="auto"/>
              <w:jc w:val="center"/>
            </w:pPr>
            <w:r>
              <w:rPr>
                <w:rFonts w:ascii="Arial" w:hAnsi="Arial" w:eastAsia="Arial Unicode MS"/>
                <w:b w:val="0"/>
                <w:color w:val="000000"/>
                <w:sz w:val="18"/>
              </w:rPr>
              <w:t>周度</w:t>
            </w:r>
          </w:p>
        </w:tc>
        <w:tc>
          <w:tcPr>
            <w:tcW w:type="dxa" w:w="5102"/>
            <w:vAlign w:val="center"/>
            <w:tcMar>
              <w:top w:w="80" w:type="dxa"/>
              <w:start w:w="80" w:type="dxa"/>
              <w:bottom w:w="80" w:type="dxa"/>
              <w:end w:w="80" w:type="dxa"/>
            </w:tcMar>
            <w:shd w:fill="EAF2F8"/>
          </w:tcPr>
          <w:p>
            <w:pPr>
              <w:spacing w:after="0" w:line="252" w:lineRule="auto"/>
              <w:jc w:val="left"/>
            </w:pPr>
            <w:r>
              <w:rPr>
                <w:rFonts w:ascii="Arial" w:hAnsi="Arial" w:eastAsia="Arial Unicode MS"/>
                <w:b w:val="0"/>
                <w:color w:val="000000"/>
                <w:sz w:val="18"/>
              </w:rPr>
              <w:t>最近 5 个交易日平均实现方差的对数</w:t>
            </w:r>
          </w:p>
        </w:tc>
      </w:tr>
      <w:tr>
        <w:tc>
          <w:tcPr>
            <w:tcW w:type="dxa" w:w="1814"/>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8"/>
              </w:rPr>
              <w:t>log RV(m)</w:t>
            </w:r>
          </w:p>
        </w:tc>
        <w:tc>
          <w:tcPr>
            <w:tcW w:type="dxa" w:w="1701"/>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8"/>
              </w:rPr>
              <w:t>月度</w:t>
            </w:r>
          </w:p>
        </w:tc>
        <w:tc>
          <w:tcPr>
            <w:tcW w:type="dxa" w:w="5102"/>
            <w:vAlign w:val="center"/>
            <w:tcMar>
              <w:top w:w="80" w:type="dxa"/>
              <w:start w:w="80" w:type="dxa"/>
              <w:bottom w:w="80" w:type="dxa"/>
              <w:end w:w="80" w:type="dxa"/>
            </w:tcMar>
          </w:tcPr>
          <w:p>
            <w:pPr>
              <w:spacing w:after="0" w:line="252" w:lineRule="auto"/>
              <w:jc w:val="left"/>
            </w:pPr>
            <w:r>
              <w:rPr>
                <w:rFonts w:ascii="Arial" w:hAnsi="Arial" w:eastAsia="Arial Unicode MS"/>
                <w:b w:val="0"/>
                <w:color w:val="000000"/>
                <w:sz w:val="18"/>
              </w:rPr>
              <w:t>最近 22 个交易日平均实现方差的对数</w:t>
            </w:r>
          </w:p>
        </w:tc>
      </w:tr>
      <w:tr>
        <w:tc>
          <w:tcPr>
            <w:tcW w:type="dxa" w:w="1814"/>
            <w:vAlign w:val="center"/>
            <w:tcMar>
              <w:top w:w="80" w:type="dxa"/>
              <w:start w:w="80" w:type="dxa"/>
              <w:bottom w:w="80" w:type="dxa"/>
              <w:end w:w="80" w:type="dxa"/>
            </w:tcMar>
            <w:shd w:fill="EAF2F8"/>
          </w:tcPr>
          <w:p>
            <w:pPr>
              <w:spacing w:after="0" w:line="252" w:lineRule="auto"/>
              <w:jc w:val="center"/>
            </w:pPr>
            <w:r>
              <w:rPr>
                <w:rFonts w:ascii="Arial" w:hAnsi="Arial" w:eastAsia="Arial Unicode MS"/>
                <w:b w:val="0"/>
                <w:color w:val="000000"/>
                <w:sz w:val="18"/>
              </w:rPr>
              <w:t>log RV(t+1)</w:t>
            </w:r>
          </w:p>
        </w:tc>
        <w:tc>
          <w:tcPr>
            <w:tcW w:type="dxa" w:w="1701"/>
            <w:vAlign w:val="center"/>
            <w:tcMar>
              <w:top w:w="80" w:type="dxa"/>
              <w:start w:w="80" w:type="dxa"/>
              <w:bottom w:w="80" w:type="dxa"/>
              <w:end w:w="80" w:type="dxa"/>
            </w:tcMar>
            <w:shd w:fill="EAF2F8"/>
          </w:tcPr>
          <w:p>
            <w:pPr>
              <w:spacing w:after="0" w:line="252" w:lineRule="auto"/>
              <w:jc w:val="center"/>
            </w:pPr>
            <w:r>
              <w:rPr>
                <w:rFonts w:ascii="Arial" w:hAnsi="Arial" w:eastAsia="Arial Unicode MS"/>
                <w:b w:val="0"/>
                <w:color w:val="000000"/>
                <w:sz w:val="18"/>
              </w:rPr>
              <w:t>预测目标</w:t>
            </w:r>
          </w:p>
        </w:tc>
        <w:tc>
          <w:tcPr>
            <w:tcW w:type="dxa" w:w="5102"/>
            <w:vAlign w:val="center"/>
            <w:tcMar>
              <w:top w:w="80" w:type="dxa"/>
              <w:start w:w="80" w:type="dxa"/>
              <w:bottom w:w="80" w:type="dxa"/>
              <w:end w:w="80" w:type="dxa"/>
            </w:tcMar>
            <w:shd w:fill="EAF2F8"/>
          </w:tcPr>
          <w:p>
            <w:pPr>
              <w:spacing w:after="0" w:line="252" w:lineRule="auto"/>
              <w:jc w:val="left"/>
            </w:pPr>
            <w:r>
              <w:rPr>
                <w:rFonts w:ascii="Arial" w:hAnsi="Arial" w:eastAsia="Arial Unicode MS"/>
                <w:b w:val="0"/>
                <w:color w:val="000000"/>
                <w:sz w:val="18"/>
              </w:rPr>
              <w:t>下一交易日实现方差的对数</w:t>
            </w:r>
          </w:p>
        </w:tc>
      </w:tr>
    </w:tbl>
    <w:p>
      <w:pPr>
        <w:spacing w:before="80" w:after="120"/>
        <w:jc w:val="center"/>
      </w:pPr>
      <w:r>
        <w:rPr>
          <w:rFonts w:ascii="Times New Roman" w:hAnsi="Times New Roman" w:eastAsia="Arial Unicode MS"/>
          <w:sz w:val="18"/>
        </w:rPr>
        <w:t>表 2 HAR RV 模型变量定义</w:t>
      </w:r>
    </w:p>
    <w:p>
      <w:pPr>
        <w:ind w:firstLine="420"/>
        <w:jc w:val="both"/>
      </w:pPr>
      <w:r>
        <w:rPr>
          <w:rFonts w:ascii="Times New Roman" w:hAnsi="Times New Roman" w:eastAsia="Arial Unicode MS"/>
          <w:sz w:val="22"/>
        </w:rPr>
        <w:t>其中，β0 为截距项，βd、βw 和 βm 分别衡量日度、周度和月度波动信息对下一交易日波动率的边际影响，ε(t+1) 为预测误差。所有解释变量均仅使用 t 日及以前可获得的数据构造，因此不存在前视偏差。</w:t>
      </w:r>
    </w:p>
    <w:p>
      <w:pPr>
        <w:pStyle w:val="Heading1"/>
      </w:pPr>
      <w:r>
        <w:t>3 模型验证方案</w:t>
      </w:r>
    </w:p>
    <w:p>
      <w:pPr>
        <w:ind w:firstLine="420"/>
        <w:jc w:val="both"/>
      </w:pPr>
      <w:r>
        <w:rPr>
          <w:rFonts w:ascii="Times New Roman" w:hAnsi="Times New Roman" w:eastAsia="Arial Unicode MS"/>
          <w:sz w:val="22"/>
        </w:rPr>
        <w:t>模型验证采用按时间顺序划分的训练集、验证集和测试集，而不使用随机交叉验证。开发阶段以当日波动率直接作为下一日预测值的持续性模型为基准，并使用带间隔的时间序列交叉验证比较不同特征组合。评价指标包括均方误差和平均绝对误差；模型拟合后进一步检查残差自相关函数、偏自相关函数和 Ljung-Box 检验结果，以判断模型是否仍遗漏可预测的时间依赖结构。最终模型确定后，仅在独立测试集上进行一次样本外评估。</w:t>
      </w:r>
    </w:p>
    <w:p>
      <w:pPr>
        <w:pStyle w:val="Heading1"/>
      </w:pPr>
      <w:r>
        <w:t>4 Lag2 特征的引入与验证</w:t>
      </w:r>
    </w:p>
    <w:p>
      <w:pPr>
        <w:ind w:firstLine="420"/>
        <w:jc w:val="both"/>
      </w:pPr>
      <w:r>
        <w:rPr>
          <w:rFonts w:ascii="Times New Roman" w:hAnsi="Times New Roman" w:eastAsia="Arial Unicode MS"/>
          <w:sz w:val="22"/>
        </w:rPr>
        <w:t>基础 HAR-RV 模型完成后，本文对验证集残差进行自相关诊断。残差自相关函数和偏自相关函数显示，第二滞后期的相关系数均约为 0.088，而第三和第四滞后期的相关系数接近于零。这一结果表明，基础模型可能遗漏了与第二滞后期有关的短期波动信息。残差在 lag 2 处的异常仅用于提出候选特征，是否保留该特征仍需通过样本外预测和残差检验共同判断。</w:t>
      </w:r>
    </w:p>
    <w:p>
      <w:pPr>
        <w:ind w:firstLine="420"/>
        <w:jc w:val="both"/>
      </w:pPr>
      <w:r>
        <w:rPr>
          <w:rFonts w:ascii="Times New Roman" w:hAnsi="Times New Roman" w:eastAsia="Arial Unicode MS"/>
          <w:sz w:val="22"/>
        </w:rPr>
        <w:t>在预测 t+1 日实现波动率时，Day 表示 t 日的实现波动率，Lag2 表示 t-1 日的实现波动率。基于上述诊断，本文在日度、周度和月度变量之外加入 Lag2，并估计下列扩展模型：</w:t>
      </w:r>
    </w:p>
    <w:p>
      <w:pPr>
        <w:spacing w:before="120" w:after="160"/>
        <w:jc w:val="center"/>
      </w:pPr>
      <m:oMathPara>
        <m:oMathParaPr>
          <m:jc m:val="center"/>
        </m:oMathParaPr>
        <m:oMath>
          <m:sSub>
            <m:sSubPr/>
            <m:e>
              <m:r>
                <m:t>log RV</m:t>
              </m:r>
            </m:e>
            <m:sub>
              <m:r>
                <m:t>t+1</m:t>
              </m:r>
            </m:sub>
          </m:sSub>
          <m:r>
            <m:t> = </m:t>
          </m:r>
          <m:sSub>
            <m:sSubPr/>
            <m:e>
              <m:r>
                <m:t>β</m:t>
              </m:r>
            </m:e>
            <m:sub>
              <m:r>
                <m:t>0</m:t>
              </m:r>
            </m:sub>
          </m:sSub>
          <m:r>
            <m:t> + </m:t>
          </m:r>
          <m:sSub>
            <m:sSubPr/>
            <m:e>
              <m:r>
                <m:t>β</m:t>
              </m:r>
            </m:e>
            <m:sub>
              <m:r>
                <m:t>d</m:t>
              </m:r>
            </m:sub>
          </m:sSub>
          <m:r>
            <m:t> </m:t>
          </m:r>
          <m:sSub>
            <m:sSubPr/>
            <m:e>
              <m:r>
                <m:t>log RV</m:t>
              </m:r>
            </m:e>
            <m:sub>
              <m:r>
                <m:t>t</m:t>
              </m:r>
            </m:sub>
          </m:sSub>
          <m:r>
            <m:t> + </m:t>
          </m:r>
          <m:sSub>
            <m:sSubPr/>
            <m:e>
              <m:r>
                <m:t>β</m:t>
              </m:r>
            </m:e>
            <m:sub>
              <m:r>
                <m:t>2</m:t>
              </m:r>
            </m:sub>
          </m:sSub>
          <m:r>
            <m:t> </m:t>
          </m:r>
          <m:sSub>
            <m:sSubPr/>
            <m:e>
              <m:r>
                <m:t>log RV</m:t>
              </m:r>
            </m:e>
            <m:sub>
              <m:r>
                <m:t>t-1</m:t>
              </m:r>
            </m:sub>
          </m:sSub>
          <m:r>
            <m:t> + </m:t>
          </m:r>
          <m:sSub>
            <m:sSubPr/>
            <m:e>
              <m:r>
                <m:t>β</m:t>
              </m:r>
            </m:e>
            <m:sub>
              <m:r>
                <m:t>w</m:t>
              </m:r>
            </m:sub>
          </m:sSub>
          <m:r>
            <m:t> </m:t>
          </m:r>
          <m:sSubSup>
            <m:sSubSupPr/>
            <m:e>
              <m:r>
                <m:t>log RV</m:t>
              </m:r>
            </m:e>
            <m:sub>
              <m:r>
                <m:t>t</m:t>
              </m:r>
            </m:sub>
            <m:sup>
              <m:r>
                <m:t>w</m:t>
              </m:r>
            </m:sup>
          </m:sSubSup>
          <m:r>
            <m:t> + </m:t>
          </m:r>
          <m:sSub>
            <m:sSubPr/>
            <m:e>
              <m:r>
                <m:t>β</m:t>
              </m:r>
            </m:e>
            <m:sub>
              <m:r>
                <m:t>m</m:t>
              </m:r>
            </m:sub>
          </m:sSub>
          <m:r>
            <m:t> </m:t>
          </m:r>
          <m:sSubSup>
            <m:sSubSupPr/>
            <m:e>
              <m:r>
                <m:t>log RV</m:t>
              </m:r>
            </m:e>
            <m:sub>
              <m:r>
                <m:t>t</m:t>
              </m:r>
            </m:sub>
            <m:sup>
              <m:r>
                <m:t>m</m:t>
              </m:r>
            </m:sup>
          </m:sSubSup>
          <m:r>
            <m:t> + </m:t>
          </m:r>
          <m:sSub>
            <m:sSubPr/>
            <m:e>
              <m:r>
                <m:t>ε</m:t>
              </m:r>
            </m:e>
            <m:sub>
              <m:r>
                <m:t>t+1</m:t>
              </m:r>
            </m:sub>
          </m:sSub>
        </m:oMath>
      </m:oMathPara>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24"/>
        <w:gridCol w:w="2324"/>
        <w:gridCol w:w="2324"/>
        <w:gridCol w:w="2324"/>
      </w:tblGrid>
      <w:tr>
        <w:tc>
          <w:tcPr>
            <w:tcW w:type="dxa" w:w="2154"/>
            <w:vAlign w:val="center"/>
            <w:tcMar>
              <w:top w:w="80" w:type="dxa"/>
              <w:start w:w="80" w:type="dxa"/>
              <w:bottom w:w="80" w:type="dxa"/>
              <w:end w:w="80" w:type="dxa"/>
            </w:tcMar>
            <w:shd w:fill="1F4E78"/>
          </w:tcPr>
          <w:p>
            <w:pPr>
              <w:spacing w:after="0" w:line="252" w:lineRule="auto"/>
              <w:jc w:val="center"/>
            </w:pPr>
            <w:r>
              <w:rPr>
                <w:rFonts w:ascii="Arial" w:hAnsi="Arial" w:eastAsia="Arial Unicode MS"/>
                <w:b/>
                <w:color w:val="FFFFFF"/>
                <w:sz w:val="16"/>
              </w:rPr>
              <w:t>评价证据</w:t>
            </w:r>
          </w:p>
        </w:tc>
        <w:tc>
          <w:tcPr>
            <w:tcW w:type="dxa" w:w="1757"/>
            <w:vAlign w:val="center"/>
            <w:tcMar>
              <w:top w:w="80" w:type="dxa"/>
              <w:start w:w="80" w:type="dxa"/>
              <w:bottom w:w="80" w:type="dxa"/>
              <w:end w:w="80" w:type="dxa"/>
            </w:tcMar>
            <w:shd w:fill="1F4E78"/>
          </w:tcPr>
          <w:p>
            <w:pPr>
              <w:spacing w:after="0" w:line="252" w:lineRule="auto"/>
              <w:jc w:val="center"/>
            </w:pPr>
            <w:r>
              <w:rPr>
                <w:rFonts w:ascii="Arial" w:hAnsi="Arial" w:eastAsia="Arial Unicode MS"/>
                <w:b/>
                <w:color w:val="FFFFFF"/>
                <w:sz w:val="16"/>
              </w:rPr>
              <w:t>基础 HAR-RV</w:t>
            </w:r>
          </w:p>
        </w:tc>
        <w:tc>
          <w:tcPr>
            <w:tcW w:type="dxa" w:w="1984"/>
            <w:vAlign w:val="center"/>
            <w:tcMar>
              <w:top w:w="80" w:type="dxa"/>
              <w:start w:w="80" w:type="dxa"/>
              <w:bottom w:w="80" w:type="dxa"/>
              <w:end w:w="80" w:type="dxa"/>
            </w:tcMar>
            <w:shd w:fill="1F4E78"/>
          </w:tcPr>
          <w:p>
            <w:pPr>
              <w:spacing w:after="0" w:line="252" w:lineRule="auto"/>
              <w:jc w:val="center"/>
            </w:pPr>
            <w:r>
              <w:rPr>
                <w:rFonts w:ascii="Arial" w:hAnsi="Arial" w:eastAsia="Arial Unicode MS"/>
                <w:b/>
                <w:color w:val="FFFFFF"/>
                <w:sz w:val="16"/>
              </w:rPr>
              <w:t>HAR-RV 加 Lag2</w:t>
            </w:r>
          </w:p>
        </w:tc>
        <w:tc>
          <w:tcPr>
            <w:tcW w:type="dxa" w:w="3288"/>
            <w:vAlign w:val="center"/>
            <w:tcMar>
              <w:top w:w="80" w:type="dxa"/>
              <w:start w:w="80" w:type="dxa"/>
              <w:bottom w:w="80" w:type="dxa"/>
              <w:end w:w="80" w:type="dxa"/>
            </w:tcMar>
            <w:shd w:fill="1F4E78"/>
          </w:tcPr>
          <w:p>
            <w:pPr>
              <w:spacing w:after="0" w:line="252" w:lineRule="auto"/>
              <w:jc w:val="center"/>
            </w:pPr>
            <w:r>
              <w:rPr>
                <w:rFonts w:ascii="Arial" w:hAnsi="Arial" w:eastAsia="Arial Unicode MS"/>
                <w:b/>
                <w:color w:val="FFFFFF"/>
                <w:sz w:val="16"/>
              </w:rPr>
              <w:t>结果解释</w:t>
            </w:r>
          </w:p>
        </w:tc>
      </w:tr>
      <w:tr>
        <w:tc>
          <w:tcPr>
            <w:tcW w:type="dxa" w:w="2154"/>
            <w:vAlign w:val="center"/>
            <w:tcMar>
              <w:top w:w="80" w:type="dxa"/>
              <w:start w:w="80" w:type="dxa"/>
              <w:bottom w:w="80" w:type="dxa"/>
              <w:end w:w="80" w:type="dxa"/>
            </w:tcMar>
          </w:tcPr>
          <w:p>
            <w:pPr>
              <w:spacing w:after="0" w:line="252" w:lineRule="auto"/>
              <w:jc w:val="left"/>
            </w:pPr>
            <w:r>
              <w:rPr>
                <w:rFonts w:ascii="Arial" w:hAnsi="Arial" w:eastAsia="Arial Unicode MS"/>
                <w:b w:val="0"/>
                <w:color w:val="000000"/>
                <w:sz w:val="16"/>
              </w:rPr>
              <w:t>残差 lag 2 ACF</w:t>
            </w:r>
          </w:p>
        </w:tc>
        <w:tc>
          <w:tcPr>
            <w:tcW w:type="dxa" w:w="1757"/>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6"/>
              </w:rPr>
              <w:t>0.0884</w:t>
            </w:r>
          </w:p>
        </w:tc>
        <w:tc>
          <w:tcPr>
            <w:tcW w:type="dxa" w:w="1984"/>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6"/>
              </w:rPr>
              <w:t>0.0043</w:t>
            </w:r>
          </w:p>
        </w:tc>
        <w:tc>
          <w:tcPr>
            <w:tcW w:type="dxa" w:w="3288"/>
            <w:vAlign w:val="center"/>
            <w:tcMar>
              <w:top w:w="80" w:type="dxa"/>
              <w:start w:w="80" w:type="dxa"/>
              <w:bottom w:w="80" w:type="dxa"/>
              <w:end w:w="80" w:type="dxa"/>
            </w:tcMar>
          </w:tcPr>
          <w:p>
            <w:pPr>
              <w:spacing w:after="0" w:line="252" w:lineRule="auto"/>
              <w:jc w:val="left"/>
            </w:pPr>
            <w:r>
              <w:rPr>
                <w:rFonts w:ascii="Arial" w:hAnsi="Arial" w:eastAsia="Arial Unicode MS"/>
                <w:b w:val="0"/>
                <w:color w:val="000000"/>
                <w:sz w:val="16"/>
              </w:rPr>
              <w:t>第二滞后期相关性基本消除</w:t>
            </w:r>
          </w:p>
        </w:tc>
      </w:tr>
      <w:tr>
        <w:tc>
          <w:tcPr>
            <w:tcW w:type="dxa" w:w="2154"/>
            <w:vAlign w:val="center"/>
            <w:tcMar>
              <w:top w:w="80" w:type="dxa"/>
              <w:start w:w="80" w:type="dxa"/>
              <w:bottom w:w="80" w:type="dxa"/>
              <w:end w:w="80" w:type="dxa"/>
            </w:tcMar>
            <w:shd w:fill="EAF2F8"/>
          </w:tcPr>
          <w:p>
            <w:pPr>
              <w:spacing w:after="0" w:line="252" w:lineRule="auto"/>
              <w:jc w:val="left"/>
            </w:pPr>
            <w:r>
              <w:rPr>
                <w:rFonts w:ascii="Arial" w:hAnsi="Arial" w:eastAsia="Arial Unicode MS"/>
                <w:b w:val="0"/>
                <w:color w:val="000000"/>
                <w:sz w:val="16"/>
              </w:rPr>
              <w:t>残差 lag 2 PACF</w:t>
            </w:r>
          </w:p>
        </w:tc>
        <w:tc>
          <w:tcPr>
            <w:tcW w:type="dxa" w:w="1757"/>
            <w:vAlign w:val="center"/>
            <w:tcMar>
              <w:top w:w="80" w:type="dxa"/>
              <w:start w:w="80" w:type="dxa"/>
              <w:bottom w:w="80" w:type="dxa"/>
              <w:end w:w="80" w:type="dxa"/>
            </w:tcMar>
            <w:shd w:fill="EAF2F8"/>
          </w:tcPr>
          <w:p>
            <w:pPr>
              <w:spacing w:after="0" w:line="252" w:lineRule="auto"/>
              <w:jc w:val="center"/>
            </w:pPr>
            <w:r>
              <w:rPr>
                <w:rFonts w:ascii="Arial" w:hAnsi="Arial" w:eastAsia="Arial Unicode MS"/>
                <w:b w:val="0"/>
                <w:color w:val="000000"/>
                <w:sz w:val="16"/>
              </w:rPr>
              <w:t>0.0875</w:t>
            </w:r>
          </w:p>
        </w:tc>
        <w:tc>
          <w:tcPr>
            <w:tcW w:type="dxa" w:w="1984"/>
            <w:vAlign w:val="center"/>
            <w:tcMar>
              <w:top w:w="80" w:type="dxa"/>
              <w:start w:w="80" w:type="dxa"/>
              <w:bottom w:w="80" w:type="dxa"/>
              <w:end w:w="80" w:type="dxa"/>
            </w:tcMar>
            <w:shd w:fill="EAF2F8"/>
          </w:tcPr>
          <w:p>
            <w:pPr>
              <w:spacing w:after="0" w:line="252" w:lineRule="auto"/>
              <w:jc w:val="center"/>
            </w:pPr>
            <w:r>
              <w:rPr>
                <w:rFonts w:ascii="Arial" w:hAnsi="Arial" w:eastAsia="Arial Unicode MS"/>
                <w:b w:val="0"/>
                <w:color w:val="000000"/>
                <w:sz w:val="16"/>
              </w:rPr>
              <w:t>0.0041</w:t>
            </w:r>
          </w:p>
        </w:tc>
        <w:tc>
          <w:tcPr>
            <w:tcW w:type="dxa" w:w="3288"/>
            <w:vAlign w:val="center"/>
            <w:tcMar>
              <w:top w:w="80" w:type="dxa"/>
              <w:start w:w="80" w:type="dxa"/>
              <w:bottom w:w="80" w:type="dxa"/>
              <w:end w:w="80" w:type="dxa"/>
            </w:tcMar>
            <w:shd w:fill="EAF2F8"/>
          </w:tcPr>
          <w:p>
            <w:pPr>
              <w:spacing w:after="0" w:line="252" w:lineRule="auto"/>
              <w:jc w:val="left"/>
            </w:pPr>
            <w:r>
              <w:rPr>
                <w:rFonts w:ascii="Arial" w:hAnsi="Arial" w:eastAsia="Arial Unicode MS"/>
                <w:b w:val="0"/>
                <w:color w:val="000000"/>
                <w:sz w:val="16"/>
              </w:rPr>
              <w:t>Lag2 提供了独立的增量信息</w:t>
            </w:r>
          </w:p>
        </w:tc>
      </w:tr>
      <w:tr>
        <w:tc>
          <w:tcPr>
            <w:tcW w:type="dxa" w:w="2154"/>
            <w:vAlign w:val="center"/>
            <w:tcMar>
              <w:top w:w="80" w:type="dxa"/>
              <w:start w:w="80" w:type="dxa"/>
              <w:bottom w:w="80" w:type="dxa"/>
              <w:end w:w="80" w:type="dxa"/>
            </w:tcMar>
          </w:tcPr>
          <w:p>
            <w:pPr>
              <w:spacing w:after="0" w:line="252" w:lineRule="auto"/>
              <w:jc w:val="left"/>
            </w:pPr>
            <w:r>
              <w:rPr>
                <w:rFonts w:ascii="Arial" w:hAnsi="Arial" w:eastAsia="Arial Unicode MS"/>
                <w:b w:val="0"/>
                <w:color w:val="000000"/>
                <w:sz w:val="16"/>
              </w:rPr>
              <w:t>Ljung-Box 5 阶 p 值</w:t>
            </w:r>
          </w:p>
        </w:tc>
        <w:tc>
          <w:tcPr>
            <w:tcW w:type="dxa" w:w="1757"/>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6"/>
              </w:rPr>
              <w:t>0.0023</w:t>
            </w:r>
          </w:p>
        </w:tc>
        <w:tc>
          <w:tcPr>
            <w:tcW w:type="dxa" w:w="1984"/>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6"/>
              </w:rPr>
              <w:t>0.2463</w:t>
            </w:r>
          </w:p>
        </w:tc>
        <w:tc>
          <w:tcPr>
            <w:tcW w:type="dxa" w:w="3288"/>
            <w:vAlign w:val="center"/>
            <w:tcMar>
              <w:top w:w="80" w:type="dxa"/>
              <w:start w:w="80" w:type="dxa"/>
              <w:bottom w:w="80" w:type="dxa"/>
              <w:end w:w="80" w:type="dxa"/>
            </w:tcMar>
          </w:tcPr>
          <w:p>
            <w:pPr>
              <w:spacing w:after="0" w:line="252" w:lineRule="auto"/>
              <w:jc w:val="left"/>
            </w:pPr>
            <w:r>
              <w:rPr>
                <w:rFonts w:ascii="Arial" w:hAnsi="Arial" w:eastAsia="Arial Unicode MS"/>
                <w:b w:val="0"/>
                <w:color w:val="000000"/>
                <w:sz w:val="16"/>
              </w:rPr>
              <w:t>由显著自相关转为不显著</w:t>
            </w:r>
          </w:p>
        </w:tc>
      </w:tr>
      <w:tr>
        <w:tc>
          <w:tcPr>
            <w:tcW w:type="dxa" w:w="2154"/>
            <w:vAlign w:val="center"/>
            <w:tcMar>
              <w:top w:w="80" w:type="dxa"/>
              <w:start w:w="80" w:type="dxa"/>
              <w:bottom w:w="80" w:type="dxa"/>
              <w:end w:w="80" w:type="dxa"/>
            </w:tcMar>
            <w:shd w:fill="EAF2F8"/>
          </w:tcPr>
          <w:p>
            <w:pPr>
              <w:spacing w:after="0" w:line="252" w:lineRule="auto"/>
              <w:jc w:val="left"/>
            </w:pPr>
            <w:r>
              <w:rPr>
                <w:rFonts w:ascii="Arial" w:hAnsi="Arial" w:eastAsia="Arial Unicode MS"/>
                <w:b w:val="0"/>
                <w:color w:val="000000"/>
                <w:sz w:val="16"/>
              </w:rPr>
              <w:t>Ljung-Box 10 阶 p 值</w:t>
            </w:r>
          </w:p>
        </w:tc>
        <w:tc>
          <w:tcPr>
            <w:tcW w:type="dxa" w:w="1757"/>
            <w:vAlign w:val="center"/>
            <w:tcMar>
              <w:top w:w="80" w:type="dxa"/>
              <w:start w:w="80" w:type="dxa"/>
              <w:bottom w:w="80" w:type="dxa"/>
              <w:end w:w="80" w:type="dxa"/>
            </w:tcMar>
            <w:shd w:fill="EAF2F8"/>
          </w:tcPr>
          <w:p>
            <w:pPr>
              <w:spacing w:after="0" w:line="252" w:lineRule="auto"/>
              <w:jc w:val="center"/>
            </w:pPr>
            <w:r>
              <w:rPr>
                <w:rFonts w:ascii="Arial" w:hAnsi="Arial" w:eastAsia="Arial Unicode MS"/>
                <w:b w:val="0"/>
                <w:color w:val="000000"/>
                <w:sz w:val="16"/>
              </w:rPr>
              <w:t>0.0087</w:t>
            </w:r>
          </w:p>
        </w:tc>
        <w:tc>
          <w:tcPr>
            <w:tcW w:type="dxa" w:w="1984"/>
            <w:vAlign w:val="center"/>
            <w:tcMar>
              <w:top w:w="80" w:type="dxa"/>
              <w:start w:w="80" w:type="dxa"/>
              <w:bottom w:w="80" w:type="dxa"/>
              <w:end w:w="80" w:type="dxa"/>
            </w:tcMar>
            <w:shd w:fill="EAF2F8"/>
          </w:tcPr>
          <w:p>
            <w:pPr>
              <w:spacing w:after="0" w:line="252" w:lineRule="auto"/>
              <w:jc w:val="center"/>
            </w:pPr>
            <w:r>
              <w:rPr>
                <w:rFonts w:ascii="Arial" w:hAnsi="Arial" w:eastAsia="Arial Unicode MS"/>
                <w:b w:val="0"/>
                <w:color w:val="000000"/>
                <w:sz w:val="16"/>
              </w:rPr>
              <w:t>0.3207</w:t>
            </w:r>
          </w:p>
        </w:tc>
        <w:tc>
          <w:tcPr>
            <w:tcW w:type="dxa" w:w="3288"/>
            <w:vAlign w:val="center"/>
            <w:tcMar>
              <w:top w:w="80" w:type="dxa"/>
              <w:start w:w="80" w:type="dxa"/>
              <w:bottom w:w="80" w:type="dxa"/>
              <w:end w:w="80" w:type="dxa"/>
            </w:tcMar>
            <w:shd w:fill="EAF2F8"/>
          </w:tcPr>
          <w:p>
            <w:pPr>
              <w:spacing w:after="0" w:line="252" w:lineRule="auto"/>
              <w:jc w:val="left"/>
            </w:pPr>
            <w:r>
              <w:rPr>
                <w:rFonts w:ascii="Arial" w:hAnsi="Arial" w:eastAsia="Arial Unicode MS"/>
                <w:b w:val="0"/>
                <w:color w:val="000000"/>
                <w:sz w:val="16"/>
              </w:rPr>
              <w:t>验证期整体残差相关性减弱</w:t>
            </w:r>
          </w:p>
        </w:tc>
      </w:tr>
      <w:tr>
        <w:tc>
          <w:tcPr>
            <w:tcW w:type="dxa" w:w="2154"/>
            <w:vAlign w:val="center"/>
            <w:tcMar>
              <w:top w:w="80" w:type="dxa"/>
              <w:start w:w="80" w:type="dxa"/>
              <w:bottom w:w="80" w:type="dxa"/>
              <w:end w:w="80" w:type="dxa"/>
            </w:tcMar>
          </w:tcPr>
          <w:p>
            <w:pPr>
              <w:spacing w:after="0" w:line="252" w:lineRule="auto"/>
              <w:jc w:val="left"/>
            </w:pPr>
            <w:r>
              <w:rPr>
                <w:rFonts w:ascii="Arial" w:hAnsi="Arial" w:eastAsia="Arial Unicode MS"/>
                <w:b w:val="0"/>
                <w:color w:val="000000"/>
                <w:sz w:val="16"/>
              </w:rPr>
              <w:t>五折平均 MSE</w:t>
            </w:r>
          </w:p>
        </w:tc>
        <w:tc>
          <w:tcPr>
            <w:tcW w:type="dxa" w:w="1757"/>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6"/>
              </w:rPr>
              <w:t>0.351009</w:t>
            </w:r>
          </w:p>
        </w:tc>
        <w:tc>
          <w:tcPr>
            <w:tcW w:type="dxa" w:w="1984"/>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6"/>
              </w:rPr>
              <w:t>0.345937</w:t>
            </w:r>
          </w:p>
        </w:tc>
        <w:tc>
          <w:tcPr>
            <w:tcW w:type="dxa" w:w="3288"/>
            <w:vAlign w:val="center"/>
            <w:tcMar>
              <w:top w:w="80" w:type="dxa"/>
              <w:start w:w="80" w:type="dxa"/>
              <w:bottom w:w="80" w:type="dxa"/>
              <w:end w:w="80" w:type="dxa"/>
            </w:tcMar>
          </w:tcPr>
          <w:p>
            <w:pPr>
              <w:spacing w:after="0" w:line="252" w:lineRule="auto"/>
              <w:jc w:val="left"/>
            </w:pPr>
            <w:r>
              <w:rPr>
                <w:rFonts w:ascii="Arial" w:hAnsi="Arial" w:eastAsia="Arial Unicode MS"/>
                <w:b w:val="0"/>
                <w:color w:val="000000"/>
                <w:sz w:val="16"/>
              </w:rPr>
              <w:t>样本外误差改善约 1.45%</w:t>
            </w:r>
          </w:p>
        </w:tc>
      </w:tr>
      <w:tr>
        <w:tc>
          <w:tcPr>
            <w:tcW w:type="dxa" w:w="2154"/>
            <w:vAlign w:val="center"/>
            <w:tcMar>
              <w:top w:w="80" w:type="dxa"/>
              <w:start w:w="80" w:type="dxa"/>
              <w:bottom w:w="80" w:type="dxa"/>
              <w:end w:w="80" w:type="dxa"/>
            </w:tcMar>
            <w:shd w:fill="EAF2F8"/>
          </w:tcPr>
          <w:p>
            <w:pPr>
              <w:spacing w:after="0" w:line="252" w:lineRule="auto"/>
              <w:jc w:val="left"/>
            </w:pPr>
            <w:r>
              <w:rPr>
                <w:rFonts w:ascii="Arial" w:hAnsi="Arial" w:eastAsia="Arial Unicode MS"/>
                <w:b w:val="0"/>
                <w:color w:val="000000"/>
                <w:sz w:val="16"/>
              </w:rPr>
              <w:t>最终测试 MSE</w:t>
            </w:r>
          </w:p>
        </w:tc>
        <w:tc>
          <w:tcPr>
            <w:tcW w:type="dxa" w:w="1757"/>
            <w:vAlign w:val="center"/>
            <w:tcMar>
              <w:top w:w="80" w:type="dxa"/>
              <w:start w:w="80" w:type="dxa"/>
              <w:bottom w:w="80" w:type="dxa"/>
              <w:end w:w="80" w:type="dxa"/>
            </w:tcMar>
            <w:shd w:fill="EAF2F8"/>
          </w:tcPr>
          <w:p>
            <w:pPr>
              <w:spacing w:after="0" w:line="252" w:lineRule="auto"/>
              <w:jc w:val="center"/>
            </w:pPr>
            <w:r>
              <w:rPr>
                <w:rFonts w:ascii="Arial" w:hAnsi="Arial" w:eastAsia="Arial Unicode MS"/>
                <w:b w:val="0"/>
                <w:color w:val="000000"/>
                <w:sz w:val="16"/>
              </w:rPr>
              <w:t>0.429034</w:t>
            </w:r>
          </w:p>
        </w:tc>
        <w:tc>
          <w:tcPr>
            <w:tcW w:type="dxa" w:w="1984"/>
            <w:vAlign w:val="center"/>
            <w:tcMar>
              <w:top w:w="80" w:type="dxa"/>
              <w:start w:w="80" w:type="dxa"/>
              <w:bottom w:w="80" w:type="dxa"/>
              <w:end w:w="80" w:type="dxa"/>
            </w:tcMar>
            <w:shd w:fill="EAF2F8"/>
          </w:tcPr>
          <w:p>
            <w:pPr>
              <w:spacing w:after="0" w:line="252" w:lineRule="auto"/>
              <w:jc w:val="center"/>
            </w:pPr>
            <w:r>
              <w:rPr>
                <w:rFonts w:ascii="Arial" w:hAnsi="Arial" w:eastAsia="Arial Unicode MS"/>
                <w:b w:val="0"/>
                <w:color w:val="000000"/>
                <w:sz w:val="16"/>
              </w:rPr>
              <w:t>0.422655</w:t>
            </w:r>
          </w:p>
        </w:tc>
        <w:tc>
          <w:tcPr>
            <w:tcW w:type="dxa" w:w="3288"/>
            <w:vAlign w:val="center"/>
            <w:tcMar>
              <w:top w:w="80" w:type="dxa"/>
              <w:start w:w="80" w:type="dxa"/>
              <w:bottom w:w="80" w:type="dxa"/>
              <w:end w:w="80" w:type="dxa"/>
            </w:tcMar>
            <w:shd w:fill="EAF2F8"/>
          </w:tcPr>
          <w:p>
            <w:pPr>
              <w:spacing w:after="0" w:line="252" w:lineRule="auto"/>
              <w:jc w:val="left"/>
            </w:pPr>
            <w:r>
              <w:rPr>
                <w:rFonts w:ascii="Arial" w:hAnsi="Arial" w:eastAsia="Arial Unicode MS"/>
                <w:b w:val="0"/>
                <w:color w:val="000000"/>
                <w:sz w:val="16"/>
              </w:rPr>
              <w:t>相对原模型改善约 1.49%</w:t>
            </w:r>
          </w:p>
        </w:tc>
      </w:tr>
      <w:tr>
        <w:tc>
          <w:tcPr>
            <w:tcW w:type="dxa" w:w="2154"/>
            <w:vAlign w:val="center"/>
            <w:tcMar>
              <w:top w:w="80" w:type="dxa"/>
              <w:start w:w="80" w:type="dxa"/>
              <w:bottom w:w="80" w:type="dxa"/>
              <w:end w:w="80" w:type="dxa"/>
            </w:tcMar>
          </w:tcPr>
          <w:p>
            <w:pPr>
              <w:spacing w:after="0" w:line="252" w:lineRule="auto"/>
              <w:jc w:val="left"/>
            </w:pPr>
            <w:r>
              <w:rPr>
                <w:rFonts w:ascii="Arial" w:hAnsi="Arial" w:eastAsia="Arial Unicode MS"/>
                <w:b w:val="0"/>
                <w:color w:val="000000"/>
                <w:sz w:val="16"/>
              </w:rPr>
              <w:t>最终测试 MAE</w:t>
            </w:r>
          </w:p>
        </w:tc>
        <w:tc>
          <w:tcPr>
            <w:tcW w:type="dxa" w:w="1757"/>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6"/>
              </w:rPr>
              <w:t>0.514996</w:t>
            </w:r>
          </w:p>
        </w:tc>
        <w:tc>
          <w:tcPr>
            <w:tcW w:type="dxa" w:w="1984"/>
            <w:vAlign w:val="center"/>
            <w:tcMar>
              <w:top w:w="80" w:type="dxa"/>
              <w:start w:w="80" w:type="dxa"/>
              <w:bottom w:w="80" w:type="dxa"/>
              <w:end w:w="80" w:type="dxa"/>
            </w:tcMar>
          </w:tcPr>
          <w:p>
            <w:pPr>
              <w:spacing w:after="0" w:line="252" w:lineRule="auto"/>
              <w:jc w:val="center"/>
            </w:pPr>
            <w:r>
              <w:rPr>
                <w:rFonts w:ascii="Arial" w:hAnsi="Arial" w:eastAsia="Arial Unicode MS"/>
                <w:b w:val="0"/>
                <w:color w:val="000000"/>
                <w:sz w:val="16"/>
              </w:rPr>
              <w:t>0.511852</w:t>
            </w:r>
          </w:p>
        </w:tc>
        <w:tc>
          <w:tcPr>
            <w:tcW w:type="dxa" w:w="3288"/>
            <w:vAlign w:val="center"/>
            <w:tcMar>
              <w:top w:w="80" w:type="dxa"/>
              <w:start w:w="80" w:type="dxa"/>
              <w:bottom w:w="80" w:type="dxa"/>
              <w:end w:w="80" w:type="dxa"/>
            </w:tcMar>
          </w:tcPr>
          <w:p>
            <w:pPr>
              <w:spacing w:after="0" w:line="252" w:lineRule="auto"/>
              <w:jc w:val="left"/>
            </w:pPr>
            <w:r>
              <w:rPr>
                <w:rFonts w:ascii="Arial" w:hAnsi="Arial" w:eastAsia="Arial Unicode MS"/>
                <w:b w:val="0"/>
                <w:color w:val="000000"/>
                <w:sz w:val="16"/>
              </w:rPr>
              <w:t>相对原模型改善约 0.61%</w:t>
            </w:r>
          </w:p>
        </w:tc>
      </w:tr>
    </w:tbl>
    <w:p>
      <w:pPr>
        <w:spacing w:before="80" w:after="120"/>
        <w:jc w:val="center"/>
      </w:pPr>
      <w:r>
        <w:rPr>
          <w:rFonts w:ascii="Times New Roman" w:hAnsi="Times New Roman" w:eastAsia="Arial Unicode MS"/>
          <w:sz w:val="18"/>
        </w:rPr>
        <w:t>表 3 Lag2 特征的增量证据</w:t>
      </w:r>
    </w:p>
    <w:p>
      <w:pPr>
        <w:ind w:firstLine="420"/>
        <w:jc w:val="both"/>
      </w:pPr>
      <w:r>
        <w:rPr>
          <w:rFonts w:ascii="Times New Roman" w:hAnsi="Times New Roman" w:eastAsia="Arial Unicode MS"/>
          <w:sz w:val="22"/>
        </w:rPr>
        <w:t>加入 Lag2 后，验证集残差在第二滞后期的 ACF 和 PACF 均降至约 0.004。Ljung-Box 检验的 5 阶和 10 阶 p 值也由 0.05 以下提高至 0.05 以上，说明验证期残差的线性自相关得到明显缓解。Ljung-Box 检验反映的是残差整体相关性，而不是模型参数或预测误差，因此需要与交叉验证结果分别解释。</w:t>
      </w:r>
    </w:p>
    <w:p>
      <w:r>
        <w:br w:type="page"/>
      </w:r>
    </w:p>
    <w:p>
      <w:pPr>
        <w:keepNext/>
        <w:spacing w:before="60" w:after="40"/>
        <w:jc w:val="center"/>
      </w:pPr>
      <w:r>
        <w:drawing>
          <wp:inline xmlns:a="http://schemas.openxmlformats.org/drawingml/2006/main" xmlns:pic="http://schemas.openxmlformats.org/drawingml/2006/picture">
            <wp:extent cx="5074920" cy="3399808"/>
            <wp:docPr id="2" name="Picture 2" descr="HAR-RV 加 Lag2 模型验证集残差、残差正态Q-Q图、残差ACF和平方残差ACF"/>
            <wp:cNvGraphicFramePr>
              <a:graphicFrameLocks noChangeAspect="1"/>
            </wp:cNvGraphicFramePr>
            <a:graphic>
              <a:graphicData uri="http://schemas.openxmlformats.org/drawingml/2006/picture">
                <pic:pic>
                  <pic:nvPicPr>
                    <pic:cNvPr id="0" name="har_lag2_residual_diagnostics_cropped.png"/>
                    <pic:cNvPicPr/>
                  </pic:nvPicPr>
                  <pic:blipFill>
                    <a:blip r:embed="rId9"/>
                    <a:stretch>
                      <a:fillRect/>
                    </a:stretch>
                  </pic:blipFill>
                  <pic:spPr>
                    <a:xfrm>
                      <a:off x="0" y="0"/>
                      <a:ext cx="5074920" cy="3399808"/>
                    </a:xfrm>
                    <a:prstGeom prst="rect"/>
                  </pic:spPr>
                </pic:pic>
              </a:graphicData>
            </a:graphic>
          </wp:inline>
        </w:drawing>
      </w:r>
    </w:p>
    <w:p>
      <w:pPr>
        <w:spacing w:before="80" w:after="120"/>
        <w:jc w:val="center"/>
      </w:pPr>
      <w:r>
        <w:rPr>
          <w:rFonts w:ascii="Times New Roman" w:hAnsi="Times New Roman" w:eastAsia="Arial Unicode MS"/>
          <w:sz w:val="18"/>
        </w:rPr>
        <w:t>图 2 HAR RV 加 Lag2 模型的验证集残差诊断</w:t>
      </w:r>
    </w:p>
    <w:p>
      <w:pPr>
        <w:keepNext/>
        <w:spacing w:before="60" w:after="40"/>
        <w:jc w:val="center"/>
      </w:pPr>
      <w:r>
        <w:drawing>
          <wp:inline xmlns:a="http://schemas.openxmlformats.org/drawingml/2006/main" xmlns:pic="http://schemas.openxmlformats.org/drawingml/2006/picture">
            <wp:extent cx="5349240" cy="2093970"/>
            <wp:docPr id="3" name="Picture 3" descr="基础 HAR-RV 与 HAR-RV 加 Lag2 模型在多个最大滞后阶数下的 Ljung-Box p 值比较"/>
            <wp:cNvGraphicFramePr>
              <a:graphicFrameLocks noChangeAspect="1"/>
            </wp:cNvGraphicFramePr>
            <a:graphic>
              <a:graphicData uri="http://schemas.openxmlformats.org/drawingml/2006/picture">
                <pic:pic>
                  <pic:nvPicPr>
                    <pic:cNvPr id="0" name="ljung_box_comparison_cropped.png"/>
                    <pic:cNvPicPr/>
                  </pic:nvPicPr>
                  <pic:blipFill>
                    <a:blip r:embed="rId10"/>
                    <a:stretch>
                      <a:fillRect/>
                    </a:stretch>
                  </pic:blipFill>
                  <pic:spPr>
                    <a:xfrm>
                      <a:off x="0" y="0"/>
                      <a:ext cx="5349240" cy="2093970"/>
                    </a:xfrm>
                    <a:prstGeom prst="rect"/>
                  </pic:spPr>
                </pic:pic>
              </a:graphicData>
            </a:graphic>
          </wp:inline>
        </w:drawing>
      </w:r>
    </w:p>
    <w:p>
      <w:pPr>
        <w:spacing w:before="80" w:after="120"/>
        <w:jc w:val="center"/>
      </w:pPr>
      <w:r>
        <w:rPr>
          <w:rFonts w:ascii="Times New Roman" w:hAnsi="Times New Roman" w:eastAsia="Arial Unicode MS"/>
          <w:sz w:val="18"/>
        </w:rPr>
        <w:t>图 3 基础 HAR RV 与 HAR RV 加 Lag2 模型的 Ljung Box 检验比较</w:t>
      </w:r>
    </w:p>
    <w:p>
      <w:r>
        <w:br w:type="page"/>
      </w:r>
    </w:p>
    <w:p>
      <w:pPr>
        <w:pStyle w:val="Heading2"/>
      </w:pPr>
      <w:r>
        <w:t>样本外表现与模型选择</w:t>
      </w:r>
    </w:p>
    <w:p>
      <w:pPr>
        <w:ind w:firstLine="420"/>
        <w:jc w:val="both"/>
      </w:pPr>
      <w:r>
        <w:rPr>
          <w:rFonts w:ascii="Times New Roman" w:hAnsi="Times New Roman" w:eastAsia="Arial Unicode MS"/>
          <w:sz w:val="22"/>
        </w:rPr>
        <w:t>时间序列交叉验证进一步表明，加入 Lag2 后五折平均 MSE 下降约 1.45%，且五个验证折的误差均有所下降。特征消融实验保持 Day、Week 和 Month 不变，仅增加 Lag2，因此这部分增量表现可以归因于 Lag2 所提供的短期信息。最终测试集中的 MSE 和 MAE 分别改善约 1.49% 和 0.61%，与开发阶段的判断方向一致。</w:t>
      </w:r>
    </w:p>
    <w:p>
      <w:pPr>
        <w:ind w:firstLine="420"/>
        <w:jc w:val="both"/>
      </w:pPr>
      <w:r>
        <w:rPr>
          <w:rFonts w:ascii="Times New Roman" w:hAnsi="Times New Roman" w:eastAsia="Arial Unicode MS"/>
          <w:sz w:val="22"/>
        </w:rPr>
        <w:t>综合残差 ACF 和 PACF、Ljung-Box 检验、时间序列交叉验证及特征消融结果，本文将最终模型调整为 Day + Lag2 + Week + Month。Lag2 带来的预测误差改善幅度较小，但在不同验证折和最终测试集上的方向较为稳定，因此可以认为该特征提供了有限但可重复的增量预测信息。需要注意的是，最终测试期残差的 Ljung-Box 检验仍然显著，说明 Lag2 并未完全消除不同市场阶段中的时间依赖结构，这也是当前模型的主要局限。</w:t>
      </w:r>
    </w:p>
    <w:sectPr w:rsidR="00EE0237" w:rsidRPr="00EE0237">
      <w:pgSz w:w="11906" w:h="16838"/>
      <w:pgMar w:top="1134" w:right="1304" w:bottom="1134" w:left="130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1E0DC5"/>
    <w:multiLevelType w:val="hybridMultilevel"/>
    <w:tmpl w:val="1786D9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216544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237"/>
    <w:rsid w:val="00233146"/>
    <w:rsid w:val="003E351D"/>
    <w:rsid w:val="004B749D"/>
    <w:rsid w:val="00620B01"/>
    <w:rsid w:val="00BA37BF"/>
    <w:rsid w:val="00C17A38"/>
    <w:rsid w:val="00EE0237"/>
    <w:rsid w:val="00F940F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B55264"/>
  <w15:chartTrackingRefBased/>
  <w15:docId w15:val="{1B2810A6-FDE3-0A49-8803-742B99E76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7" w:lineRule="auto" w:after="80"/>
    </w:pPr>
    <w:rPr>
      <w:rFonts w:ascii="Times New Roman" w:hAnsi="Times New Roman" w:eastAsia="Arial Unicode MS"/>
      <w:sz w:val="22"/>
    </w:rPr>
  </w:style>
  <w:style w:type="paragraph" w:styleId="Heading1">
    <w:name w:val="heading 1"/>
    <w:basedOn w:val="Normal"/>
    <w:next w:val="Normal"/>
    <w:link w:val="Heading1Char"/>
    <w:uiPriority w:val="9"/>
    <w:qFormat/>
    <w:rsid w:val="00EE0237"/>
    <w:pPr>
      <w:keepNext/>
      <w:keepLines/>
      <w:spacing w:before="200" w:after="100"/>
      <w:outlineLvl w:val="0"/>
    </w:pPr>
    <w:rPr>
      <w:rFonts w:asciiTheme="majorHAnsi" w:eastAsiaTheme="majorEastAsia" w:hAnsiTheme="majorHAnsi" w:cstheme="majorBidi" w:ascii="Arial" w:hAnsi="Arial" w:eastAsia="Arial Unicode MS"/>
      <w:b/>
      <w:color w:val="000000"/>
      <w:sz w:val="30"/>
      <w:szCs w:val="40"/>
    </w:rPr>
  </w:style>
  <w:style w:type="paragraph" w:styleId="Heading2">
    <w:name w:val="heading 2"/>
    <w:basedOn w:val="Normal"/>
    <w:next w:val="Normal"/>
    <w:link w:val="Heading2Char"/>
    <w:uiPriority w:val="9"/>
    <w:semiHidden/>
    <w:unhideWhenUsed/>
    <w:qFormat/>
    <w:rsid w:val="00EE0237"/>
    <w:pPr>
      <w:keepNext/>
      <w:keepLines/>
      <w:spacing w:before="200" w:after="100"/>
      <w:outlineLvl w:val="1"/>
    </w:pPr>
    <w:rPr>
      <w:rFonts w:asciiTheme="majorHAnsi" w:eastAsiaTheme="majorEastAsia" w:hAnsiTheme="majorHAnsi" w:cstheme="majorBidi" w:ascii="Arial" w:hAnsi="Arial" w:eastAsia="Arial Unicode MS"/>
      <w:b/>
      <w:color w:val="000000"/>
      <w:sz w:val="24"/>
      <w:szCs w:val="32"/>
    </w:rPr>
  </w:style>
  <w:style w:type="paragraph" w:styleId="Heading3">
    <w:name w:val="heading 3"/>
    <w:basedOn w:val="Normal"/>
    <w:next w:val="Normal"/>
    <w:link w:val="Heading3Char"/>
    <w:uiPriority w:val="9"/>
    <w:semiHidden/>
    <w:unhideWhenUsed/>
    <w:qFormat/>
    <w:rsid w:val="00EE02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2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2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2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2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2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2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2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237"/>
    <w:rPr>
      <w:rFonts w:eastAsiaTheme="majorEastAsia" w:cstheme="majorBidi"/>
      <w:color w:val="272727" w:themeColor="text1" w:themeTint="D8"/>
    </w:rPr>
  </w:style>
  <w:style w:type="paragraph" w:styleId="Title">
    <w:name w:val="Title"/>
    <w:basedOn w:val="Normal"/>
    <w:next w:val="Normal"/>
    <w:link w:val="TitleChar"/>
    <w:uiPriority w:val="10"/>
    <w:qFormat/>
    <w:rsid w:val="00EE0237"/>
    <w:pPr>
      <w:spacing w:after="160" w:line="240" w:lineRule="auto"/>
      <w:contextualSpacing/>
    </w:pPr>
    <w:rPr>
      <w:rFonts w:asciiTheme="majorHAnsi" w:eastAsiaTheme="majorEastAsia" w:hAnsiTheme="majorHAnsi" w:cstheme="majorBidi" w:ascii="Arial" w:hAnsi="Arial" w:eastAsia="Arial Unicode MS"/>
      <w:b/>
      <w:color w:val="000000"/>
      <w:spacing w:val="-10"/>
      <w:kern w:val="28"/>
      <w:sz w:val="38"/>
      <w:szCs w:val="56"/>
    </w:rPr>
  </w:style>
  <w:style w:type="character" w:customStyle="1" w:styleId="TitleChar">
    <w:name w:val="Title Char"/>
    <w:basedOn w:val="DefaultParagraphFont"/>
    <w:link w:val="Title"/>
    <w:uiPriority w:val="10"/>
    <w:rsid w:val="00EE0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237"/>
    <w:pPr>
      <w:spacing w:before="160"/>
      <w:jc w:val="center"/>
    </w:pPr>
    <w:rPr>
      <w:i/>
      <w:iCs/>
      <w:color w:val="404040" w:themeColor="text1" w:themeTint="BF"/>
    </w:rPr>
  </w:style>
  <w:style w:type="character" w:customStyle="1" w:styleId="QuoteChar">
    <w:name w:val="Quote Char"/>
    <w:basedOn w:val="DefaultParagraphFont"/>
    <w:link w:val="Quote"/>
    <w:uiPriority w:val="29"/>
    <w:rsid w:val="00EE0237"/>
    <w:rPr>
      <w:i/>
      <w:iCs/>
      <w:color w:val="404040" w:themeColor="text1" w:themeTint="BF"/>
    </w:rPr>
  </w:style>
  <w:style w:type="paragraph" w:styleId="ListParagraph">
    <w:name w:val="List Paragraph"/>
    <w:basedOn w:val="Normal"/>
    <w:uiPriority w:val="34"/>
    <w:qFormat/>
    <w:rsid w:val="00EE0237"/>
    <w:pPr>
      <w:ind w:left="720"/>
      <w:contextualSpacing/>
    </w:pPr>
  </w:style>
  <w:style w:type="character" w:styleId="IntenseEmphasis">
    <w:name w:val="Intense Emphasis"/>
    <w:basedOn w:val="DefaultParagraphFont"/>
    <w:uiPriority w:val="21"/>
    <w:qFormat/>
    <w:rsid w:val="00EE0237"/>
    <w:rPr>
      <w:i/>
      <w:iCs/>
      <w:color w:val="0F4761" w:themeColor="accent1" w:themeShade="BF"/>
    </w:rPr>
  </w:style>
  <w:style w:type="paragraph" w:styleId="IntenseQuote">
    <w:name w:val="Intense Quote"/>
    <w:basedOn w:val="Normal"/>
    <w:next w:val="Normal"/>
    <w:link w:val="IntenseQuoteChar"/>
    <w:uiPriority w:val="30"/>
    <w:qFormat/>
    <w:rsid w:val="00EE0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237"/>
    <w:rPr>
      <w:i/>
      <w:iCs/>
      <w:color w:val="0F4761" w:themeColor="accent1" w:themeShade="BF"/>
    </w:rPr>
  </w:style>
  <w:style w:type="character" w:styleId="IntenseReference">
    <w:name w:val="Intense Reference"/>
    <w:basedOn w:val="DefaultParagraphFont"/>
    <w:uiPriority w:val="32"/>
    <w:qFormat/>
    <w:rsid w:val="00EE02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121</Words>
  <Characters>694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HB81398@365mak.com</dc:creator>
  <cp:keywords/>
  <dc:description/>
  <cp:lastModifiedBy>HB81398@365mak.com</cp:lastModifiedBy>
  <cp:revision>1</cp:revision>
  <dcterms:created xsi:type="dcterms:W3CDTF">2026-10-13T01:02:00Z</dcterms:created>
  <dcterms:modified xsi:type="dcterms:W3CDTF">2026-10-13T01:18:00Z</dcterms:modified>
</cp:coreProperties>
</file>