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keepNext/>
        <w:widowControl/>
        <w:spacing w:after="120"/>
        <w:jc w:val="center"/>
      </w:pPr>
      <w:r>
        <w:rPr>
          <w:rFonts w:ascii="Arial" w:hAnsi="Arial" w:eastAsia="Arial"/>
          <w:color w:val="000000"/>
          <w:sz w:val="40"/>
          <w:lang w:val="en-US"/>
        </w:rPr>
        <w:t>S&amp;P 500 Realized Variance Forecasting</w:t>
      </w:r>
    </w:p>
    <w:p>
      <w:pPr>
        <w:widowControl/>
        <w:spacing w:after="100" w:line="276" w:lineRule="auto"/>
        <w:jc w:val="center"/>
      </w:pPr>
      <w:r>
        <w:rPr>
          <w:rFonts w:ascii="Arial" w:hAnsi="Arial" w:eastAsia="Arial" w:cs="Arial"/>
          <w:b w:val="0"/>
          <w:color w:val="000000"/>
          <w:sz w:val="22"/>
          <w:lang w:val="en-US"/>
        </w:rPr>
        <w:t>Data Analysis Model Specification and Out-of-Sample Evaluation</w:t>
      </w:r>
    </w:p>
    <w:p>
      <w:pPr>
        <w:widowControl/>
        <w:spacing w:line="276" w:lineRule="auto" w:before="0" w:after="100"/>
        <w:ind w:firstLine="420"/>
        <w:jc w:val="both"/>
        <w:snapToGrid w:val="0"/>
      </w:pPr>
      <w:r>
        <w:rPr>
          <w:rFonts w:ascii="Arial" w:hAnsi="Arial" w:eastAsia="Arial"/>
          <w:color w:val="000000"/>
          <w:sz w:val="21"/>
          <w:lang w:val="en-US"/>
        </w:rPr>
        <w:t>This report uses a heterogeneous autoregressive realized volatility model to forecast next-trading-day log realized variance for the S&amp;P 500 Index. The model combines daily, weekly, and monthly volatility information and uses chronological sample splits. Adding Lag 2 lowers mean squared error by approximately 1.47% in five-fold time-series cross-validation and 1.49% on the independent test set. The evidence supports retaining Lag 2, but the gain is small and significant residual autocorrelation remains in the test period.</w:t>
      </w:r>
    </w:p>
    <w:p>
      <w:pPr>
        <w:pStyle w:val="Heading1"/>
        <w:keepNext/>
        <w:widowControl/>
        <w:spacing w:before="200" w:after="100"/>
      </w:pPr>
      <w:r>
        <w:rPr>
          <w:rFonts w:ascii="Arial" w:hAnsi="Arial" w:eastAsia="Arial" w:cs="Arial"/>
          <w:b/>
          <w:color w:val="000000"/>
          <w:u w:val="none"/>
          <w:lang w:val="en-US"/>
        </w:rPr>
        <w:t>1 Data and Descriptive Statistics</w:t>
      </w:r>
    </w:p>
    <w:p>
      <w:pPr>
        <w:widowControl/>
        <w:spacing w:line="276" w:lineRule="auto" w:before="0" w:after="100"/>
        <w:ind w:firstLine="420"/>
        <w:jc w:val="both"/>
        <w:snapToGrid w:val="0"/>
      </w:pPr>
      <w:r>
        <w:rPr>
          <w:rFonts w:ascii="Arial" w:hAnsi="Arial" w:eastAsia="Arial" w:cs="Times New Roman"/>
          <w:color w:val="000000"/>
          <w:sz w:val="22"/>
          <w:lang w:val="en-US"/>
        </w:rPr>
        <w:t>Descriptive statistics use training-period data only and cover the S&amp;P 500 Index (.SPX), Dow Jones Industrial Average (.DJI), and Russell 2000 Index (.RUT). None of the three series contains an invalid RV5 observation in the training sample. Realized variance measures daily variation, and the model forecasts its logarithm.</w:t>
      </w:r>
    </w:p>
    <w:p>
      <w:pPr>
        <w:keepNext/>
        <w:widowControl/>
        <w:spacing w:before="80" w:after="100" w:line="276" w:lineRule="auto"/>
        <w:ind w:firstLine="0"/>
        <w:jc w:val="center"/>
      </w:pPr>
      <w:r>
        <w:rPr>
          <w:rFonts w:ascii="Arial" w:hAnsi="Arial" w:eastAsia="Arial" w:cs="Times New Roman"/>
          <w:color w:val="000000"/>
          <w:sz w:val="20"/>
          <w:lang w:val="en-US"/>
        </w:rPr>
        <w:t>Table 1 Training-Period Return and Realized Variance Statistics</w:t>
      </w:r>
    </w:p>
    <w:tbl>
      <w:tblPr>
        <w:tblW w:type="auto" w:w="0"/>
        <w:tblLayout w:type="fixed"/>
        <w:tblLook w:firstColumn="1" w:firstRow="1" w:lastColumn="0" w:lastRow="0" w:noHBand="0" w:noVBand="1" w:val="04A0"/>
        <w:jc w:val="center"/>
        <w:tblBorders>
          <w:top w:val="single" w:sz="6" w:color="D9D9D9"/>
          <w:left w:val="single" w:sz="6" w:color="D9D9D9"/>
          <w:bottom w:val="single" w:sz="6" w:color="D9D9D9"/>
          <w:right w:val="single" w:sz="6" w:color="D9D9D9"/>
          <w:insideH w:val="single" w:sz="6" w:color="D9D9D9"/>
          <w:insideV w:val="single" w:sz="6" w:color="D9D9D9"/>
        </w:tblBorders>
      </w:tblPr>
      <w:tblGrid>
        <w:gridCol w:w="737"/>
        <w:gridCol w:w="879"/>
        <w:gridCol w:w="879"/>
        <w:gridCol w:w="964"/>
        <w:gridCol w:w="964"/>
        <w:gridCol w:w="964"/>
        <w:gridCol w:w="964"/>
        <w:gridCol w:w="964"/>
        <w:gridCol w:w="737"/>
      </w:tblGrid>
      <w:tr>
        <w:trPr>
          <w:tblHeader/>
          <w:cantSplit/>
          <w:tblHeader/>
        </w:trPr>
        <w:tc>
          <w:tcPr>
            <w:tcW w:type="dxa" w:w="792"/>
            <w:vAlign w:val="center"/>
            <w:tcMar>
              <w:top w:w="100" w:type="dxa"/>
              <w:start w:w="120" w:type="dxa"/>
              <w:bottom w:w="100" w:type="dxa"/>
              <w:end w:w="120" w:type="dxa"/>
              <w:left w:w="75" w:type="dxa"/>
              <w:right w:w="75" w:type="dxa"/>
            </w:tcMar>
            <w:shd w:fill="1F4E78"/>
            <w:tcBorders>
              <w:top w:val="single" w:sz="4" w:color="D9D9D9"/>
              <w:left w:val="single" w:sz="4" w:color="D9D9D9"/>
              <w:bottom w:val="single" w:sz="4" w:color="D9D9D9"/>
              <w:right w:val="single" w:sz="4" w:color="D9D9D9"/>
            </w:tcBorders>
          </w:tcPr>
          <w:p>
            <w:pPr>
              <w:jc w:val="center"/>
            </w:pPr>
            <w:r>
              <w:rPr>
                <w:rFonts w:ascii="Arial" w:hAnsi="Arial" w:eastAsia="Arial"/>
                <w:b/>
                <w:color w:val="FFFFFF"/>
                <w:sz w:val="15"/>
                <w:lang w:val="en-US"/>
              </w:rPr>
              <w:t>Index</w:t>
            </w:r>
          </w:p>
        </w:tc>
        <w:tc>
          <w:tcPr>
            <w:tcW w:type="dxa" w:w="893"/>
            <w:vAlign w:val="center"/>
            <w:tcMar>
              <w:top w:w="100" w:type="dxa"/>
              <w:start w:w="120" w:type="dxa"/>
              <w:bottom w:w="100" w:type="dxa"/>
              <w:end w:w="120" w:type="dxa"/>
              <w:left w:w="75" w:type="dxa"/>
              <w:right w:w="75" w:type="dxa"/>
            </w:tcMar>
            <w:shd w:fill="1F4E78"/>
            <w:tcBorders>
              <w:top w:val="single" w:sz="4" w:color="D9D9D9"/>
              <w:left w:val="single" w:sz="4" w:color="D9D9D9"/>
              <w:bottom w:val="single" w:sz="4" w:color="D9D9D9"/>
              <w:right w:val="single" w:sz="4" w:color="D9D9D9"/>
            </w:tcBorders>
          </w:tcPr>
          <w:p>
            <w:pPr>
              <w:jc w:val="center"/>
            </w:pPr>
            <w:r>
              <w:rPr>
                <w:rFonts w:ascii="Arial" w:hAnsi="Arial" w:eastAsia="Arial"/>
                <w:b/>
                <w:color w:val="FFFFFF"/>
                <w:sz w:val="15"/>
                <w:lang w:val="en-US"/>
              </w:rPr>
              <w:t>N</w:t>
            </w:r>
          </w:p>
        </w:tc>
        <w:tc>
          <w:tcPr>
            <w:tcW w:type="dxa" w:w="936"/>
            <w:vAlign w:val="center"/>
            <w:tcMar>
              <w:top w:w="100" w:type="dxa"/>
              <w:start w:w="120" w:type="dxa"/>
              <w:bottom w:w="100" w:type="dxa"/>
              <w:end w:w="120" w:type="dxa"/>
              <w:left w:w="75" w:type="dxa"/>
              <w:right w:w="75" w:type="dxa"/>
            </w:tcMar>
            <w:shd w:fill="1F4E78"/>
            <w:tcBorders>
              <w:top w:val="single" w:sz="4" w:color="D9D9D9"/>
              <w:left w:val="single" w:sz="4" w:color="D9D9D9"/>
              <w:bottom w:val="single" w:sz="4" w:color="D9D9D9"/>
              <w:right w:val="single" w:sz="4" w:color="D9D9D9"/>
            </w:tcBorders>
          </w:tcPr>
          <w:p>
            <w:pPr>
              <w:jc w:val="center"/>
            </w:pPr>
            <w:r>
              <w:rPr>
                <w:rFonts w:ascii="Arial" w:hAnsi="Arial" w:eastAsia="Arial"/>
                <w:b/>
                <w:color w:val="FFFFFF"/>
                <w:sz w:val="15"/>
                <w:lang w:val="en-US"/>
              </w:rPr>
              <w:t>N Return</w:t>
            </w:r>
          </w:p>
        </w:tc>
        <w:tc>
          <w:tcPr>
            <w:tcW w:type="dxa" w:w="1181"/>
            <w:vAlign w:val="center"/>
            <w:tcMar>
              <w:top w:w="100" w:type="dxa"/>
              <w:start w:w="120" w:type="dxa"/>
              <w:bottom w:w="100" w:type="dxa"/>
              <w:end w:w="120" w:type="dxa"/>
              <w:left w:w="75" w:type="dxa"/>
              <w:right w:w="75" w:type="dxa"/>
            </w:tcMar>
            <w:shd w:fill="1F4E78"/>
            <w:tcBorders>
              <w:top w:val="single" w:sz="4" w:color="D9D9D9"/>
              <w:left w:val="single" w:sz="4" w:color="D9D9D9"/>
              <w:bottom w:val="single" w:sz="4" w:color="D9D9D9"/>
              <w:right w:val="single" w:sz="4" w:color="D9D9D9"/>
            </w:tcBorders>
          </w:tcPr>
          <w:p>
            <w:pPr>
              <w:jc w:val="center"/>
            </w:pPr>
            <w:r>
              <w:rPr>
                <w:rFonts w:ascii="Arial" w:hAnsi="Arial" w:eastAsia="Arial"/>
                <w:b/>
                <w:color w:val="FFFFFF"/>
                <w:sz w:val="15"/>
                <w:lang w:val="en-US"/>
              </w:rPr>
              <w:t>Mean Return</w:t>
            </w:r>
          </w:p>
        </w:tc>
        <w:tc>
          <w:tcPr>
            <w:tcW w:type="dxa" w:w="1123"/>
            <w:vAlign w:val="center"/>
            <w:tcMar>
              <w:top w:w="100" w:type="dxa"/>
              <w:start w:w="120" w:type="dxa"/>
              <w:bottom w:w="100" w:type="dxa"/>
              <w:end w:w="120" w:type="dxa"/>
              <w:left w:w="75" w:type="dxa"/>
              <w:right w:w="75" w:type="dxa"/>
            </w:tcMar>
            <w:shd w:fill="1F4E78"/>
            <w:tcBorders>
              <w:top w:val="single" w:sz="4" w:color="D9D9D9"/>
              <w:left w:val="single" w:sz="4" w:color="D9D9D9"/>
              <w:bottom w:val="single" w:sz="4" w:color="D9D9D9"/>
              <w:right w:val="single" w:sz="4" w:color="D9D9D9"/>
            </w:tcBorders>
          </w:tcPr>
          <w:p>
            <w:pPr>
              <w:jc w:val="center"/>
            </w:pPr>
            <w:r>
              <w:rPr>
                <w:rFonts w:ascii="Arial" w:hAnsi="Arial" w:eastAsia="Arial"/>
                <w:b/>
                <w:color w:val="FFFFFF"/>
                <w:sz w:val="15"/>
                <w:lang w:val="en-US"/>
              </w:rPr>
              <w:t>Std. Ret.</w:t>
            </w:r>
          </w:p>
        </w:tc>
        <w:tc>
          <w:tcPr>
            <w:tcW w:type="dxa" w:w="1080"/>
            <w:vAlign w:val="center"/>
            <w:tcMar>
              <w:top w:w="100" w:type="dxa"/>
              <w:start w:w="120" w:type="dxa"/>
              <w:bottom w:w="100" w:type="dxa"/>
              <w:end w:w="120" w:type="dxa"/>
              <w:left w:w="75" w:type="dxa"/>
              <w:right w:w="75" w:type="dxa"/>
            </w:tcMar>
            <w:shd w:fill="1F4E78"/>
            <w:tcBorders>
              <w:top w:val="single" w:sz="4" w:color="D9D9D9"/>
              <w:left w:val="single" w:sz="4" w:color="D9D9D9"/>
              <w:bottom w:val="single" w:sz="4" w:color="D9D9D9"/>
              <w:right w:val="single" w:sz="4" w:color="D9D9D9"/>
            </w:tcBorders>
          </w:tcPr>
          <w:p>
            <w:pPr>
              <w:jc w:val="center"/>
            </w:pPr>
            <w:r>
              <w:rPr>
                <w:rFonts w:ascii="Arial" w:hAnsi="Arial" w:eastAsia="Arial"/>
                <w:b/>
                <w:color w:val="FFFFFF"/>
                <w:sz w:val="15"/>
                <w:lang w:val="en-US"/>
              </w:rPr>
              <w:t>Skew</w:t>
            </w:r>
          </w:p>
        </w:tc>
        <w:tc>
          <w:tcPr>
            <w:tcW w:type="dxa" w:w="1123"/>
            <w:vAlign w:val="center"/>
            <w:tcMar>
              <w:top w:w="100" w:type="dxa"/>
              <w:start w:w="120" w:type="dxa"/>
              <w:bottom w:w="100" w:type="dxa"/>
              <w:end w:w="120" w:type="dxa"/>
              <w:left w:w="75" w:type="dxa"/>
              <w:right w:w="75" w:type="dxa"/>
            </w:tcMar>
            <w:shd w:fill="1F4E78"/>
            <w:tcBorders>
              <w:top w:val="single" w:sz="4" w:color="D9D9D9"/>
              <w:left w:val="single" w:sz="4" w:color="D9D9D9"/>
              <w:bottom w:val="single" w:sz="4" w:color="D9D9D9"/>
              <w:right w:val="single" w:sz="4" w:color="D9D9D9"/>
            </w:tcBorders>
          </w:tcPr>
          <w:p>
            <w:pPr>
              <w:jc w:val="center"/>
            </w:pPr>
            <w:r>
              <w:rPr>
                <w:rFonts w:ascii="Arial" w:hAnsi="Arial" w:eastAsia="Arial"/>
                <w:b/>
                <w:color w:val="FFFFFF"/>
                <w:sz w:val="15"/>
                <w:lang w:val="en-US"/>
              </w:rPr>
              <w:t>Excess Kurt.</w:t>
            </w:r>
          </w:p>
        </w:tc>
        <w:tc>
          <w:tcPr>
            <w:tcW w:type="dxa" w:w="1238"/>
            <w:vAlign w:val="center"/>
            <w:tcMar>
              <w:top w:w="100" w:type="dxa"/>
              <w:start w:w="120" w:type="dxa"/>
              <w:bottom w:w="100" w:type="dxa"/>
              <w:end w:w="120" w:type="dxa"/>
              <w:left w:w="75" w:type="dxa"/>
              <w:right w:w="75" w:type="dxa"/>
            </w:tcMar>
            <w:shd w:fill="1F4E78"/>
            <w:tcBorders>
              <w:top w:val="single" w:sz="4" w:color="D9D9D9"/>
              <w:left w:val="single" w:sz="4" w:color="D9D9D9"/>
              <w:bottom w:val="single" w:sz="4" w:color="D9D9D9"/>
              <w:right w:val="single" w:sz="4" w:color="D9D9D9"/>
            </w:tcBorders>
          </w:tcPr>
          <w:p>
            <w:pPr>
              <w:jc w:val="center"/>
            </w:pPr>
            <w:r>
              <w:rPr>
                <w:rFonts w:ascii="Arial" w:hAnsi="Arial" w:eastAsia="Arial"/>
                <w:b/>
                <w:color w:val="FFFFFF"/>
                <w:sz w:val="15"/>
                <w:lang w:val="en-US"/>
              </w:rPr>
              <w:t>Mean RV5</w:t>
            </w:r>
          </w:p>
        </w:tc>
        <w:tc>
          <w:tcPr>
            <w:tcW w:type="dxa" w:w="835"/>
            <w:vAlign w:val="center"/>
            <w:tcMar>
              <w:top w:w="100" w:type="dxa"/>
              <w:start w:w="120" w:type="dxa"/>
              <w:bottom w:w="100" w:type="dxa"/>
              <w:end w:w="120" w:type="dxa"/>
              <w:left w:w="75" w:type="dxa"/>
              <w:right w:w="75" w:type="dxa"/>
            </w:tcMar>
            <w:shd w:fill="1F4E78"/>
            <w:tcBorders>
              <w:top w:val="single" w:sz="4" w:color="D9D9D9"/>
              <w:left w:val="single" w:sz="4" w:color="D9D9D9"/>
              <w:bottom w:val="single" w:sz="4" w:color="D9D9D9"/>
              <w:right w:val="single" w:sz="4" w:color="D9D9D9"/>
            </w:tcBorders>
          </w:tcPr>
          <w:p>
            <w:pPr>
              <w:jc w:val="center"/>
            </w:pPr>
            <w:r>
              <w:rPr>
                <w:rFonts w:ascii="Arial" w:hAnsi="Arial" w:eastAsia="Arial"/>
                <w:b/>
                <w:color w:val="FFFFFF"/>
                <w:sz w:val="15"/>
                <w:lang w:val="en-US"/>
              </w:rPr>
              <w:t>Invalid</w:t>
            </w:r>
          </w:p>
        </w:tc>
      </w:tr>
      <w:tr>
        <w:trPr>
          <w:cantSplit/>
        </w:trPr>
        <w:tc>
          <w:tcPr>
            <w:tcW w:type="dxa" w:w="792"/>
            <w:vAlign w:val="center"/>
            <w:tcMar>
              <w:top w:w="100" w:type="dxa"/>
              <w:start w:w="120" w:type="dxa"/>
              <w:bottom w:w="100" w:type="dxa"/>
              <w:end w:w="120" w:type="dxa"/>
              <w:left w:w="75" w:type="dxa"/>
              <w:right w:w="75" w:type="dxa"/>
            </w:tcMar>
            <w:shd w:fill="FFFFFF"/>
            <w:tcBorders>
              <w:top w:val="single" w:sz="4" w:color="D9D9D9"/>
              <w:left w:val="single" w:sz="4" w:color="D9D9D9"/>
              <w:bottom w:val="single" w:sz="4" w:color="D9D9D9"/>
              <w:right w:val="single" w:sz="4" w:color="D9D9D9"/>
            </w:tcBorders>
          </w:tcPr>
          <w:p>
            <w:pPr>
              <w:jc w:val="center"/>
            </w:pPr>
            <w:r>
              <w:rPr>
                <w:rFonts w:ascii="Arial" w:hAnsi="Arial" w:eastAsia="Arial"/>
                <w:b w:val="0"/>
                <w:color w:val="000000"/>
                <w:sz w:val="15"/>
                <w:lang w:val="en-US"/>
              </w:rPr>
              <w:t>.SPX</w:t>
            </w:r>
          </w:p>
        </w:tc>
        <w:tc>
          <w:tcPr>
            <w:tcW w:type="dxa" w:w="893"/>
            <w:vAlign w:val="center"/>
            <w:tcMar>
              <w:top w:w="100" w:type="dxa"/>
              <w:start w:w="120" w:type="dxa"/>
              <w:bottom w:w="100" w:type="dxa"/>
              <w:end w:w="120" w:type="dxa"/>
              <w:left w:w="75" w:type="dxa"/>
              <w:right w:w="75" w:type="dxa"/>
            </w:tcMar>
            <w:shd w:fill="FFFFFF"/>
            <w:tcBorders>
              <w:top w:val="single" w:sz="4" w:color="D9D9D9"/>
              <w:left w:val="single" w:sz="4" w:color="D9D9D9"/>
              <w:bottom w:val="single" w:sz="4" w:color="D9D9D9"/>
              <w:right w:val="single" w:sz="4" w:color="D9D9D9"/>
            </w:tcBorders>
          </w:tcPr>
          <w:p>
            <w:pPr>
              <w:jc w:val="center"/>
            </w:pPr>
            <w:r>
              <w:rPr>
                <w:rFonts w:ascii="Arial" w:hAnsi="Arial" w:eastAsia="Arial"/>
                <w:b w:val="0"/>
                <w:color w:val="000000"/>
                <w:sz w:val="15"/>
                <w:lang w:val="en-US"/>
              </w:rPr>
              <w:t>2,791</w:t>
            </w:r>
          </w:p>
        </w:tc>
        <w:tc>
          <w:tcPr>
            <w:tcW w:type="dxa" w:w="936"/>
            <w:vAlign w:val="center"/>
            <w:tcMar>
              <w:top w:w="100" w:type="dxa"/>
              <w:start w:w="120" w:type="dxa"/>
              <w:bottom w:w="100" w:type="dxa"/>
              <w:end w:w="120" w:type="dxa"/>
              <w:left w:w="75" w:type="dxa"/>
              <w:right w:w="75" w:type="dxa"/>
            </w:tcMar>
            <w:shd w:fill="FFFFFF"/>
            <w:tcBorders>
              <w:top w:val="single" w:sz="4" w:color="D9D9D9"/>
              <w:left w:val="single" w:sz="4" w:color="D9D9D9"/>
              <w:bottom w:val="single" w:sz="4" w:color="D9D9D9"/>
              <w:right w:val="single" w:sz="4" w:color="D9D9D9"/>
            </w:tcBorders>
          </w:tcPr>
          <w:p>
            <w:pPr>
              <w:jc w:val="center"/>
            </w:pPr>
            <w:r>
              <w:rPr>
                <w:rFonts w:ascii="Arial" w:hAnsi="Arial" w:eastAsia="Arial"/>
                <w:b w:val="0"/>
                <w:color w:val="000000"/>
                <w:sz w:val="15"/>
                <w:lang w:val="en-US"/>
              </w:rPr>
              <w:t>2,791</w:t>
            </w:r>
          </w:p>
        </w:tc>
        <w:tc>
          <w:tcPr>
            <w:tcW w:type="dxa" w:w="1181"/>
            <w:vAlign w:val="center"/>
            <w:tcMar>
              <w:top w:w="100" w:type="dxa"/>
              <w:start w:w="120" w:type="dxa"/>
              <w:bottom w:w="100" w:type="dxa"/>
              <w:end w:w="120" w:type="dxa"/>
              <w:left w:w="75" w:type="dxa"/>
              <w:right w:w="75" w:type="dxa"/>
            </w:tcMar>
            <w:shd w:fill="FFFFFF"/>
            <w:tcBorders>
              <w:top w:val="single" w:sz="4" w:color="D9D9D9"/>
              <w:left w:val="single" w:sz="4" w:color="D9D9D9"/>
              <w:bottom w:val="single" w:sz="4" w:color="D9D9D9"/>
              <w:right w:val="single" w:sz="4" w:color="D9D9D9"/>
            </w:tcBorders>
          </w:tcPr>
          <w:p>
            <w:pPr>
              <w:jc w:val="center"/>
            </w:pPr>
            <w:r>
              <w:rPr>
                <w:rFonts w:ascii="Arial" w:hAnsi="Arial" w:eastAsia="Arial"/>
                <w:b w:val="0"/>
                <w:color w:val="000000"/>
                <w:sz w:val="15"/>
                <w:lang w:val="en-US"/>
              </w:rPr>
              <w:t>-0.000036</w:t>
            </w:r>
          </w:p>
        </w:tc>
        <w:tc>
          <w:tcPr>
            <w:tcW w:type="dxa" w:w="1123"/>
            <w:vAlign w:val="center"/>
            <w:tcMar>
              <w:top w:w="100" w:type="dxa"/>
              <w:start w:w="120" w:type="dxa"/>
              <w:bottom w:w="100" w:type="dxa"/>
              <w:end w:w="120" w:type="dxa"/>
              <w:left w:w="75" w:type="dxa"/>
              <w:right w:w="75" w:type="dxa"/>
            </w:tcMar>
            <w:shd w:fill="FFFFFF"/>
            <w:tcBorders>
              <w:top w:val="single" w:sz="4" w:color="D9D9D9"/>
              <w:left w:val="single" w:sz="4" w:color="D9D9D9"/>
              <w:bottom w:val="single" w:sz="4" w:color="D9D9D9"/>
              <w:right w:val="single" w:sz="4" w:color="D9D9D9"/>
            </w:tcBorders>
          </w:tcPr>
          <w:p>
            <w:pPr>
              <w:jc w:val="center"/>
            </w:pPr>
            <w:r>
              <w:rPr>
                <w:rFonts w:ascii="Arial" w:hAnsi="Arial" w:eastAsia="Arial"/>
                <w:b w:val="0"/>
                <w:color w:val="000000"/>
                <w:sz w:val="15"/>
                <w:lang w:val="en-US"/>
              </w:rPr>
              <w:t>0.012895</w:t>
            </w:r>
          </w:p>
        </w:tc>
        <w:tc>
          <w:tcPr>
            <w:tcW w:type="dxa" w:w="1080"/>
            <w:vAlign w:val="center"/>
            <w:tcMar>
              <w:top w:w="100" w:type="dxa"/>
              <w:start w:w="120" w:type="dxa"/>
              <w:bottom w:w="100" w:type="dxa"/>
              <w:end w:w="120" w:type="dxa"/>
              <w:left w:w="75" w:type="dxa"/>
              <w:right w:w="75" w:type="dxa"/>
            </w:tcMar>
            <w:shd w:fill="FFFFFF"/>
            <w:tcBorders>
              <w:top w:val="single" w:sz="4" w:color="D9D9D9"/>
              <w:left w:val="single" w:sz="4" w:color="D9D9D9"/>
              <w:bottom w:val="single" w:sz="4" w:color="D9D9D9"/>
              <w:right w:val="single" w:sz="4" w:color="D9D9D9"/>
            </w:tcBorders>
          </w:tcPr>
          <w:p>
            <w:pPr>
              <w:jc w:val="center"/>
            </w:pPr>
            <w:r>
              <w:rPr>
                <w:rFonts w:ascii="Arial" w:hAnsi="Arial" w:eastAsia="Arial"/>
                <w:b w:val="0"/>
                <w:color w:val="000000"/>
                <w:sz w:val="15"/>
                <w:lang w:val="en-US"/>
              </w:rPr>
              <w:t>-0.090205</w:t>
            </w:r>
          </w:p>
        </w:tc>
        <w:tc>
          <w:tcPr>
            <w:tcW w:type="dxa" w:w="1123"/>
            <w:vAlign w:val="center"/>
            <w:tcMar>
              <w:top w:w="100" w:type="dxa"/>
              <w:start w:w="120" w:type="dxa"/>
              <w:bottom w:w="100" w:type="dxa"/>
              <w:end w:w="120" w:type="dxa"/>
              <w:left w:w="75" w:type="dxa"/>
              <w:right w:w="75" w:type="dxa"/>
            </w:tcMar>
            <w:shd w:fill="FFFFFF"/>
            <w:tcBorders>
              <w:top w:val="single" w:sz="4" w:color="D9D9D9"/>
              <w:left w:val="single" w:sz="4" w:color="D9D9D9"/>
              <w:bottom w:val="single" w:sz="4" w:color="D9D9D9"/>
              <w:right w:val="single" w:sz="4" w:color="D9D9D9"/>
            </w:tcBorders>
          </w:tcPr>
          <w:p>
            <w:pPr>
              <w:jc w:val="center"/>
            </w:pPr>
            <w:r>
              <w:rPr>
                <w:rFonts w:ascii="Arial" w:hAnsi="Arial" w:eastAsia="Arial"/>
                <w:b w:val="0"/>
                <w:color w:val="000000"/>
                <w:sz w:val="15"/>
                <w:lang w:val="en-US"/>
              </w:rPr>
              <w:t>7.370035</w:t>
            </w:r>
          </w:p>
        </w:tc>
        <w:tc>
          <w:tcPr>
            <w:tcW w:type="dxa" w:w="1238"/>
            <w:vAlign w:val="center"/>
            <w:tcMar>
              <w:top w:w="100" w:type="dxa"/>
              <w:start w:w="120" w:type="dxa"/>
              <w:bottom w:w="100" w:type="dxa"/>
              <w:end w:w="120" w:type="dxa"/>
              <w:left w:w="75" w:type="dxa"/>
              <w:right w:w="75" w:type="dxa"/>
            </w:tcMar>
            <w:shd w:fill="FFFFFF"/>
            <w:tcBorders>
              <w:top w:val="single" w:sz="4" w:color="D9D9D9"/>
              <w:left w:val="single" w:sz="4" w:color="D9D9D9"/>
              <w:bottom w:val="single" w:sz="4" w:color="D9D9D9"/>
              <w:right w:val="single" w:sz="4" w:color="D9D9D9"/>
            </w:tcBorders>
          </w:tcPr>
          <w:p>
            <w:pPr>
              <w:jc w:val="center"/>
            </w:pPr>
            <w:r>
              <w:rPr>
                <w:rFonts w:ascii="Arial" w:hAnsi="Arial" w:eastAsia="Arial"/>
                <w:b w:val="0"/>
                <w:color w:val="000000"/>
                <w:sz w:val="15"/>
                <w:lang w:val="en-US"/>
              </w:rPr>
              <w:t>0.000139</w:t>
            </w:r>
          </w:p>
        </w:tc>
        <w:tc>
          <w:tcPr>
            <w:tcW w:type="dxa" w:w="835"/>
            <w:vAlign w:val="center"/>
            <w:tcMar>
              <w:top w:w="100" w:type="dxa"/>
              <w:start w:w="120" w:type="dxa"/>
              <w:bottom w:w="100" w:type="dxa"/>
              <w:end w:w="120" w:type="dxa"/>
              <w:left w:w="75" w:type="dxa"/>
              <w:right w:w="75" w:type="dxa"/>
            </w:tcMar>
            <w:shd w:fill="FFFFFF"/>
            <w:tcBorders>
              <w:top w:val="single" w:sz="4" w:color="D9D9D9"/>
              <w:left w:val="single" w:sz="4" w:color="D9D9D9"/>
              <w:bottom w:val="single" w:sz="4" w:color="D9D9D9"/>
              <w:right w:val="single" w:sz="4" w:color="D9D9D9"/>
            </w:tcBorders>
          </w:tcPr>
          <w:p>
            <w:pPr>
              <w:jc w:val="center"/>
            </w:pPr>
            <w:r>
              <w:rPr>
                <w:rFonts w:ascii="Arial" w:hAnsi="Arial" w:eastAsia="Arial"/>
                <w:b w:val="0"/>
                <w:color w:val="000000"/>
                <w:sz w:val="15"/>
                <w:lang w:val="en-US"/>
              </w:rPr>
              <w:t>0</w:t>
            </w:r>
          </w:p>
        </w:tc>
      </w:tr>
      <w:tr>
        <w:trPr>
          <w:cantSplit/>
        </w:trPr>
        <w:tc>
          <w:tcPr>
            <w:tcW w:type="dxa" w:w="792"/>
            <w:vAlign w:val="center"/>
            <w:tcMar>
              <w:top w:w="100" w:type="dxa"/>
              <w:start w:w="120" w:type="dxa"/>
              <w:bottom w:w="100" w:type="dxa"/>
              <w:end w:w="120" w:type="dxa"/>
              <w:left w:w="75" w:type="dxa"/>
              <w:right w:w="75" w:type="dxa"/>
            </w:tcMar>
            <w:shd w:fill="EAF2F8"/>
            <w:tcBorders>
              <w:top w:val="single" w:sz="4" w:color="D9D9D9"/>
              <w:left w:val="single" w:sz="4" w:color="D9D9D9"/>
              <w:bottom w:val="single" w:sz="4" w:color="D9D9D9"/>
              <w:right w:val="single" w:sz="4" w:color="D9D9D9"/>
            </w:tcBorders>
          </w:tcPr>
          <w:p>
            <w:pPr>
              <w:jc w:val="center"/>
            </w:pPr>
            <w:r>
              <w:rPr>
                <w:rFonts w:ascii="Arial" w:hAnsi="Arial" w:eastAsia="Arial"/>
                <w:b w:val="0"/>
                <w:color w:val="000000"/>
                <w:sz w:val="15"/>
                <w:lang w:val="en-US"/>
              </w:rPr>
              <w:t>.DJI</w:t>
            </w:r>
          </w:p>
        </w:tc>
        <w:tc>
          <w:tcPr>
            <w:tcW w:type="dxa" w:w="893"/>
            <w:vAlign w:val="center"/>
            <w:tcMar>
              <w:top w:w="100" w:type="dxa"/>
              <w:start w:w="120" w:type="dxa"/>
              <w:bottom w:w="100" w:type="dxa"/>
              <w:end w:w="120" w:type="dxa"/>
              <w:left w:w="75" w:type="dxa"/>
              <w:right w:w="75" w:type="dxa"/>
            </w:tcMar>
            <w:shd w:fill="EAF2F8"/>
            <w:tcBorders>
              <w:top w:val="single" w:sz="4" w:color="D9D9D9"/>
              <w:left w:val="single" w:sz="4" w:color="D9D9D9"/>
              <w:bottom w:val="single" w:sz="4" w:color="D9D9D9"/>
              <w:right w:val="single" w:sz="4" w:color="D9D9D9"/>
            </w:tcBorders>
          </w:tcPr>
          <w:p>
            <w:pPr>
              <w:jc w:val="center"/>
            </w:pPr>
            <w:r>
              <w:rPr>
                <w:rFonts w:ascii="Arial" w:hAnsi="Arial" w:eastAsia="Arial"/>
                <w:b w:val="0"/>
                <w:color w:val="000000"/>
                <w:sz w:val="15"/>
                <w:lang w:val="en-US"/>
              </w:rPr>
              <w:t>2,790</w:t>
            </w:r>
          </w:p>
        </w:tc>
        <w:tc>
          <w:tcPr>
            <w:tcW w:type="dxa" w:w="936"/>
            <w:vAlign w:val="center"/>
            <w:tcMar>
              <w:top w:w="100" w:type="dxa"/>
              <w:start w:w="120" w:type="dxa"/>
              <w:bottom w:w="100" w:type="dxa"/>
              <w:end w:w="120" w:type="dxa"/>
              <w:left w:w="75" w:type="dxa"/>
              <w:right w:w="75" w:type="dxa"/>
            </w:tcMar>
            <w:shd w:fill="EAF2F8"/>
            <w:tcBorders>
              <w:top w:val="single" w:sz="4" w:color="D9D9D9"/>
              <w:left w:val="single" w:sz="4" w:color="D9D9D9"/>
              <w:bottom w:val="single" w:sz="4" w:color="D9D9D9"/>
              <w:right w:val="single" w:sz="4" w:color="D9D9D9"/>
            </w:tcBorders>
          </w:tcPr>
          <w:p>
            <w:pPr>
              <w:jc w:val="center"/>
            </w:pPr>
            <w:r>
              <w:rPr>
                <w:rFonts w:ascii="Arial" w:hAnsi="Arial" w:eastAsia="Arial"/>
                <w:b w:val="0"/>
                <w:color w:val="000000"/>
                <w:sz w:val="15"/>
                <w:lang w:val="en-US"/>
              </w:rPr>
              <w:t>2,790</w:t>
            </w:r>
          </w:p>
        </w:tc>
        <w:tc>
          <w:tcPr>
            <w:tcW w:type="dxa" w:w="1181"/>
            <w:vAlign w:val="center"/>
            <w:tcMar>
              <w:top w:w="100" w:type="dxa"/>
              <w:start w:w="120" w:type="dxa"/>
              <w:bottom w:w="100" w:type="dxa"/>
              <w:end w:w="120" w:type="dxa"/>
              <w:left w:w="75" w:type="dxa"/>
              <w:right w:w="75" w:type="dxa"/>
            </w:tcMar>
            <w:shd w:fill="EAF2F8"/>
            <w:tcBorders>
              <w:top w:val="single" w:sz="4" w:color="D9D9D9"/>
              <w:left w:val="single" w:sz="4" w:color="D9D9D9"/>
              <w:bottom w:val="single" w:sz="4" w:color="D9D9D9"/>
              <w:right w:val="single" w:sz="4" w:color="D9D9D9"/>
            </w:tcBorders>
          </w:tcPr>
          <w:p>
            <w:pPr>
              <w:jc w:val="center"/>
            </w:pPr>
            <w:r>
              <w:rPr>
                <w:rFonts w:ascii="Arial" w:hAnsi="Arial" w:eastAsia="Arial"/>
                <w:b w:val="0"/>
                <w:color w:val="000000"/>
                <w:sz w:val="15"/>
                <w:lang w:val="en-US"/>
              </w:rPr>
              <w:t>0.000144</w:t>
            </w:r>
          </w:p>
        </w:tc>
        <w:tc>
          <w:tcPr>
            <w:tcW w:type="dxa" w:w="1123"/>
            <w:vAlign w:val="center"/>
            <w:tcMar>
              <w:top w:w="100" w:type="dxa"/>
              <w:start w:w="120" w:type="dxa"/>
              <w:bottom w:w="100" w:type="dxa"/>
              <w:end w:w="120" w:type="dxa"/>
              <w:left w:w="75" w:type="dxa"/>
              <w:right w:w="75" w:type="dxa"/>
            </w:tcMar>
            <w:shd w:fill="EAF2F8"/>
            <w:tcBorders>
              <w:top w:val="single" w:sz="4" w:color="D9D9D9"/>
              <w:left w:val="single" w:sz="4" w:color="D9D9D9"/>
              <w:bottom w:val="single" w:sz="4" w:color="D9D9D9"/>
              <w:right w:val="single" w:sz="4" w:color="D9D9D9"/>
            </w:tcBorders>
          </w:tcPr>
          <w:p>
            <w:pPr>
              <w:jc w:val="center"/>
            </w:pPr>
            <w:r>
              <w:rPr>
                <w:rFonts w:ascii="Arial" w:hAnsi="Arial" w:eastAsia="Arial"/>
                <w:b w:val="0"/>
                <w:color w:val="000000"/>
                <w:sz w:val="15"/>
                <w:lang w:val="en-US"/>
              </w:rPr>
              <w:t>0.012617</w:t>
            </w:r>
          </w:p>
        </w:tc>
        <w:tc>
          <w:tcPr>
            <w:tcW w:type="dxa" w:w="1080"/>
            <w:vAlign w:val="center"/>
            <w:tcMar>
              <w:top w:w="100" w:type="dxa"/>
              <w:start w:w="120" w:type="dxa"/>
              <w:bottom w:w="100" w:type="dxa"/>
              <w:end w:w="120" w:type="dxa"/>
              <w:left w:w="75" w:type="dxa"/>
              <w:right w:w="75" w:type="dxa"/>
            </w:tcMar>
            <w:shd w:fill="EAF2F8"/>
            <w:tcBorders>
              <w:top w:val="single" w:sz="4" w:color="D9D9D9"/>
              <w:left w:val="single" w:sz="4" w:color="D9D9D9"/>
              <w:bottom w:val="single" w:sz="4" w:color="D9D9D9"/>
              <w:right w:val="single" w:sz="4" w:color="D9D9D9"/>
            </w:tcBorders>
          </w:tcPr>
          <w:p>
            <w:pPr>
              <w:jc w:val="center"/>
            </w:pPr>
            <w:r>
              <w:rPr>
                <w:rFonts w:ascii="Arial" w:hAnsi="Arial" w:eastAsia="Arial"/>
                <w:b w:val="0"/>
                <w:color w:val="000000"/>
                <w:sz w:val="15"/>
                <w:lang w:val="en-US"/>
              </w:rPr>
              <w:t>0.073539</w:t>
            </w:r>
          </w:p>
        </w:tc>
        <w:tc>
          <w:tcPr>
            <w:tcW w:type="dxa" w:w="1123"/>
            <w:vAlign w:val="center"/>
            <w:tcMar>
              <w:top w:w="100" w:type="dxa"/>
              <w:start w:w="120" w:type="dxa"/>
              <w:bottom w:w="100" w:type="dxa"/>
              <w:end w:w="120" w:type="dxa"/>
              <w:left w:w="75" w:type="dxa"/>
              <w:right w:w="75" w:type="dxa"/>
            </w:tcMar>
            <w:shd w:fill="EAF2F8"/>
            <w:tcBorders>
              <w:top w:val="single" w:sz="4" w:color="D9D9D9"/>
              <w:left w:val="single" w:sz="4" w:color="D9D9D9"/>
              <w:bottom w:val="single" w:sz="4" w:color="D9D9D9"/>
              <w:right w:val="single" w:sz="4" w:color="D9D9D9"/>
            </w:tcBorders>
          </w:tcPr>
          <w:p>
            <w:pPr>
              <w:jc w:val="center"/>
            </w:pPr>
            <w:r>
              <w:rPr>
                <w:rFonts w:ascii="Arial" w:hAnsi="Arial" w:eastAsia="Arial"/>
                <w:b w:val="0"/>
                <w:color w:val="000000"/>
                <w:sz w:val="15"/>
                <w:lang w:val="en-US"/>
              </w:rPr>
              <w:t>7.779407</w:t>
            </w:r>
          </w:p>
        </w:tc>
        <w:tc>
          <w:tcPr>
            <w:tcW w:type="dxa" w:w="1238"/>
            <w:vAlign w:val="center"/>
            <w:tcMar>
              <w:top w:w="100" w:type="dxa"/>
              <w:start w:w="120" w:type="dxa"/>
              <w:bottom w:w="100" w:type="dxa"/>
              <w:end w:w="120" w:type="dxa"/>
              <w:left w:w="75" w:type="dxa"/>
              <w:right w:w="75" w:type="dxa"/>
            </w:tcMar>
            <w:shd w:fill="EAF2F8"/>
            <w:tcBorders>
              <w:top w:val="single" w:sz="4" w:color="D9D9D9"/>
              <w:left w:val="single" w:sz="4" w:color="D9D9D9"/>
              <w:bottom w:val="single" w:sz="4" w:color="D9D9D9"/>
              <w:right w:val="single" w:sz="4" w:color="D9D9D9"/>
            </w:tcBorders>
          </w:tcPr>
          <w:p>
            <w:pPr>
              <w:jc w:val="center"/>
            </w:pPr>
            <w:r>
              <w:rPr>
                <w:rFonts w:ascii="Arial" w:hAnsi="Arial" w:eastAsia="Arial"/>
                <w:b w:val="0"/>
                <w:color w:val="000000"/>
                <w:sz w:val="15"/>
                <w:lang w:val="en-US"/>
              </w:rPr>
              <w:t>0.000141</w:t>
            </w:r>
          </w:p>
        </w:tc>
        <w:tc>
          <w:tcPr>
            <w:tcW w:type="dxa" w:w="835"/>
            <w:vAlign w:val="center"/>
            <w:tcMar>
              <w:top w:w="100" w:type="dxa"/>
              <w:start w:w="120" w:type="dxa"/>
              <w:bottom w:w="100" w:type="dxa"/>
              <w:end w:w="120" w:type="dxa"/>
              <w:left w:w="75" w:type="dxa"/>
              <w:right w:w="75" w:type="dxa"/>
            </w:tcMar>
            <w:shd w:fill="EAF2F8"/>
            <w:tcBorders>
              <w:top w:val="single" w:sz="4" w:color="D9D9D9"/>
              <w:left w:val="single" w:sz="4" w:color="D9D9D9"/>
              <w:bottom w:val="single" w:sz="4" w:color="D9D9D9"/>
              <w:right w:val="single" w:sz="4" w:color="D9D9D9"/>
            </w:tcBorders>
          </w:tcPr>
          <w:p>
            <w:pPr>
              <w:jc w:val="center"/>
            </w:pPr>
            <w:r>
              <w:rPr>
                <w:rFonts w:ascii="Arial" w:hAnsi="Arial" w:eastAsia="Arial"/>
                <w:b w:val="0"/>
                <w:color w:val="000000"/>
                <w:sz w:val="15"/>
                <w:lang w:val="en-US"/>
              </w:rPr>
              <w:t>0</w:t>
            </w:r>
          </w:p>
        </w:tc>
      </w:tr>
      <w:tr>
        <w:trPr>
          <w:cantSplit/>
        </w:trPr>
        <w:tc>
          <w:tcPr>
            <w:tcW w:type="dxa" w:w="792"/>
            <w:vAlign w:val="center"/>
            <w:tcMar>
              <w:top w:w="100" w:type="dxa"/>
              <w:start w:w="120" w:type="dxa"/>
              <w:bottom w:w="100" w:type="dxa"/>
              <w:end w:w="120" w:type="dxa"/>
              <w:left w:w="75" w:type="dxa"/>
              <w:right w:w="75" w:type="dxa"/>
            </w:tcMar>
            <w:shd w:fill="FFFFFF"/>
            <w:tcBorders>
              <w:top w:val="single" w:sz="4" w:color="D9D9D9"/>
              <w:left w:val="single" w:sz="4" w:color="D9D9D9"/>
              <w:bottom w:val="single" w:sz="4" w:color="D9D9D9"/>
              <w:right w:val="single" w:sz="4" w:color="D9D9D9"/>
            </w:tcBorders>
          </w:tcPr>
          <w:p>
            <w:pPr>
              <w:jc w:val="center"/>
            </w:pPr>
            <w:r>
              <w:rPr>
                <w:rFonts w:ascii="Arial" w:hAnsi="Arial" w:eastAsia="Arial"/>
                <w:b w:val="0"/>
                <w:color w:val="000000"/>
                <w:sz w:val="15"/>
                <w:lang w:val="en-US"/>
              </w:rPr>
              <w:t>.RUT</w:t>
            </w:r>
          </w:p>
        </w:tc>
        <w:tc>
          <w:tcPr>
            <w:tcW w:type="dxa" w:w="893"/>
            <w:vAlign w:val="center"/>
            <w:tcMar>
              <w:top w:w="100" w:type="dxa"/>
              <w:start w:w="120" w:type="dxa"/>
              <w:bottom w:w="100" w:type="dxa"/>
              <w:end w:w="120" w:type="dxa"/>
              <w:left w:w="75" w:type="dxa"/>
              <w:right w:w="75" w:type="dxa"/>
            </w:tcMar>
            <w:shd w:fill="FFFFFF"/>
            <w:tcBorders>
              <w:top w:val="single" w:sz="4" w:color="D9D9D9"/>
              <w:left w:val="single" w:sz="4" w:color="D9D9D9"/>
              <w:bottom w:val="single" w:sz="4" w:color="D9D9D9"/>
              <w:right w:val="single" w:sz="4" w:color="D9D9D9"/>
            </w:tcBorders>
          </w:tcPr>
          <w:p>
            <w:pPr>
              <w:jc w:val="center"/>
            </w:pPr>
            <w:r>
              <w:rPr>
                <w:rFonts w:ascii="Arial" w:hAnsi="Arial" w:eastAsia="Arial"/>
                <w:b w:val="0"/>
                <w:color w:val="000000"/>
                <w:sz w:val="15"/>
                <w:lang w:val="en-US"/>
              </w:rPr>
              <w:t>2,789</w:t>
            </w:r>
          </w:p>
        </w:tc>
        <w:tc>
          <w:tcPr>
            <w:tcW w:type="dxa" w:w="936"/>
            <w:vAlign w:val="center"/>
            <w:tcMar>
              <w:top w:w="100" w:type="dxa"/>
              <w:start w:w="120" w:type="dxa"/>
              <w:bottom w:w="100" w:type="dxa"/>
              <w:end w:w="120" w:type="dxa"/>
              <w:left w:w="75" w:type="dxa"/>
              <w:right w:w="75" w:type="dxa"/>
            </w:tcMar>
            <w:shd w:fill="FFFFFF"/>
            <w:tcBorders>
              <w:top w:val="single" w:sz="4" w:color="D9D9D9"/>
              <w:left w:val="single" w:sz="4" w:color="D9D9D9"/>
              <w:bottom w:val="single" w:sz="4" w:color="D9D9D9"/>
              <w:right w:val="single" w:sz="4" w:color="D9D9D9"/>
            </w:tcBorders>
          </w:tcPr>
          <w:p>
            <w:pPr>
              <w:jc w:val="center"/>
            </w:pPr>
            <w:r>
              <w:rPr>
                <w:rFonts w:ascii="Arial" w:hAnsi="Arial" w:eastAsia="Arial"/>
                <w:b w:val="0"/>
                <w:color w:val="000000"/>
                <w:sz w:val="15"/>
                <w:lang w:val="en-US"/>
              </w:rPr>
              <w:t>2,789</w:t>
            </w:r>
          </w:p>
        </w:tc>
        <w:tc>
          <w:tcPr>
            <w:tcW w:type="dxa" w:w="1181"/>
            <w:vAlign w:val="center"/>
            <w:tcMar>
              <w:top w:w="100" w:type="dxa"/>
              <w:start w:w="120" w:type="dxa"/>
              <w:bottom w:w="100" w:type="dxa"/>
              <w:end w:w="120" w:type="dxa"/>
              <w:left w:w="75" w:type="dxa"/>
              <w:right w:w="75" w:type="dxa"/>
            </w:tcMar>
            <w:shd w:fill="FFFFFF"/>
            <w:tcBorders>
              <w:top w:val="single" w:sz="4" w:color="D9D9D9"/>
              <w:left w:val="single" w:sz="4" w:color="D9D9D9"/>
              <w:bottom w:val="single" w:sz="4" w:color="D9D9D9"/>
              <w:right w:val="single" w:sz="4" w:color="D9D9D9"/>
            </w:tcBorders>
          </w:tcPr>
          <w:p>
            <w:pPr>
              <w:jc w:val="center"/>
            </w:pPr>
            <w:r>
              <w:rPr>
                <w:rFonts w:ascii="Arial" w:hAnsi="Arial" w:eastAsia="Arial"/>
                <w:b w:val="0"/>
                <w:color w:val="000000"/>
                <w:sz w:val="15"/>
                <w:lang w:val="en-US"/>
              </w:rPr>
              <w:t>0.000640</w:t>
            </w:r>
          </w:p>
        </w:tc>
        <w:tc>
          <w:tcPr>
            <w:tcW w:type="dxa" w:w="1123"/>
            <w:vAlign w:val="center"/>
            <w:tcMar>
              <w:top w:w="100" w:type="dxa"/>
              <w:start w:w="120" w:type="dxa"/>
              <w:bottom w:w="100" w:type="dxa"/>
              <w:end w:w="120" w:type="dxa"/>
              <w:left w:w="75" w:type="dxa"/>
              <w:right w:w="75" w:type="dxa"/>
            </w:tcMar>
            <w:shd w:fill="FFFFFF"/>
            <w:tcBorders>
              <w:top w:val="single" w:sz="4" w:color="D9D9D9"/>
              <w:left w:val="single" w:sz="4" w:color="D9D9D9"/>
              <w:bottom w:val="single" w:sz="4" w:color="D9D9D9"/>
              <w:right w:val="single" w:sz="4" w:color="D9D9D9"/>
            </w:tcBorders>
          </w:tcPr>
          <w:p>
            <w:pPr>
              <w:jc w:val="center"/>
            </w:pPr>
            <w:r>
              <w:rPr>
                <w:rFonts w:ascii="Arial" w:hAnsi="Arial" w:eastAsia="Arial"/>
                <w:b w:val="0"/>
                <w:color w:val="000000"/>
                <w:sz w:val="15"/>
                <w:lang w:val="en-US"/>
              </w:rPr>
              <w:t>0.012390</w:t>
            </w:r>
          </w:p>
        </w:tc>
        <w:tc>
          <w:tcPr>
            <w:tcW w:type="dxa" w:w="1080"/>
            <w:vAlign w:val="center"/>
            <w:tcMar>
              <w:top w:w="100" w:type="dxa"/>
              <w:start w:w="120" w:type="dxa"/>
              <w:bottom w:w="100" w:type="dxa"/>
              <w:end w:w="120" w:type="dxa"/>
              <w:left w:w="75" w:type="dxa"/>
              <w:right w:w="75" w:type="dxa"/>
            </w:tcMar>
            <w:shd w:fill="FFFFFF"/>
            <w:tcBorders>
              <w:top w:val="single" w:sz="4" w:color="D9D9D9"/>
              <w:left w:val="single" w:sz="4" w:color="D9D9D9"/>
              <w:bottom w:val="single" w:sz="4" w:color="D9D9D9"/>
              <w:right w:val="single" w:sz="4" w:color="D9D9D9"/>
            </w:tcBorders>
          </w:tcPr>
          <w:p>
            <w:pPr>
              <w:jc w:val="center"/>
            </w:pPr>
            <w:r>
              <w:rPr>
                <w:rFonts w:ascii="Arial" w:hAnsi="Arial" w:eastAsia="Arial"/>
                <w:b w:val="0"/>
                <w:color w:val="000000"/>
                <w:sz w:val="15"/>
                <w:lang w:val="en-US"/>
              </w:rPr>
              <w:t>-0.113599</w:t>
            </w:r>
          </w:p>
        </w:tc>
        <w:tc>
          <w:tcPr>
            <w:tcW w:type="dxa" w:w="1123"/>
            <w:vAlign w:val="center"/>
            <w:tcMar>
              <w:top w:w="100" w:type="dxa"/>
              <w:start w:w="120" w:type="dxa"/>
              <w:bottom w:w="100" w:type="dxa"/>
              <w:end w:w="120" w:type="dxa"/>
              <w:left w:w="75" w:type="dxa"/>
              <w:right w:w="75" w:type="dxa"/>
            </w:tcMar>
            <w:shd w:fill="FFFFFF"/>
            <w:tcBorders>
              <w:top w:val="single" w:sz="4" w:color="D9D9D9"/>
              <w:left w:val="single" w:sz="4" w:color="D9D9D9"/>
              <w:bottom w:val="single" w:sz="4" w:color="D9D9D9"/>
              <w:right w:val="single" w:sz="4" w:color="D9D9D9"/>
            </w:tcBorders>
          </w:tcPr>
          <w:p>
            <w:pPr>
              <w:jc w:val="center"/>
            </w:pPr>
            <w:r>
              <w:rPr>
                <w:rFonts w:ascii="Arial" w:hAnsi="Arial" w:eastAsia="Arial"/>
                <w:b w:val="0"/>
                <w:color w:val="000000"/>
                <w:sz w:val="15"/>
                <w:lang w:val="en-US"/>
              </w:rPr>
              <w:t>5.523270</w:t>
            </w:r>
          </w:p>
        </w:tc>
        <w:tc>
          <w:tcPr>
            <w:tcW w:type="dxa" w:w="1238"/>
            <w:vAlign w:val="center"/>
            <w:tcMar>
              <w:top w:w="100" w:type="dxa"/>
              <w:start w:w="120" w:type="dxa"/>
              <w:bottom w:w="100" w:type="dxa"/>
              <w:end w:w="120" w:type="dxa"/>
              <w:left w:w="75" w:type="dxa"/>
              <w:right w:w="75" w:type="dxa"/>
            </w:tcMar>
            <w:shd w:fill="FFFFFF"/>
            <w:tcBorders>
              <w:top w:val="single" w:sz="4" w:color="D9D9D9"/>
              <w:left w:val="single" w:sz="4" w:color="D9D9D9"/>
              <w:bottom w:val="single" w:sz="4" w:color="D9D9D9"/>
              <w:right w:val="single" w:sz="4" w:color="D9D9D9"/>
            </w:tcBorders>
          </w:tcPr>
          <w:p>
            <w:pPr>
              <w:jc w:val="center"/>
            </w:pPr>
            <w:r>
              <w:rPr>
                <w:rFonts w:ascii="Arial" w:hAnsi="Arial" w:eastAsia="Arial"/>
                <w:b w:val="0"/>
                <w:color w:val="000000"/>
                <w:sz w:val="15"/>
                <w:lang w:val="en-US"/>
              </w:rPr>
              <w:t>0.000078</w:t>
            </w:r>
          </w:p>
        </w:tc>
        <w:tc>
          <w:tcPr>
            <w:tcW w:type="dxa" w:w="835"/>
            <w:vAlign w:val="center"/>
            <w:tcMar>
              <w:top w:w="100" w:type="dxa"/>
              <w:start w:w="120" w:type="dxa"/>
              <w:bottom w:w="100" w:type="dxa"/>
              <w:end w:w="120" w:type="dxa"/>
              <w:left w:w="75" w:type="dxa"/>
              <w:right w:w="75" w:type="dxa"/>
            </w:tcMar>
            <w:shd w:fill="FFFFFF"/>
            <w:tcBorders>
              <w:top w:val="single" w:sz="4" w:color="D9D9D9"/>
              <w:left w:val="single" w:sz="4" w:color="D9D9D9"/>
              <w:bottom w:val="single" w:sz="4" w:color="D9D9D9"/>
              <w:right w:val="single" w:sz="4" w:color="D9D9D9"/>
            </w:tcBorders>
          </w:tcPr>
          <w:p>
            <w:pPr>
              <w:jc w:val="center"/>
            </w:pPr>
            <w:r>
              <w:rPr>
                <w:rFonts w:ascii="Arial" w:hAnsi="Arial" w:eastAsia="Arial"/>
                <w:b w:val="0"/>
                <w:color w:val="000000"/>
                <w:sz w:val="15"/>
                <w:lang w:val="en-US"/>
              </w:rPr>
              <w:t>0</w:t>
            </w:r>
          </w:p>
        </w:tc>
      </w:tr>
    </w:tbl>
    <w:p>
      <w:pPr>
        <w:widowControl/>
        <w:spacing w:line="276" w:lineRule="auto" w:before="80" w:after="100"/>
        <w:ind w:firstLine="420"/>
        <w:jc w:val="both"/>
        <w:snapToGrid w:val="0"/>
      </w:pPr>
      <w:r>
        <w:rPr>
          <w:rFonts w:ascii="Arial" w:hAnsi="Arial" w:eastAsia="Arial" w:cs="Times New Roman"/>
          <w:color w:val="000000"/>
          <w:sz w:val="22"/>
          <w:lang w:val="en-US"/>
        </w:rPr>
        <w:t>Mean daily returns are close to zero and absolute skewness is below 0.12 for all three indices. Excess kurtosis ranges from 5.52 to 7.78, well above the normal-distribution value of zero. The return distributions are therefore approximately symmetric but sharply peaked and heavy-tailed, so a normal model may understate the frequency of extreme returns.</w:t>
      </w:r>
    </w:p>
    <w:p>
      <w:pPr>
        <w:keepNext/>
        <w:widowControl/>
        <w:spacing w:before="80" w:after="40"/>
        <w:jc w:val="center"/>
      </w:pPr>
      <w:r>
        <w:rPr>
          <w:rFonts w:ascii="Arial" w:hAnsi="Arial" w:eastAsia="Arial" w:cs="Times New Roman"/>
          <w:color w:val="000000"/>
          <w:lang w:val="en-US"/>
        </w:rPr>
        <w:drawing>
          <wp:inline xmlns:a="http://schemas.openxmlformats.org/drawingml/2006/main" xmlns:pic="http://schemas.openxmlformats.org/drawingml/2006/picture">
            <wp:extent cx="3960000" cy="2609158"/>
            <wp:docPr id="1" name="Picture 1" descr="标普500指数训练期收益率正态Q-Q图"/>
            <wp:cNvGraphicFramePr>
              <a:graphicFrameLocks noChangeAspect="1"/>
            </wp:cNvGraphicFramePr>
            <a:graphic>
              <a:graphicData uri="http://schemas.openxmlformats.org/drawingml/2006/picture">
                <pic:pic>
                  <pic:nvPicPr>
                    <pic:cNvPr id="0" name="report_demo1_qq_cropped.png"/>
                    <pic:cNvPicPr/>
                  </pic:nvPicPr>
                  <pic:blipFill>
                    <a:blip r:embed="rId8"/>
                    <a:stretch>
                      <a:fillRect/>
                    </a:stretch>
                  </pic:blipFill>
                  <pic:spPr>
                    <a:xfrm>
                      <a:off x="0" y="0"/>
                      <a:ext cx="3960000" cy="2609158"/>
                    </a:xfrm>
                    <a:prstGeom prst="rect"/>
                  </pic:spPr>
                </pic:pic>
              </a:graphicData>
            </a:graphic>
          </wp:inline>
        </w:drawing>
      </w:r>
    </w:p>
    <w:p>
      <w:pPr>
        <w:widowControl/>
        <w:spacing w:before="80" w:after="100" w:line="276" w:lineRule="auto"/>
        <w:ind w:firstLine="0"/>
        <w:jc w:val="center"/>
      </w:pPr>
      <w:r>
        <w:rPr>
          <w:rFonts w:ascii="Arial" w:hAnsi="Arial" w:eastAsia="Arial" w:cs="Times New Roman"/>
          <w:color w:val="000000"/>
          <w:sz w:val="20"/>
          <w:lang w:val="en-US"/>
        </w:rPr>
        <w:t>Figure 1 Normal Q-Q Plot of S&amp;P 500 Training-Period Returns</w:t>
      </w:r>
    </w:p>
    <w:p>
      <w:pPr>
        <w:widowControl/>
        <w:spacing w:line="276" w:lineRule="auto" w:before="0" w:after="100"/>
        <w:ind w:firstLine="420"/>
        <w:jc w:val="both"/>
        <w:snapToGrid w:val="0"/>
      </w:pPr>
      <w:r>
        <w:rPr>
          <w:rFonts w:ascii="Arial" w:hAnsi="Arial" w:eastAsia="Arial" w:cs="Times New Roman"/>
          <w:color w:val="000000"/>
          <w:sz w:val="22"/>
          <w:lang w:val="en-US"/>
        </w:rPr>
        <w:t>Observations near the center of the Q-Q plot broadly follow the normal reference line, while both tails diverge materially. This is consistent with heavy-tailed returns. The figure concerns the return distribution and does not establish the distribution of forecast errors, which must be assessed separately with out-of-sample residual diagnostics.</w:t>
      </w:r>
    </w:p>
    <w:p>
      <w:pPr>
        <w:pStyle w:val="Heading1"/>
        <w:keepNext/>
        <w:widowControl/>
        <w:spacing w:before="200" w:after="100"/>
      </w:pPr>
      <w:r>
        <w:rPr>
          <w:rFonts w:ascii="Arial" w:hAnsi="Arial" w:eastAsia="Arial" w:cs="Arial"/>
          <w:b/>
          <w:color w:val="000000"/>
          <w:u w:val="none"/>
          <w:lang w:val="en-US"/>
        </w:rPr>
        <w:t>2 HAR-RV Model Specification</w:t>
      </w:r>
    </w:p>
    <w:p>
      <w:pPr>
        <w:widowControl/>
        <w:spacing w:line="276" w:lineRule="auto" w:before="0" w:after="100"/>
        <w:ind w:firstLine="420"/>
        <w:jc w:val="both"/>
        <w:snapToGrid w:val="0"/>
      </w:pPr>
      <w:r>
        <w:rPr>
          <w:rFonts w:ascii="Arial" w:hAnsi="Arial" w:eastAsia="Arial" w:cs="Times New Roman"/>
          <w:color w:val="000000"/>
          <w:sz w:val="22"/>
          <w:lang w:val="en-US"/>
        </w:rPr>
        <w:t>Realized variance is persistent. HAR-RV uses daily, weekly, and monthly components to represent information operating over different horizons and to forecast the next day. This structure makes the incremental contribution of each horizon easy to examine, but it does not directly model heavy-tailed returns.</w:t>
      </w:r>
    </w:p>
    <w:p>
      <w:pPr>
        <w:keepNext/>
        <w:widowControl/>
        <w:spacing w:line="276" w:lineRule="auto" w:before="0" w:after="100"/>
        <w:ind w:firstLine="420"/>
        <w:jc w:val="both"/>
        <w:snapToGrid w:val="0"/>
      </w:pPr>
      <w:r>
        <w:rPr>
          <w:rFonts w:ascii="Arial" w:hAnsi="Arial" w:eastAsia="Arial" w:cs="Times New Roman"/>
          <w:color w:val="000000"/>
          <w:sz w:val="22"/>
          <w:lang w:val="en-US"/>
        </w:rPr>
        <w:t>The model applies a logarithm to realized variance to compress its scale. The standard specification is:</w:t>
      </w:r>
    </w:p>
    <w:p>
      <w:pPr>
        <w:widowControl/>
        <w:spacing w:before="120" w:after="160"/>
        <w:jc w:val="center"/>
      </w:pPr>
      <m:oMathPara>
        <m:oMathParaPr>
          <m:jc m:val="center"/>
        </m:oMathParaPr>
        <m:oMath>
          <m:sSub>
            <m:sSubPr/>
            <m:e>
              <m:r>
                <m:t>log RV</m:t>
              </m:r>
            </m:e>
            <m:sub>
              <m:r>
                <m:t>t+1</m:t>
              </m:r>
            </m:sub>
          </m:sSub>
          <m:r>
            <m:t> = </m:t>
          </m:r>
          <m:sSub>
            <m:sSubPr/>
            <m:e>
              <m:r>
                <m:t>β</m:t>
              </m:r>
            </m:e>
            <m:sub>
              <m:r>
                <m:t>0</m:t>
              </m:r>
            </m:sub>
          </m:sSub>
          <m:r>
            <m:t> + </m:t>
          </m:r>
          <m:sSub>
            <m:sSubPr/>
            <m:e>
              <m:r>
                <m:t>β</m:t>
              </m:r>
            </m:e>
            <m:sub>
              <m:r>
                <m:t>d</m:t>
              </m:r>
            </m:sub>
          </m:sSub>
          <m:r>
            <m:t> </m:t>
          </m:r>
          <m:sSubSup>
            <m:sSubSupPr/>
            <m:e>
              <m:r>
                <m:t>log RV</m:t>
              </m:r>
            </m:e>
            <m:sub>
              <m:r>
                <m:t>t</m:t>
              </m:r>
            </m:sub>
            <m:sup>
              <m:r>
                <m:t>d</m:t>
              </m:r>
            </m:sup>
          </m:sSubSup>
          <m:r>
            <m:t> + </m:t>
          </m:r>
          <m:sSub>
            <m:sSubPr/>
            <m:e>
              <m:r>
                <m:t>β</m:t>
              </m:r>
            </m:e>
            <m:sub>
              <m:r>
                <m:t>w</m:t>
              </m:r>
            </m:sub>
          </m:sSub>
          <m:r>
            <m:t> </m:t>
          </m:r>
          <m:sSubSup>
            <m:sSubSupPr/>
            <m:e>
              <m:r>
                <m:t>log RV</m:t>
              </m:r>
            </m:e>
            <m:sub>
              <m:r>
                <m:t>t</m:t>
              </m:r>
            </m:sub>
            <m:sup>
              <m:r>
                <m:t>w</m:t>
              </m:r>
            </m:sup>
          </m:sSubSup>
          <m:r>
            <m:t> + </m:t>
          </m:r>
          <m:sSub>
            <m:sSubPr/>
            <m:e>
              <m:r>
                <m:t>β</m:t>
              </m:r>
            </m:e>
            <m:sub>
              <m:r>
                <m:t>m</m:t>
              </m:r>
            </m:sub>
          </m:sSub>
          <m:r>
            <m:t> </m:t>
          </m:r>
          <m:sSubSup>
            <m:sSubSupPr/>
            <m:e>
              <m:r>
                <m:t>log RV</m:t>
              </m:r>
            </m:e>
            <m:sub>
              <m:r>
                <m:t>t</m:t>
              </m:r>
            </m:sub>
            <m:sup>
              <m:r>
                <m:t>m</m:t>
              </m:r>
            </m:sup>
          </m:sSubSup>
          <m:r>
            <m:t> + </m:t>
          </m:r>
          <m:sSub>
            <m:sSubPr/>
            <m:e>
              <m:r>
                <m:t>ε</m:t>
              </m:r>
            </m:e>
            <m:sub>
              <m:r>
                <m:t>t+1</m:t>
              </m:r>
            </m:sub>
          </m:sSub>
        </m:oMath>
      </m:oMathPara>
    </w:p>
    <w:p>
      <w:pPr>
        <w:keepNext/>
        <w:widowControl/>
        <w:spacing w:before="80" w:after="100" w:line="276" w:lineRule="auto"/>
        <w:ind w:firstLine="0"/>
        <w:jc w:val="center"/>
      </w:pPr>
      <w:r>
        <w:rPr>
          <w:rFonts w:ascii="Arial" w:hAnsi="Arial" w:eastAsia="Arial" w:cs="Times New Roman"/>
          <w:color w:val="000000"/>
          <w:sz w:val="20"/>
          <w:lang w:val="en-US"/>
        </w:rPr>
        <w:t>Table 2 HAR-RV Variable Definitions</w:t>
      </w:r>
    </w:p>
    <w:tbl>
      <w:tblPr>
        <w:tblW w:type="auto" w:w="0"/>
        <w:tblLayout w:type="fixed"/>
        <w:tblLook w:firstColumn="1" w:firstRow="1" w:lastColumn="0" w:lastRow="0" w:noHBand="0" w:noVBand="1" w:val="04A0"/>
        <w:jc w:val="center"/>
        <w:tblBorders>
          <w:top w:val="single" w:sz="6" w:color="D9D9D9"/>
          <w:left w:val="single" w:sz="6" w:color="D9D9D9"/>
          <w:bottom w:val="single" w:sz="6" w:color="D9D9D9"/>
          <w:right w:val="single" w:sz="6" w:color="D9D9D9"/>
          <w:insideH w:val="single" w:sz="6" w:color="D9D9D9"/>
          <w:insideV w:val="single" w:sz="6" w:color="D9D9D9"/>
        </w:tblBorders>
      </w:tblPr>
      <w:tblGrid>
        <w:gridCol w:w="1757"/>
        <w:gridCol w:w="1361"/>
        <w:gridCol w:w="4819"/>
      </w:tblGrid>
      <w:tr>
        <w:trPr>
          <w:tblHeader/>
          <w:cantSplit/>
          <w:tblHeader/>
        </w:trPr>
        <w:tc>
          <w:tcPr>
            <w:tcW w:type="dxa" w:w="1757"/>
            <w:vAlign w:val="center"/>
            <w:tcMar>
              <w:top w:w="100" w:type="dxa"/>
              <w:start w:w="120" w:type="dxa"/>
              <w:bottom w:w="100" w:type="dxa"/>
              <w:end w:w="120" w:type="dxa"/>
              <w:left w:w="75" w:type="dxa"/>
              <w:right w:w="75" w:type="dxa"/>
            </w:tcMar>
            <w:shd w:fill="1F4E78"/>
            <w:tcBorders>
              <w:top w:val="single" w:sz="4" w:color="D9D9D9"/>
              <w:left w:val="single" w:sz="4" w:color="D9D9D9"/>
              <w:bottom w:val="single" w:sz="4" w:color="D9D9D9"/>
              <w:right w:val="single" w:sz="4" w:color="D9D9D9"/>
            </w:tcBorders>
          </w:tcPr>
          <w:p>
            <w:pPr>
              <w:jc w:val="center"/>
            </w:pPr>
            <w:r>
              <w:rPr>
                <w:rFonts w:ascii="Arial" w:hAnsi="Arial" w:eastAsia="Arial"/>
                <w:b/>
                <w:color w:val="FFFFFF"/>
                <w:sz w:val="18"/>
                <w:lang w:val="en-US"/>
              </w:rPr>
              <w:t>Variable</w:t>
            </w:r>
          </w:p>
        </w:tc>
        <w:tc>
          <w:tcPr>
            <w:tcW w:type="dxa" w:w="1361"/>
            <w:vAlign w:val="center"/>
            <w:tcMar>
              <w:top w:w="100" w:type="dxa"/>
              <w:start w:w="120" w:type="dxa"/>
              <w:bottom w:w="100" w:type="dxa"/>
              <w:end w:w="120" w:type="dxa"/>
              <w:left w:w="75" w:type="dxa"/>
              <w:right w:w="75" w:type="dxa"/>
            </w:tcMar>
            <w:shd w:fill="1F4E78"/>
            <w:tcBorders>
              <w:top w:val="single" w:sz="4" w:color="D9D9D9"/>
              <w:left w:val="single" w:sz="4" w:color="D9D9D9"/>
              <w:bottom w:val="single" w:sz="4" w:color="D9D9D9"/>
              <w:right w:val="single" w:sz="4" w:color="D9D9D9"/>
            </w:tcBorders>
          </w:tcPr>
          <w:p>
            <w:pPr>
              <w:jc w:val="center"/>
            </w:pPr>
            <w:r>
              <w:rPr>
                <w:rFonts w:ascii="Arial" w:hAnsi="Arial" w:eastAsia="Arial"/>
                <w:b/>
                <w:color w:val="FFFFFF"/>
                <w:sz w:val="18"/>
                <w:lang w:val="en-US"/>
              </w:rPr>
              <w:t>Horizon</w:t>
            </w:r>
          </w:p>
        </w:tc>
        <w:tc>
          <w:tcPr>
            <w:tcW w:type="dxa" w:w="4819"/>
            <w:vAlign w:val="center"/>
            <w:tcMar>
              <w:top w:w="100" w:type="dxa"/>
              <w:start w:w="120" w:type="dxa"/>
              <w:bottom w:w="100" w:type="dxa"/>
              <w:end w:w="120" w:type="dxa"/>
              <w:left w:w="75" w:type="dxa"/>
              <w:right w:w="75" w:type="dxa"/>
            </w:tcMar>
            <w:shd w:fill="1F4E78"/>
            <w:tcBorders>
              <w:top w:val="single" w:sz="4" w:color="D9D9D9"/>
              <w:left w:val="single" w:sz="4" w:color="D9D9D9"/>
              <w:bottom w:val="single" w:sz="4" w:color="D9D9D9"/>
              <w:right w:val="single" w:sz="4" w:color="D9D9D9"/>
            </w:tcBorders>
          </w:tcPr>
          <w:p>
            <w:pPr>
              <w:jc w:val="center"/>
            </w:pPr>
            <w:r>
              <w:rPr>
                <w:rFonts w:ascii="Arial" w:hAnsi="Arial" w:eastAsia="Arial"/>
                <w:b/>
                <w:color w:val="FFFFFF"/>
                <w:sz w:val="18"/>
                <w:lang w:val="en-US"/>
              </w:rPr>
              <w:t>Definition</w:t>
            </w:r>
          </w:p>
        </w:tc>
      </w:tr>
      <w:tr>
        <w:trPr>
          <w:cantSplit/>
        </w:trPr>
        <w:tc>
          <w:tcPr>
            <w:tcW w:type="dxa" w:w="1757"/>
            <w:vAlign w:val="center"/>
            <w:tcMar>
              <w:top w:w="100" w:type="dxa"/>
              <w:start w:w="120" w:type="dxa"/>
              <w:bottom w:w="100" w:type="dxa"/>
              <w:end w:w="120" w:type="dxa"/>
              <w:left w:w="75" w:type="dxa"/>
              <w:right w:w="75"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log RV(d)</w:t>
            </w:r>
          </w:p>
        </w:tc>
        <w:tc>
          <w:tcPr>
            <w:tcW w:type="dxa" w:w="1361"/>
            <w:vAlign w:val="center"/>
            <w:tcMar>
              <w:top w:w="100" w:type="dxa"/>
              <w:start w:w="120" w:type="dxa"/>
              <w:bottom w:w="100" w:type="dxa"/>
              <w:end w:w="120" w:type="dxa"/>
              <w:left w:w="75" w:type="dxa"/>
              <w:right w:w="75"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Daily</w:t>
            </w:r>
          </w:p>
        </w:tc>
        <w:tc>
          <w:tcPr>
            <w:tcW w:type="dxa" w:w="4819"/>
            <w:vAlign w:val="center"/>
            <w:tcMar>
              <w:top w:w="100" w:type="dxa"/>
              <w:start w:w="120" w:type="dxa"/>
              <w:bottom w:w="100" w:type="dxa"/>
              <w:end w:w="120" w:type="dxa"/>
              <w:left w:w="75" w:type="dxa"/>
              <w:right w:w="75"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Log of current realized variance</w:t>
            </w:r>
          </w:p>
        </w:tc>
      </w:tr>
      <w:tr>
        <w:trPr>
          <w:cantSplit/>
        </w:trPr>
        <w:tc>
          <w:tcPr>
            <w:tcW w:type="dxa" w:w="1757"/>
            <w:vAlign w:val="center"/>
            <w:tcMar>
              <w:top w:w="100" w:type="dxa"/>
              <w:start w:w="120" w:type="dxa"/>
              <w:bottom w:w="100" w:type="dxa"/>
              <w:end w:w="120" w:type="dxa"/>
              <w:left w:w="75" w:type="dxa"/>
              <w:right w:w="75" w:type="dxa"/>
            </w:tcMar>
            <w:shd w:fill="EAF2F8"/>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log RV(w)</w:t>
            </w:r>
          </w:p>
        </w:tc>
        <w:tc>
          <w:tcPr>
            <w:tcW w:type="dxa" w:w="1361"/>
            <w:vAlign w:val="center"/>
            <w:tcMar>
              <w:top w:w="100" w:type="dxa"/>
              <w:start w:w="120" w:type="dxa"/>
              <w:bottom w:w="100" w:type="dxa"/>
              <w:end w:w="120" w:type="dxa"/>
              <w:left w:w="75" w:type="dxa"/>
              <w:right w:w="75" w:type="dxa"/>
            </w:tcMar>
            <w:shd w:fill="EAF2F8"/>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Weekly</w:t>
            </w:r>
          </w:p>
        </w:tc>
        <w:tc>
          <w:tcPr>
            <w:tcW w:type="dxa" w:w="4819"/>
            <w:vAlign w:val="center"/>
            <w:tcMar>
              <w:top w:w="100" w:type="dxa"/>
              <w:start w:w="120" w:type="dxa"/>
              <w:bottom w:w="100" w:type="dxa"/>
              <w:end w:w="120" w:type="dxa"/>
              <w:left w:w="75" w:type="dxa"/>
              <w:right w:w="75" w:type="dxa"/>
            </w:tcMar>
            <w:shd w:fill="EAF2F8"/>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Log of mean realized variance over the latest 5 trading days</w:t>
            </w:r>
          </w:p>
        </w:tc>
      </w:tr>
      <w:tr>
        <w:trPr>
          <w:cantSplit/>
        </w:trPr>
        <w:tc>
          <w:tcPr>
            <w:tcW w:type="dxa" w:w="1757"/>
            <w:vAlign w:val="center"/>
            <w:tcMar>
              <w:top w:w="100" w:type="dxa"/>
              <w:start w:w="120" w:type="dxa"/>
              <w:bottom w:w="100" w:type="dxa"/>
              <w:end w:w="120" w:type="dxa"/>
              <w:left w:w="75" w:type="dxa"/>
              <w:right w:w="75"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log RV(m)</w:t>
            </w:r>
          </w:p>
        </w:tc>
        <w:tc>
          <w:tcPr>
            <w:tcW w:type="dxa" w:w="1361"/>
            <w:vAlign w:val="center"/>
            <w:tcMar>
              <w:top w:w="100" w:type="dxa"/>
              <w:start w:w="120" w:type="dxa"/>
              <w:bottom w:w="100" w:type="dxa"/>
              <w:end w:w="120" w:type="dxa"/>
              <w:left w:w="75" w:type="dxa"/>
              <w:right w:w="75"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Monthly</w:t>
            </w:r>
          </w:p>
        </w:tc>
        <w:tc>
          <w:tcPr>
            <w:tcW w:type="dxa" w:w="4819"/>
            <w:vAlign w:val="center"/>
            <w:tcMar>
              <w:top w:w="100" w:type="dxa"/>
              <w:start w:w="120" w:type="dxa"/>
              <w:bottom w:w="100" w:type="dxa"/>
              <w:end w:w="120" w:type="dxa"/>
              <w:left w:w="75" w:type="dxa"/>
              <w:right w:w="75"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Log of mean realized variance over the latest 22 trading days</w:t>
            </w:r>
          </w:p>
        </w:tc>
      </w:tr>
      <w:tr>
        <w:trPr>
          <w:cantSplit/>
        </w:trPr>
        <w:tc>
          <w:tcPr>
            <w:tcW w:type="dxa" w:w="1757"/>
            <w:vAlign w:val="center"/>
            <w:tcMar>
              <w:top w:w="100" w:type="dxa"/>
              <w:start w:w="120" w:type="dxa"/>
              <w:bottom w:w="100" w:type="dxa"/>
              <w:end w:w="120" w:type="dxa"/>
              <w:left w:w="75" w:type="dxa"/>
              <w:right w:w="75" w:type="dxa"/>
            </w:tcMar>
            <w:shd w:fill="EAF2F8"/>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log RV(t+1)</w:t>
            </w:r>
          </w:p>
        </w:tc>
        <w:tc>
          <w:tcPr>
            <w:tcW w:type="dxa" w:w="1361"/>
            <w:vAlign w:val="center"/>
            <w:tcMar>
              <w:top w:w="100" w:type="dxa"/>
              <w:start w:w="120" w:type="dxa"/>
              <w:bottom w:w="100" w:type="dxa"/>
              <w:end w:w="120" w:type="dxa"/>
              <w:left w:w="75" w:type="dxa"/>
              <w:right w:w="75" w:type="dxa"/>
            </w:tcMar>
            <w:shd w:fill="EAF2F8"/>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Target</w:t>
            </w:r>
          </w:p>
        </w:tc>
        <w:tc>
          <w:tcPr>
            <w:tcW w:type="dxa" w:w="4819"/>
            <w:vAlign w:val="center"/>
            <w:tcMar>
              <w:top w:w="100" w:type="dxa"/>
              <w:start w:w="120" w:type="dxa"/>
              <w:bottom w:w="100" w:type="dxa"/>
              <w:end w:w="120" w:type="dxa"/>
              <w:left w:w="75" w:type="dxa"/>
              <w:right w:w="75" w:type="dxa"/>
            </w:tcMar>
            <w:shd w:fill="EAF2F8"/>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Log realized variance on the next trading day</w:t>
            </w:r>
          </w:p>
        </w:tc>
      </w:tr>
    </w:tbl>
    <w:p>
      <w:pPr>
        <w:widowControl/>
        <w:spacing w:line="276" w:lineRule="auto" w:before="80" w:after="100"/>
        <w:ind w:firstLine="420"/>
        <w:jc w:val="both"/>
        <w:snapToGrid w:val="0"/>
      </w:pPr>
      <w:r>
        <w:rPr>
          <w:rFonts w:ascii="Arial" w:hAnsi="Arial" w:eastAsia="Arial" w:cs="Times New Roman"/>
          <w:color w:val="000000"/>
          <w:sz w:val="22"/>
          <w:lang w:val="en-US"/>
        </w:rPr>
        <w:t>Here beta 0 is the intercept; beta d, beta w, and beta m are the daily, weekly, and monthly coefficients; and epsilon at t plus 1 is the forecast error. Weekly and monthly components average realized variance over the latest 5 and 22 trading days through date t and then apply the logarithm. Every explanatory variable uses information available no later than t.</w:t>
      </w:r>
    </w:p>
    <w:p>
      <w:pPr>
        <w:pStyle w:val="Heading1"/>
        <w:keepNext/>
        <w:widowControl/>
        <w:spacing w:before="200" w:after="100"/>
      </w:pPr>
      <w:r>
        <w:rPr>
          <w:rFonts w:ascii="Arial" w:hAnsi="Arial" w:eastAsia="Arial" w:cs="Arial"/>
          <w:b/>
          <w:color w:val="000000"/>
          <w:u w:val="none"/>
          <w:lang w:val="en-US"/>
        </w:rPr>
        <w:t>3 Validation Design</w:t>
      </w:r>
    </w:p>
    <w:p>
      <w:pPr>
        <w:widowControl/>
        <w:spacing w:line="276" w:lineRule="auto" w:before="0" w:after="100"/>
        <w:ind w:firstLine="420"/>
        <w:jc w:val="both"/>
        <w:snapToGrid w:val="0"/>
      </w:pPr>
      <w:r>
        <w:rPr>
          <w:rFonts w:ascii="Arial" w:hAnsi="Arial" w:eastAsia="Arial"/>
          <w:color w:val="000000"/>
          <w:sz w:val="21"/>
          <w:lang w:val="en-US"/>
        </w:rPr>
        <w:t>The sample is divided chronologically into training, validation, and test periods, as shown in Table 3. A random split can train on later observations and evaluate on earlier ones, which is inconsistent with forecasting. The development process uses persistence, where today's log realized variance forecasts the next trading day, as the baseline. Five expanding-window splits are generated with TimeSeriesSplit, leaving a one-observation gap between each training and validation period. MSE and MAE are calculated on the log realized variance scale. The final model is evaluated once on the test set after model selection is complete.</w:t>
      </w:r>
    </w:p>
    <w:p>
      <w:pPr>
        <w:keepNext/>
        <w:widowControl/>
        <w:spacing w:before="120" w:after="100" w:line="276" w:lineRule="auto"/>
        <w:jc w:val="center"/>
      </w:pPr>
      <w:r>
        <w:rPr>
          <w:rFonts w:ascii="Arial" w:hAnsi="Arial" w:eastAsia="Arial"/>
          <w:b/>
          <w:color w:val="000000"/>
          <w:sz w:val="19"/>
          <w:lang w:val="en-US"/>
        </w:rPr>
        <w:t>Table 3 Chronological Sample Split</w:t>
      </w:r>
    </w:p>
    <w:tbl>
      <w:tblPr>
        <w:tblW w:type="auto" w:w="0"/>
        <w:tblLayout w:type="fixed"/>
        <w:tblLook w:firstColumn="1" w:firstRow="1" w:lastColumn="0" w:lastRow="0" w:noHBand="0" w:noVBand="1" w:val="04A0"/>
        <w:jc w:val="center"/>
        <w:tblBorders>
          <w:top w:val="single" w:sz="6" w:color="D9D9D9"/>
          <w:left w:val="single" w:sz="6" w:color="D9D9D9"/>
          <w:bottom w:val="single" w:sz="6" w:color="D9D9D9"/>
          <w:right w:val="single" w:sz="6" w:color="D9D9D9"/>
          <w:insideH w:val="single" w:sz="6" w:color="D9D9D9"/>
          <w:insideV w:val="single" w:sz="6" w:color="D9D9D9"/>
        </w:tblBorders>
      </w:tblPr>
      <w:tblGrid>
        <w:gridCol w:w="2324"/>
        <w:gridCol w:w="2324"/>
        <w:gridCol w:w="2324"/>
        <w:gridCol w:w="2324"/>
      </w:tblGrid>
      <w:tr>
        <w:trPr>
          <w:cantSplit/>
          <w:tblHeader/>
          <w:tblHeader/>
          <w:tblHeader/>
        </w:trPr>
        <w:tc>
          <w:tcPr>
            <w:tcW w:type="dxa" w:w="1247"/>
            <w:vAlign w:val="center"/>
            <w:tcMar>
              <w:top w:w="0" w:type="dxa"/>
              <w:start w:w="120" w:type="dxa"/>
              <w:bottom w:w="0" w:type="dxa"/>
              <w:end w:w="120" w:type="dxa"/>
            </w:tcMar>
            <w:shd w:fill="1F4E78"/>
            <w:tcBorders>
              <w:top w:val="single" w:sz="4" w:color="D9D9D9"/>
              <w:left w:val="single" w:sz="4" w:color="D9D9D9"/>
              <w:bottom w:val="single" w:sz="4" w:color="D9D9D9"/>
              <w:right w:val="single" w:sz="4" w:color="D9D9D9"/>
            </w:tcBorders>
          </w:tcPr>
          <w:p>
            <w:pPr>
              <w:jc w:val="center"/>
            </w:pPr>
            <w:r>
              <w:rPr>
                <w:rFonts w:ascii="Arial" w:hAnsi="Arial" w:eastAsia="Arial"/>
                <w:b/>
                <w:color w:val="FFFFFF"/>
                <w:sz w:val="18"/>
                <w:lang w:val="en-US"/>
              </w:rPr>
              <w:t>Dataset</w:t>
            </w:r>
          </w:p>
        </w:tc>
        <w:tc>
          <w:tcPr>
            <w:tcW w:type="dxa" w:w="964"/>
            <w:vAlign w:val="center"/>
            <w:tcMar>
              <w:top w:w="0" w:type="dxa"/>
              <w:start w:w="120" w:type="dxa"/>
              <w:bottom w:w="0" w:type="dxa"/>
              <w:end w:w="120" w:type="dxa"/>
            </w:tcMar>
            <w:shd w:fill="1F4E78"/>
            <w:tcBorders>
              <w:top w:val="single" w:sz="4" w:color="D9D9D9"/>
              <w:left w:val="single" w:sz="4" w:color="D9D9D9"/>
              <w:bottom w:val="single" w:sz="4" w:color="D9D9D9"/>
              <w:right w:val="single" w:sz="4" w:color="D9D9D9"/>
            </w:tcBorders>
          </w:tcPr>
          <w:p>
            <w:pPr>
              <w:jc w:val="center"/>
            </w:pPr>
            <w:r>
              <w:rPr>
                <w:rFonts w:ascii="Arial" w:hAnsi="Arial" w:eastAsia="Arial"/>
                <w:b/>
                <w:color w:val="FFFFFF"/>
                <w:sz w:val="18"/>
                <w:lang w:val="en-US"/>
              </w:rPr>
              <w:t>Obs.</w:t>
            </w:r>
          </w:p>
        </w:tc>
        <w:tc>
          <w:tcPr>
            <w:tcW w:type="dxa" w:w="3118"/>
            <w:vAlign w:val="center"/>
            <w:tcMar>
              <w:top w:w="0" w:type="dxa"/>
              <w:start w:w="120" w:type="dxa"/>
              <w:bottom w:w="0" w:type="dxa"/>
              <w:end w:w="120" w:type="dxa"/>
            </w:tcMar>
            <w:shd w:fill="1F4E78"/>
            <w:tcBorders>
              <w:top w:val="single" w:sz="4" w:color="D9D9D9"/>
              <w:left w:val="single" w:sz="4" w:color="D9D9D9"/>
              <w:bottom w:val="single" w:sz="4" w:color="D9D9D9"/>
              <w:right w:val="single" w:sz="4" w:color="D9D9D9"/>
            </w:tcBorders>
          </w:tcPr>
          <w:p>
            <w:pPr>
              <w:jc w:val="center"/>
            </w:pPr>
            <w:r>
              <w:rPr>
                <w:rFonts w:ascii="Arial" w:hAnsi="Arial" w:eastAsia="Arial"/>
                <w:b/>
                <w:color w:val="FFFFFF"/>
                <w:sz w:val="18"/>
                <w:lang w:val="en-US"/>
              </w:rPr>
              <w:t>Target Date Range</w:t>
            </w:r>
          </w:p>
        </w:tc>
        <w:tc>
          <w:tcPr>
            <w:tcW w:type="dxa" w:w="3402"/>
            <w:vAlign w:val="center"/>
            <w:tcMar>
              <w:top w:w="0" w:type="dxa"/>
              <w:start w:w="120" w:type="dxa"/>
              <w:bottom w:w="0" w:type="dxa"/>
              <w:end w:w="120" w:type="dxa"/>
            </w:tcMar>
            <w:shd w:fill="1F4E78"/>
            <w:tcBorders>
              <w:top w:val="single" w:sz="4" w:color="D9D9D9"/>
              <w:left w:val="single" w:sz="4" w:color="D9D9D9"/>
              <w:bottom w:val="single" w:sz="4" w:color="D9D9D9"/>
              <w:right w:val="single" w:sz="4" w:color="D9D9D9"/>
            </w:tcBorders>
          </w:tcPr>
          <w:p>
            <w:pPr>
              <w:jc w:val="center"/>
            </w:pPr>
            <w:r>
              <w:rPr>
                <w:rFonts w:ascii="Arial" w:hAnsi="Arial" w:eastAsia="Arial"/>
                <w:b/>
                <w:color w:val="FFFFFF"/>
                <w:sz w:val="18"/>
                <w:lang w:val="en-US"/>
              </w:rPr>
              <w:t>Purpose</w:t>
            </w:r>
          </w:p>
        </w:tc>
      </w:tr>
      <w:tr>
        <w:trPr>
          <w:cantSplit/>
        </w:trPr>
        <w:tc>
          <w:tcPr>
            <w:tcW w:type="dxa" w:w="1247"/>
            <w:vAlign w:val="center"/>
            <w:tcMar>
              <w:top w:w="0" w:type="dxa"/>
              <w:start w:w="120" w:type="dxa"/>
              <w:bottom w:w="0" w:type="dxa"/>
              <w:end w:w="120"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Training</w:t>
            </w:r>
          </w:p>
        </w:tc>
        <w:tc>
          <w:tcPr>
            <w:tcW w:type="dxa" w:w="964"/>
            <w:vAlign w:val="center"/>
            <w:tcMar>
              <w:top w:w="0" w:type="dxa"/>
              <w:start w:w="120" w:type="dxa"/>
              <w:bottom w:w="0" w:type="dxa"/>
              <w:end w:w="120"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2,770</w:t>
            </w:r>
          </w:p>
        </w:tc>
        <w:tc>
          <w:tcPr>
            <w:tcW w:type="dxa" w:w="3118"/>
            <w:vAlign w:val="center"/>
            <w:tcMar>
              <w:top w:w="0" w:type="dxa"/>
              <w:start w:w="120" w:type="dxa"/>
              <w:bottom w:w="0" w:type="dxa"/>
              <w:end w:w="120"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2000-02-03 to 2011-02-22</w:t>
            </w:r>
          </w:p>
        </w:tc>
        <w:tc>
          <w:tcPr>
            <w:tcW w:type="dxa" w:w="3402"/>
            <w:vAlign w:val="center"/>
            <w:tcMar>
              <w:top w:w="0" w:type="dxa"/>
              <w:start w:w="120" w:type="dxa"/>
              <w:bottom w:w="0" w:type="dxa"/>
              <w:end w:w="120"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Fit and initial diagnostics</w:t>
            </w:r>
          </w:p>
        </w:tc>
      </w:tr>
      <w:tr>
        <w:trPr>
          <w:cantSplit/>
        </w:trPr>
        <w:tc>
          <w:tcPr>
            <w:tcW w:type="dxa" w:w="1247"/>
            <w:vAlign w:val="center"/>
            <w:tcMar>
              <w:top w:w="0" w:type="dxa"/>
              <w:start w:w="120" w:type="dxa"/>
              <w:bottom w:w="0" w:type="dxa"/>
              <w:end w:w="120" w:type="dxa"/>
            </w:tcMar>
            <w:shd w:fill="EAF2F8"/>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Validation</w:t>
            </w:r>
          </w:p>
        </w:tc>
        <w:tc>
          <w:tcPr>
            <w:tcW w:type="dxa" w:w="964"/>
            <w:vAlign w:val="center"/>
            <w:tcMar>
              <w:top w:w="0" w:type="dxa"/>
              <w:start w:w="120" w:type="dxa"/>
              <w:bottom w:w="0" w:type="dxa"/>
              <w:end w:w="120" w:type="dxa"/>
            </w:tcMar>
            <w:shd w:fill="EAF2F8"/>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923</w:t>
            </w:r>
          </w:p>
        </w:tc>
        <w:tc>
          <w:tcPr>
            <w:tcW w:type="dxa" w:w="3118"/>
            <w:vAlign w:val="center"/>
            <w:tcMar>
              <w:top w:w="0" w:type="dxa"/>
              <w:start w:w="120" w:type="dxa"/>
              <w:bottom w:w="0" w:type="dxa"/>
              <w:end w:w="120" w:type="dxa"/>
            </w:tcMar>
            <w:shd w:fill="EAF2F8"/>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2011-02-24 to 2014-10-22</w:t>
            </w:r>
          </w:p>
        </w:tc>
        <w:tc>
          <w:tcPr>
            <w:tcW w:type="dxa" w:w="3402"/>
            <w:vAlign w:val="center"/>
            <w:tcMar>
              <w:top w:w="0" w:type="dxa"/>
              <w:start w:w="120" w:type="dxa"/>
              <w:bottom w:w="0" w:type="dxa"/>
              <w:end w:w="120" w:type="dxa"/>
            </w:tcMar>
            <w:shd w:fill="EAF2F8"/>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Model selection and residual diagnostics</w:t>
            </w:r>
          </w:p>
        </w:tc>
      </w:tr>
      <w:tr>
        <w:trPr>
          <w:cantSplit/>
        </w:trPr>
        <w:tc>
          <w:tcPr>
            <w:tcW w:type="dxa" w:w="1247"/>
            <w:vAlign w:val="center"/>
            <w:tcMar>
              <w:top w:w="0" w:type="dxa"/>
              <w:start w:w="120" w:type="dxa"/>
              <w:bottom w:w="0" w:type="dxa"/>
              <w:end w:w="120"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Test</w:t>
            </w:r>
          </w:p>
        </w:tc>
        <w:tc>
          <w:tcPr>
            <w:tcW w:type="dxa" w:w="964"/>
            <w:vAlign w:val="center"/>
            <w:tcMar>
              <w:top w:w="0" w:type="dxa"/>
              <w:start w:w="120" w:type="dxa"/>
              <w:bottom w:w="0" w:type="dxa"/>
              <w:end w:w="120"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924</w:t>
            </w:r>
          </w:p>
        </w:tc>
        <w:tc>
          <w:tcPr>
            <w:tcW w:type="dxa" w:w="3118"/>
            <w:vAlign w:val="center"/>
            <w:tcMar>
              <w:top w:w="0" w:type="dxa"/>
              <w:start w:w="120" w:type="dxa"/>
              <w:bottom w:w="0" w:type="dxa"/>
              <w:end w:w="120"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2014-10-27 to 2018-06-26</w:t>
            </w:r>
          </w:p>
        </w:tc>
        <w:tc>
          <w:tcPr>
            <w:tcW w:type="dxa" w:w="3402"/>
            <w:vAlign w:val="center"/>
            <w:tcMar>
              <w:top w:w="0" w:type="dxa"/>
              <w:start w:w="120" w:type="dxa"/>
              <w:bottom w:w="0" w:type="dxa"/>
              <w:end w:w="120"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Final frozen-model evaluation</w:t>
            </w:r>
          </w:p>
        </w:tc>
      </w:tr>
    </w:tbl>
    <w:p>
      <w:pPr>
        <w:pStyle w:val="Heading1"/>
        <w:keepNext/>
        <w:widowControl/>
        <w:spacing w:before="80" w:after="100"/>
      </w:pPr>
      <w:r>
        <w:rPr>
          <w:rFonts w:ascii="Arial" w:hAnsi="Arial" w:eastAsia="Arial" w:cs="Arial"/>
          <w:b/>
          <w:color w:val="000000"/>
          <w:u w:val="none"/>
          <w:lang w:val="en-US"/>
        </w:rPr>
        <w:t>4 Introducing and Validating Lag 2</w:t>
      </w:r>
    </w:p>
    <w:p>
      <w:pPr>
        <w:widowControl/>
        <w:spacing w:line="276" w:lineRule="auto" w:before="0" w:after="100"/>
        <w:ind w:firstLine="420"/>
        <w:jc w:val="both"/>
        <w:snapToGrid w:val="0"/>
      </w:pPr>
      <w:r>
        <w:rPr>
          <w:rFonts w:ascii="Arial" w:hAnsi="Arial" w:eastAsia="Arial" w:cs="Times New Roman"/>
          <w:color w:val="000000"/>
          <w:sz w:val="22"/>
          <w:lang w:val="en-US"/>
        </w:rPr>
        <w:t>The standard model's validation residuals have lag-2 autocorrelation and partial autocorrelation of approximately 0.088, while lags 3 and 4 are near zero. Lag 2 is therefore treated as a candidate feature and evaluated for out-of-sample error reduction. Residual diagnostics motivate the feature; they do not by themselves prove that it is useful.</w:t>
      </w:r>
    </w:p>
    <w:p>
      <w:pPr>
        <w:keepNext/>
        <w:widowControl/>
        <w:spacing w:line="276" w:lineRule="auto" w:before="0" w:after="100"/>
        <w:ind w:firstLine="420"/>
        <w:jc w:val="both"/>
        <w:snapToGrid w:val="0"/>
      </w:pPr>
      <w:r>
        <w:rPr>
          <w:rFonts w:ascii="Arial" w:hAnsi="Arial" w:eastAsia="Arial" w:cs="Times New Roman"/>
          <w:color w:val="000000"/>
          <w:sz w:val="22"/>
          <w:lang w:val="en-US"/>
        </w:rPr>
        <w:t>When forecasting date t plus 1, Day is log realized variance on t and Lag 2 is log realized variance on t minus 1. They are one and two trading days behind the target, respectively. The extended specification is:</w:t>
      </w:r>
    </w:p>
    <w:p>
      <w:pPr>
        <w:widowControl/>
        <w:spacing w:before="120" w:after="160"/>
        <w:jc w:val="center"/>
      </w:pPr>
      <m:oMathPara>
        <m:oMathParaPr>
          <m:jc m:val="center"/>
        </m:oMathParaPr>
        <m:oMath>
          <m:sSub>
            <m:sSubPr/>
            <m:e>
              <m:r>
                <m:t>log RV</m:t>
              </m:r>
            </m:e>
            <m:sub>
              <m:r>
                <m:t>t+1</m:t>
              </m:r>
            </m:sub>
          </m:sSub>
          <m:r>
            <m:t> = </m:t>
          </m:r>
          <m:sSub>
            <m:sSubPr/>
            <m:e>
              <m:r>
                <m:t>β</m:t>
              </m:r>
            </m:e>
            <m:sub>
              <m:r>
                <m:t>0</m:t>
              </m:r>
            </m:sub>
          </m:sSub>
          <m:r>
            <m:t> + </m:t>
          </m:r>
          <m:sSub>
            <m:sSubPr/>
            <m:e>
              <m:r>
                <m:t>β</m:t>
              </m:r>
            </m:e>
            <m:sub>
              <m:r>
                <m:t>d</m:t>
              </m:r>
            </m:sub>
          </m:sSub>
          <m:r>
            <m:t> </m:t>
          </m:r>
          <m:sSub>
            <m:sSubPr/>
            <m:e>
              <m:r>
                <m:t>log RV</m:t>
              </m:r>
            </m:e>
            <m:sub>
              <m:r>
                <m:t>t</m:t>
              </m:r>
            </m:sub>
          </m:sSub>
          <m:r>
            <m:t> + </m:t>
          </m:r>
          <m:sSub>
            <m:sSubPr/>
            <m:e>
              <m:r>
                <m:t>β</m:t>
              </m:r>
            </m:e>
            <m:sub>
              <m:r>
                <m:t>2</m:t>
              </m:r>
            </m:sub>
          </m:sSub>
          <m:r>
            <m:t> </m:t>
          </m:r>
          <m:sSub>
            <m:sSubPr/>
            <m:e>
              <m:r>
                <m:t>log RV</m:t>
              </m:r>
            </m:e>
            <m:sub>
              <m:r>
                <m:t>t-1</m:t>
              </m:r>
            </m:sub>
          </m:sSub>
          <m:r>
            <m:t> + </m:t>
          </m:r>
          <m:sSub>
            <m:sSubPr/>
            <m:e>
              <m:r>
                <m:t>β</m:t>
              </m:r>
            </m:e>
            <m:sub>
              <m:r>
                <m:t>w</m:t>
              </m:r>
            </m:sub>
          </m:sSub>
          <m:r>
            <m:t> </m:t>
          </m:r>
          <m:sSubSup>
            <m:sSubSupPr/>
            <m:e>
              <m:r>
                <m:t>log RV</m:t>
              </m:r>
            </m:e>
            <m:sub>
              <m:r>
                <m:t>t</m:t>
              </m:r>
            </m:sub>
            <m:sup>
              <m:r>
                <m:t>w</m:t>
              </m:r>
            </m:sup>
          </m:sSubSup>
          <m:r>
            <m:t> + </m:t>
          </m:r>
          <m:sSub>
            <m:sSubPr/>
            <m:e>
              <m:r>
                <m:t>β</m:t>
              </m:r>
            </m:e>
            <m:sub>
              <m:r>
                <m:t>m</m:t>
              </m:r>
            </m:sub>
          </m:sSub>
          <m:r>
            <m:t> </m:t>
          </m:r>
          <m:sSubSup>
            <m:sSubSupPr/>
            <m:e>
              <m:r>
                <m:t>log RV</m:t>
              </m:r>
            </m:e>
            <m:sub>
              <m:r>
                <m:t>t</m:t>
              </m:r>
            </m:sub>
            <m:sup>
              <m:r>
                <m:t>m</m:t>
              </m:r>
            </m:sup>
          </m:sSubSup>
          <m:r>
            <m:t> + </m:t>
          </m:r>
          <m:sSub>
            <m:sSubPr/>
            <m:e>
              <m:r>
                <m:t>ε</m:t>
              </m:r>
            </m:e>
            <m:sub>
              <m:r>
                <m:t>t+1</m:t>
              </m:r>
            </m:sub>
          </m:sSub>
        </m:oMath>
      </m:oMathPara>
    </w:p>
    <w:p>
      <w:pPr>
        <w:keepNext/>
        <w:widowControl/>
        <w:spacing w:before="80" w:after="100" w:line="276" w:lineRule="auto"/>
        <w:ind w:firstLine="0"/>
        <w:jc w:val="center"/>
      </w:pPr>
      <w:r>
        <w:rPr>
          <w:rFonts w:ascii="Arial" w:hAnsi="Arial" w:eastAsia="Arial"/>
          <w:b/>
          <w:color w:val="000000"/>
          <w:sz w:val="19"/>
          <w:lang w:val="en-US"/>
        </w:rPr>
        <w:t>Table 4 Diagnostic and Forecast Evidence Before and After Lag 2</w:t>
      </w:r>
    </w:p>
    <w:tbl>
      <w:tblPr>
        <w:tblW w:type="auto" w:w="0"/>
        <w:tblLayout w:type="fixed"/>
        <w:tblLook w:firstColumn="1" w:firstRow="1" w:lastColumn="0" w:lastRow="0" w:noHBand="0" w:noVBand="1" w:val="04A0"/>
        <w:jc w:val="center"/>
        <w:tblBorders>
          <w:top w:val="single" w:sz="6" w:color="D9D9D9"/>
          <w:left w:val="single" w:sz="6" w:color="D9D9D9"/>
          <w:bottom w:val="single" w:sz="6" w:color="D9D9D9"/>
          <w:right w:val="single" w:sz="6" w:color="D9D9D9"/>
          <w:insideH w:val="single" w:sz="6" w:color="D9D9D9"/>
          <w:insideV w:val="single" w:sz="6" w:color="D9D9D9"/>
        </w:tblBorders>
      </w:tblPr>
      <w:tblGrid>
        <w:gridCol w:w="2268"/>
        <w:gridCol w:w="1531"/>
        <w:gridCol w:w="1701"/>
        <w:gridCol w:w="2438"/>
      </w:tblGrid>
      <w:tr>
        <w:trPr>
          <w:tblHeader/>
          <w:cantSplit/>
          <w:tblHeader/>
        </w:trPr>
        <w:tc>
          <w:tcPr>
            <w:tcW w:type="dxa" w:w="2268"/>
            <w:vAlign w:val="center"/>
            <w:tcMar>
              <w:top w:w="100" w:type="dxa"/>
              <w:start w:w="120" w:type="dxa"/>
              <w:bottom w:w="100" w:type="dxa"/>
              <w:end w:w="120" w:type="dxa"/>
              <w:left w:w="75" w:type="dxa"/>
              <w:right w:w="75" w:type="dxa"/>
            </w:tcMar>
            <w:shd w:fill="1F4E78"/>
            <w:tcBorders>
              <w:top w:val="single" w:sz="4" w:color="D9D9D9"/>
              <w:left w:val="single" w:sz="4" w:color="D9D9D9"/>
              <w:bottom w:val="single" w:sz="4" w:color="D9D9D9"/>
              <w:right w:val="single" w:sz="4" w:color="D9D9D9"/>
            </w:tcBorders>
          </w:tcPr>
          <w:p>
            <w:pPr>
              <w:jc w:val="center"/>
            </w:pPr>
            <w:r>
              <w:rPr>
                <w:rFonts w:ascii="Arial" w:hAnsi="Arial" w:eastAsia="Arial"/>
                <w:b/>
                <w:color w:val="FFFFFF"/>
                <w:sz w:val="18"/>
                <w:lang w:val="en-US"/>
              </w:rPr>
              <w:t>Evidence</w:t>
            </w:r>
          </w:p>
        </w:tc>
        <w:tc>
          <w:tcPr>
            <w:tcW w:type="dxa" w:w="1531"/>
            <w:vAlign w:val="center"/>
            <w:tcMar>
              <w:top w:w="100" w:type="dxa"/>
              <w:start w:w="120" w:type="dxa"/>
              <w:bottom w:w="100" w:type="dxa"/>
              <w:end w:w="120" w:type="dxa"/>
              <w:left w:w="75" w:type="dxa"/>
              <w:right w:w="75" w:type="dxa"/>
            </w:tcMar>
            <w:shd w:fill="1F4E78"/>
            <w:tcBorders>
              <w:top w:val="single" w:sz="4" w:color="D9D9D9"/>
              <w:left w:val="single" w:sz="4" w:color="D9D9D9"/>
              <w:bottom w:val="single" w:sz="4" w:color="D9D9D9"/>
              <w:right w:val="single" w:sz="4" w:color="D9D9D9"/>
            </w:tcBorders>
          </w:tcPr>
          <w:p>
            <w:pPr>
              <w:jc w:val="center"/>
            </w:pPr>
            <w:r>
              <w:rPr>
                <w:rFonts w:ascii="Arial" w:hAnsi="Arial" w:eastAsia="Arial"/>
                <w:b/>
                <w:color w:val="FFFFFF"/>
                <w:sz w:val="18"/>
                <w:lang w:val="en-US"/>
              </w:rPr>
              <w:t>Standard HAR-RV</w:t>
            </w:r>
          </w:p>
        </w:tc>
        <w:tc>
          <w:tcPr>
            <w:tcW w:type="dxa" w:w="1701"/>
            <w:vAlign w:val="center"/>
            <w:tcMar>
              <w:top w:w="100" w:type="dxa"/>
              <w:start w:w="120" w:type="dxa"/>
              <w:bottom w:w="100" w:type="dxa"/>
              <w:end w:w="120" w:type="dxa"/>
              <w:left w:w="75" w:type="dxa"/>
              <w:right w:w="75" w:type="dxa"/>
            </w:tcMar>
            <w:shd w:fill="1F4E78"/>
            <w:tcBorders>
              <w:top w:val="single" w:sz="4" w:color="D9D9D9"/>
              <w:left w:val="single" w:sz="4" w:color="D9D9D9"/>
              <w:bottom w:val="single" w:sz="4" w:color="D9D9D9"/>
              <w:right w:val="single" w:sz="4" w:color="D9D9D9"/>
            </w:tcBorders>
          </w:tcPr>
          <w:p>
            <w:pPr>
              <w:jc w:val="center"/>
            </w:pPr>
            <w:r>
              <w:rPr>
                <w:rFonts w:ascii="Arial" w:hAnsi="Arial" w:eastAsia="Arial"/>
                <w:b/>
                <w:color w:val="FFFFFF"/>
                <w:sz w:val="18"/>
                <w:lang w:val="en-US"/>
              </w:rPr>
              <w:t>HAR-RV + Lag 2</w:t>
            </w:r>
          </w:p>
        </w:tc>
        <w:tc>
          <w:tcPr>
            <w:tcW w:type="dxa" w:w="2438"/>
            <w:vAlign w:val="center"/>
            <w:tcMar>
              <w:top w:w="100" w:type="dxa"/>
              <w:start w:w="120" w:type="dxa"/>
              <w:bottom w:w="100" w:type="dxa"/>
              <w:end w:w="120" w:type="dxa"/>
              <w:left w:w="75" w:type="dxa"/>
              <w:right w:w="75" w:type="dxa"/>
            </w:tcMar>
            <w:shd w:fill="1F4E78"/>
            <w:tcBorders>
              <w:top w:val="single" w:sz="4" w:color="D9D9D9"/>
              <w:left w:val="single" w:sz="4" w:color="D9D9D9"/>
              <w:bottom w:val="single" w:sz="4" w:color="D9D9D9"/>
              <w:right w:val="single" w:sz="4" w:color="D9D9D9"/>
            </w:tcBorders>
          </w:tcPr>
          <w:p>
            <w:pPr>
              <w:jc w:val="center"/>
            </w:pPr>
            <w:r>
              <w:rPr>
                <w:rFonts w:ascii="Arial" w:hAnsi="Arial" w:eastAsia="Arial"/>
                <w:b/>
                <w:color w:val="FFFFFF"/>
                <w:sz w:val="18"/>
                <w:lang w:val="en-US"/>
              </w:rPr>
              <w:t>Interpretation</w:t>
            </w:r>
          </w:p>
        </w:tc>
      </w:tr>
      <w:tr>
        <w:trPr>
          <w:cantSplit/>
        </w:trPr>
        <w:tc>
          <w:tcPr>
            <w:tcW w:type="dxa" w:w="2268"/>
            <w:vAlign w:val="center"/>
            <w:tcMar>
              <w:top w:w="100" w:type="dxa"/>
              <w:start w:w="120" w:type="dxa"/>
              <w:bottom w:w="100" w:type="dxa"/>
              <w:end w:w="120" w:type="dxa"/>
              <w:left w:w="75" w:type="dxa"/>
              <w:right w:w="75"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Residual lag-2 ACF</w:t>
            </w:r>
          </w:p>
        </w:tc>
        <w:tc>
          <w:tcPr>
            <w:tcW w:type="dxa" w:w="1531"/>
            <w:vAlign w:val="center"/>
            <w:tcMar>
              <w:top w:w="100" w:type="dxa"/>
              <w:start w:w="120" w:type="dxa"/>
              <w:bottom w:w="100" w:type="dxa"/>
              <w:end w:w="120" w:type="dxa"/>
              <w:left w:w="75" w:type="dxa"/>
              <w:right w:w="75"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0.0884</w:t>
            </w:r>
          </w:p>
        </w:tc>
        <w:tc>
          <w:tcPr>
            <w:tcW w:type="dxa" w:w="1701"/>
            <w:vAlign w:val="center"/>
            <w:tcMar>
              <w:top w:w="100" w:type="dxa"/>
              <w:start w:w="120" w:type="dxa"/>
              <w:bottom w:w="100" w:type="dxa"/>
              <w:end w:w="120" w:type="dxa"/>
              <w:left w:w="75" w:type="dxa"/>
              <w:right w:w="75"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0.0043</w:t>
            </w:r>
          </w:p>
        </w:tc>
        <w:tc>
          <w:tcPr>
            <w:tcW w:type="dxa" w:w="2438"/>
            <w:vAlign w:val="center"/>
            <w:tcMar>
              <w:top w:w="100" w:type="dxa"/>
              <w:start w:w="120" w:type="dxa"/>
              <w:bottom w:w="100" w:type="dxa"/>
              <w:end w:w="120" w:type="dxa"/>
              <w:left w:w="75" w:type="dxa"/>
              <w:right w:w="75"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Autocorrelation falls close to zero</w:t>
            </w:r>
          </w:p>
        </w:tc>
      </w:tr>
      <w:tr>
        <w:trPr>
          <w:cantSplit/>
        </w:trPr>
        <w:tc>
          <w:tcPr>
            <w:tcW w:type="dxa" w:w="2268"/>
            <w:vAlign w:val="center"/>
            <w:tcMar>
              <w:top w:w="100" w:type="dxa"/>
              <w:start w:w="120" w:type="dxa"/>
              <w:bottom w:w="100" w:type="dxa"/>
              <w:end w:w="120" w:type="dxa"/>
              <w:left w:w="75" w:type="dxa"/>
              <w:right w:w="75" w:type="dxa"/>
            </w:tcMar>
            <w:shd w:fill="EAF2F8"/>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Residual lag-2 PACF</w:t>
            </w:r>
          </w:p>
        </w:tc>
        <w:tc>
          <w:tcPr>
            <w:tcW w:type="dxa" w:w="1531"/>
            <w:vAlign w:val="center"/>
            <w:tcMar>
              <w:top w:w="100" w:type="dxa"/>
              <w:start w:w="120" w:type="dxa"/>
              <w:bottom w:w="100" w:type="dxa"/>
              <w:end w:w="120" w:type="dxa"/>
              <w:left w:w="75" w:type="dxa"/>
              <w:right w:w="75" w:type="dxa"/>
            </w:tcMar>
            <w:shd w:fill="EAF2F8"/>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0.0875</w:t>
            </w:r>
          </w:p>
        </w:tc>
        <w:tc>
          <w:tcPr>
            <w:tcW w:type="dxa" w:w="1701"/>
            <w:vAlign w:val="center"/>
            <w:tcMar>
              <w:top w:w="100" w:type="dxa"/>
              <w:start w:w="120" w:type="dxa"/>
              <w:bottom w:w="100" w:type="dxa"/>
              <w:end w:w="120" w:type="dxa"/>
              <w:left w:w="75" w:type="dxa"/>
              <w:right w:w="75" w:type="dxa"/>
            </w:tcMar>
            <w:shd w:fill="EAF2F8"/>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0.0041</w:t>
            </w:r>
          </w:p>
        </w:tc>
        <w:tc>
          <w:tcPr>
            <w:tcW w:type="dxa" w:w="2438"/>
            <w:vAlign w:val="center"/>
            <w:tcMar>
              <w:top w:w="100" w:type="dxa"/>
              <w:start w:w="120" w:type="dxa"/>
              <w:bottom w:w="100" w:type="dxa"/>
              <w:end w:w="120" w:type="dxa"/>
              <w:left w:w="75" w:type="dxa"/>
              <w:right w:w="75" w:type="dxa"/>
            </w:tcMar>
            <w:shd w:fill="EAF2F8"/>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Partial autocorrelation falls close to zero</w:t>
            </w:r>
          </w:p>
        </w:tc>
      </w:tr>
      <w:tr>
        <w:trPr>
          <w:cantSplit/>
        </w:trPr>
        <w:tc>
          <w:tcPr>
            <w:tcW w:type="dxa" w:w="2268"/>
            <w:vAlign w:val="center"/>
            <w:tcMar>
              <w:top w:w="100" w:type="dxa"/>
              <w:start w:w="120" w:type="dxa"/>
              <w:bottom w:w="100" w:type="dxa"/>
              <w:end w:w="120" w:type="dxa"/>
              <w:left w:w="75" w:type="dxa"/>
              <w:right w:w="75"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Ljung-Box lag-5 p-value</w:t>
            </w:r>
          </w:p>
        </w:tc>
        <w:tc>
          <w:tcPr>
            <w:tcW w:type="dxa" w:w="1531"/>
            <w:vAlign w:val="center"/>
            <w:tcMar>
              <w:top w:w="100" w:type="dxa"/>
              <w:start w:w="120" w:type="dxa"/>
              <w:bottom w:w="100" w:type="dxa"/>
              <w:end w:w="120" w:type="dxa"/>
              <w:left w:w="75" w:type="dxa"/>
              <w:right w:w="75"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0.0023</w:t>
            </w:r>
          </w:p>
        </w:tc>
        <w:tc>
          <w:tcPr>
            <w:tcW w:type="dxa" w:w="1701"/>
            <w:vAlign w:val="center"/>
            <w:tcMar>
              <w:top w:w="100" w:type="dxa"/>
              <w:start w:w="120" w:type="dxa"/>
              <w:bottom w:w="100" w:type="dxa"/>
              <w:end w:w="120" w:type="dxa"/>
              <w:left w:w="75" w:type="dxa"/>
              <w:right w:w="75"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0.2463</w:t>
            </w:r>
          </w:p>
        </w:tc>
        <w:tc>
          <w:tcPr>
            <w:tcW w:type="dxa" w:w="2438"/>
            <w:vAlign w:val="center"/>
            <w:tcMar>
              <w:top w:w="100" w:type="dxa"/>
              <w:start w:w="120" w:type="dxa"/>
              <w:bottom w:w="100" w:type="dxa"/>
              <w:end w:w="120" w:type="dxa"/>
              <w:left w:w="75" w:type="dxa"/>
              <w:right w:w="75"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No longer significant at 5%</w:t>
            </w:r>
          </w:p>
        </w:tc>
      </w:tr>
      <w:tr>
        <w:trPr>
          <w:cantSplit/>
        </w:trPr>
        <w:tc>
          <w:tcPr>
            <w:tcW w:type="dxa" w:w="2268"/>
            <w:vAlign w:val="center"/>
            <w:tcMar>
              <w:top w:w="100" w:type="dxa"/>
              <w:start w:w="120" w:type="dxa"/>
              <w:bottom w:w="100" w:type="dxa"/>
              <w:end w:w="120" w:type="dxa"/>
              <w:left w:w="75" w:type="dxa"/>
              <w:right w:w="75" w:type="dxa"/>
            </w:tcMar>
            <w:shd w:fill="EAF2F8"/>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Ljung-Box lag-10 p-value</w:t>
            </w:r>
          </w:p>
        </w:tc>
        <w:tc>
          <w:tcPr>
            <w:tcW w:type="dxa" w:w="1531"/>
            <w:vAlign w:val="center"/>
            <w:tcMar>
              <w:top w:w="100" w:type="dxa"/>
              <w:start w:w="120" w:type="dxa"/>
              <w:bottom w:w="100" w:type="dxa"/>
              <w:end w:w="120" w:type="dxa"/>
              <w:left w:w="75" w:type="dxa"/>
              <w:right w:w="75" w:type="dxa"/>
            </w:tcMar>
            <w:shd w:fill="EAF2F8"/>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0.0087</w:t>
            </w:r>
          </w:p>
        </w:tc>
        <w:tc>
          <w:tcPr>
            <w:tcW w:type="dxa" w:w="1701"/>
            <w:vAlign w:val="center"/>
            <w:tcMar>
              <w:top w:w="100" w:type="dxa"/>
              <w:start w:w="120" w:type="dxa"/>
              <w:bottom w:w="100" w:type="dxa"/>
              <w:end w:w="120" w:type="dxa"/>
              <w:left w:w="75" w:type="dxa"/>
              <w:right w:w="75" w:type="dxa"/>
            </w:tcMar>
            <w:shd w:fill="EAF2F8"/>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0.3207</w:t>
            </w:r>
          </w:p>
        </w:tc>
        <w:tc>
          <w:tcPr>
            <w:tcW w:type="dxa" w:w="2438"/>
            <w:vAlign w:val="center"/>
            <w:tcMar>
              <w:top w:w="100" w:type="dxa"/>
              <w:start w:w="120" w:type="dxa"/>
              <w:bottom w:w="100" w:type="dxa"/>
              <w:end w:w="120" w:type="dxa"/>
              <w:left w:w="75" w:type="dxa"/>
              <w:right w:w="75" w:type="dxa"/>
            </w:tcMar>
            <w:shd w:fill="EAF2F8"/>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No longer significant at 5%</w:t>
            </w:r>
          </w:p>
        </w:tc>
      </w:tr>
      <w:tr>
        <w:trPr>
          <w:cantSplit/>
        </w:trPr>
        <w:tc>
          <w:tcPr>
            <w:tcW w:type="dxa" w:w="2268"/>
            <w:vAlign w:val="center"/>
            <w:tcMar>
              <w:top w:w="100" w:type="dxa"/>
              <w:start w:w="120" w:type="dxa"/>
              <w:bottom w:w="100" w:type="dxa"/>
              <w:end w:w="120" w:type="dxa"/>
              <w:left w:w="75" w:type="dxa"/>
              <w:right w:w="75"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Five-fold mean MSE</w:t>
            </w:r>
          </w:p>
        </w:tc>
        <w:tc>
          <w:tcPr>
            <w:tcW w:type="dxa" w:w="1531"/>
            <w:vAlign w:val="center"/>
            <w:tcMar>
              <w:top w:w="100" w:type="dxa"/>
              <w:start w:w="120" w:type="dxa"/>
              <w:bottom w:w="100" w:type="dxa"/>
              <w:end w:w="120" w:type="dxa"/>
              <w:left w:w="75" w:type="dxa"/>
              <w:right w:w="75"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0.350979</w:t>
            </w:r>
          </w:p>
        </w:tc>
        <w:tc>
          <w:tcPr>
            <w:tcW w:type="dxa" w:w="1701"/>
            <w:vAlign w:val="center"/>
            <w:tcMar>
              <w:top w:w="100" w:type="dxa"/>
              <w:start w:w="120" w:type="dxa"/>
              <w:bottom w:w="100" w:type="dxa"/>
              <w:end w:w="120" w:type="dxa"/>
              <w:left w:w="75" w:type="dxa"/>
              <w:right w:w="75"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0.345829</w:t>
            </w:r>
          </w:p>
        </w:tc>
        <w:tc>
          <w:tcPr>
            <w:tcW w:type="dxa" w:w="2438"/>
            <w:vAlign w:val="center"/>
            <w:tcMar>
              <w:top w:w="100" w:type="dxa"/>
              <w:start w:w="120" w:type="dxa"/>
              <w:bottom w:w="100" w:type="dxa"/>
              <w:end w:w="120" w:type="dxa"/>
              <w:left w:w="75" w:type="dxa"/>
              <w:right w:w="75"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Mean MSE declines about 1.47%</w:t>
            </w:r>
          </w:p>
        </w:tc>
      </w:tr>
      <w:tr>
        <w:trPr>
          <w:cantSplit/>
        </w:trPr>
        <w:tc>
          <w:tcPr>
            <w:tcW w:type="dxa" w:w="2268"/>
            <w:vAlign w:val="center"/>
            <w:tcMar>
              <w:top w:w="100" w:type="dxa"/>
              <w:start w:w="120" w:type="dxa"/>
              <w:bottom w:w="100" w:type="dxa"/>
              <w:end w:w="120" w:type="dxa"/>
              <w:left w:w="75" w:type="dxa"/>
              <w:right w:w="75" w:type="dxa"/>
            </w:tcMar>
            <w:shd w:fill="EAF2F8"/>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Final test MSE</w:t>
            </w:r>
          </w:p>
        </w:tc>
        <w:tc>
          <w:tcPr>
            <w:tcW w:type="dxa" w:w="1531"/>
            <w:vAlign w:val="center"/>
            <w:tcMar>
              <w:top w:w="100" w:type="dxa"/>
              <w:start w:w="120" w:type="dxa"/>
              <w:bottom w:w="100" w:type="dxa"/>
              <w:end w:w="120" w:type="dxa"/>
              <w:left w:w="75" w:type="dxa"/>
              <w:right w:w="75" w:type="dxa"/>
            </w:tcMar>
            <w:shd w:fill="EAF2F8"/>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0.429034</w:t>
            </w:r>
          </w:p>
        </w:tc>
        <w:tc>
          <w:tcPr>
            <w:tcW w:type="dxa" w:w="1701"/>
            <w:vAlign w:val="center"/>
            <w:tcMar>
              <w:top w:w="100" w:type="dxa"/>
              <w:start w:w="120" w:type="dxa"/>
              <w:bottom w:w="100" w:type="dxa"/>
              <w:end w:w="120" w:type="dxa"/>
              <w:left w:w="75" w:type="dxa"/>
              <w:right w:w="75" w:type="dxa"/>
            </w:tcMar>
            <w:shd w:fill="EAF2F8"/>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0.422655</w:t>
            </w:r>
          </w:p>
        </w:tc>
        <w:tc>
          <w:tcPr>
            <w:tcW w:type="dxa" w:w="2438"/>
            <w:vAlign w:val="center"/>
            <w:tcMar>
              <w:top w:w="100" w:type="dxa"/>
              <w:start w:w="120" w:type="dxa"/>
              <w:bottom w:w="100" w:type="dxa"/>
              <w:end w:w="120" w:type="dxa"/>
              <w:left w:w="75" w:type="dxa"/>
              <w:right w:w="75" w:type="dxa"/>
            </w:tcMar>
            <w:shd w:fill="EAF2F8"/>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Test MSE declines about 1.49%</w:t>
            </w:r>
          </w:p>
        </w:tc>
      </w:tr>
      <w:tr>
        <w:trPr>
          <w:cantSplit/>
        </w:trPr>
        <w:tc>
          <w:tcPr>
            <w:tcW w:type="dxa" w:w="2268"/>
            <w:vAlign w:val="center"/>
            <w:tcMar>
              <w:top w:w="100" w:type="dxa"/>
              <w:start w:w="120" w:type="dxa"/>
              <w:bottom w:w="100" w:type="dxa"/>
              <w:end w:w="120" w:type="dxa"/>
              <w:left w:w="75" w:type="dxa"/>
              <w:right w:w="75"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Final test MAE</w:t>
            </w:r>
          </w:p>
        </w:tc>
        <w:tc>
          <w:tcPr>
            <w:tcW w:type="dxa" w:w="1531"/>
            <w:vAlign w:val="center"/>
            <w:tcMar>
              <w:top w:w="100" w:type="dxa"/>
              <w:start w:w="120" w:type="dxa"/>
              <w:bottom w:w="100" w:type="dxa"/>
              <w:end w:w="120" w:type="dxa"/>
              <w:left w:w="75" w:type="dxa"/>
              <w:right w:w="75"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0.514996</w:t>
            </w:r>
          </w:p>
        </w:tc>
        <w:tc>
          <w:tcPr>
            <w:tcW w:type="dxa" w:w="1701"/>
            <w:vAlign w:val="center"/>
            <w:tcMar>
              <w:top w:w="100" w:type="dxa"/>
              <w:start w:w="120" w:type="dxa"/>
              <w:bottom w:w="100" w:type="dxa"/>
              <w:end w:w="120" w:type="dxa"/>
              <w:left w:w="75" w:type="dxa"/>
              <w:right w:w="75"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0.511852</w:t>
            </w:r>
          </w:p>
        </w:tc>
        <w:tc>
          <w:tcPr>
            <w:tcW w:type="dxa" w:w="2438"/>
            <w:vAlign w:val="center"/>
            <w:tcMar>
              <w:top w:w="100" w:type="dxa"/>
              <w:start w:w="120" w:type="dxa"/>
              <w:bottom w:w="100" w:type="dxa"/>
              <w:end w:w="120" w:type="dxa"/>
              <w:left w:w="75" w:type="dxa"/>
              <w:right w:w="75"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Test MAE declines about 0.61%</w:t>
            </w:r>
          </w:p>
        </w:tc>
      </w:tr>
    </w:tbl>
    <w:p>
      <w:pPr>
        <w:widowControl/>
        <w:spacing w:line="276" w:lineRule="auto" w:before="80" w:after="100"/>
        <w:ind w:firstLine="420"/>
        <w:jc w:val="both"/>
        <w:snapToGrid w:val="0"/>
      </w:pPr>
      <w:r>
        <w:rPr>
          <w:rFonts w:ascii="Arial" w:hAnsi="Arial" w:eastAsia="Arial" w:cs="Times New Roman"/>
          <w:color w:val="000000"/>
          <w:sz w:val="22"/>
          <w:lang w:val="en-US"/>
        </w:rPr>
        <w:t>After Lag 2 is added, the validation residual ACF and PACF at lag 2 fall to approximately 0.004. Ljung-Box p-values at lags 5 and 10 rise from 0.0023 and 0.0087 to 0.2463 and 0.3207. At the 5% level, these two tests no longer reject the null of no residual autocorrelation, indicating weaker linear dependence over the tested lag ranges. Forecast improvement must still be established with out-of-sample errors.</w:t>
      </w:r>
    </w:p>
    <w:p>
      <w:pPr>
        <w:keepNext/>
        <w:widowControl/>
        <w:spacing w:before="60" w:after="40"/>
        <w:jc w:val="center"/>
      </w:pPr>
      <w:r>
        <w:rPr>
          <w:rFonts w:ascii="Arial" w:hAnsi="Arial" w:eastAsia="Arial" w:cs="Times New Roman"/>
          <w:color w:val="000000"/>
          <w:lang w:val="en-US"/>
        </w:rPr>
        <w:drawing>
          <wp:inline xmlns:a="http://schemas.openxmlformats.org/drawingml/2006/main" xmlns:pic="http://schemas.openxmlformats.org/drawingml/2006/picture">
            <wp:extent cx="5040000" cy="3376414"/>
            <wp:docPr id="2" name="Picture 2" descr="HAR-RV 加 Lag2 模型验证集残差、残差正态Q-Q图、残差ACF和平方残差ACF"/>
            <wp:cNvGraphicFramePr>
              <a:graphicFrameLocks noChangeAspect="1"/>
            </wp:cNvGraphicFramePr>
            <a:graphic>
              <a:graphicData uri="http://schemas.openxmlformats.org/drawingml/2006/picture">
                <pic:pic>
                  <pic:nvPicPr>
                    <pic:cNvPr id="0" name="har_lag2_residual_diagnostics_cropped.png"/>
                    <pic:cNvPicPr/>
                  </pic:nvPicPr>
                  <pic:blipFill>
                    <a:blip r:embed="rId9"/>
                    <a:stretch>
                      <a:fillRect/>
                    </a:stretch>
                  </pic:blipFill>
                  <pic:spPr>
                    <a:xfrm>
                      <a:off x="0" y="0"/>
                      <a:ext cx="5040000" cy="3376414"/>
                    </a:xfrm>
                    <a:prstGeom prst="rect"/>
                  </pic:spPr>
                </pic:pic>
              </a:graphicData>
            </a:graphic>
          </wp:inline>
        </w:drawing>
      </w:r>
    </w:p>
    <w:p>
      <w:pPr>
        <w:widowControl/>
        <w:spacing w:before="80" w:after="100" w:line="276" w:lineRule="auto"/>
        <w:ind w:firstLine="0"/>
        <w:jc w:val="center"/>
      </w:pPr>
      <w:r>
        <w:rPr>
          <w:rFonts w:ascii="Arial" w:hAnsi="Arial" w:eastAsia="Arial" w:cs="Times New Roman"/>
          <w:color w:val="000000"/>
          <w:sz w:val="20"/>
          <w:lang w:val="en-US"/>
        </w:rPr>
        <w:t>Figure 2 HAR-RV plus Lag 2 Validation Residual Diagnostics</w:t>
      </w:r>
    </w:p>
    <w:p>
      <w:pPr>
        <w:keepNext/>
        <w:widowControl/>
        <w:spacing w:before="60" w:after="40"/>
        <w:jc w:val="center"/>
      </w:pPr>
      <w:r>
        <w:rPr>
          <w:rFonts w:ascii="Arial" w:hAnsi="Arial" w:eastAsia="Arial" w:cs="Times New Roman"/>
          <w:color w:val="000000"/>
          <w:lang w:val="en-US"/>
        </w:rPr>
        <w:drawing>
          <wp:inline xmlns:a="http://schemas.openxmlformats.org/drawingml/2006/main" xmlns:pic="http://schemas.openxmlformats.org/drawingml/2006/picture">
            <wp:extent cx="4968000" cy="1944732"/>
            <wp:docPr id="3" name="Picture 3" descr="基础 HAR-RV 与 HAR-RV 加 Lag2 模型在多个最大滞后阶数下的 Ljung-Box p 值比较"/>
            <wp:cNvGraphicFramePr>
              <a:graphicFrameLocks noChangeAspect="1"/>
            </wp:cNvGraphicFramePr>
            <a:graphic>
              <a:graphicData uri="http://schemas.openxmlformats.org/drawingml/2006/picture">
                <pic:pic>
                  <pic:nvPicPr>
                    <pic:cNvPr id="0" name="ljung_box_comparison_cropped.png"/>
                    <pic:cNvPicPr/>
                  </pic:nvPicPr>
                  <pic:blipFill>
                    <a:blip r:embed="rId10"/>
                    <a:stretch>
                      <a:fillRect/>
                    </a:stretch>
                  </pic:blipFill>
                  <pic:spPr>
                    <a:xfrm>
                      <a:off x="0" y="0"/>
                      <a:ext cx="4968000" cy="1944732"/>
                    </a:xfrm>
                    <a:prstGeom prst="rect"/>
                  </pic:spPr>
                </pic:pic>
              </a:graphicData>
            </a:graphic>
          </wp:inline>
        </w:drawing>
      </w:r>
    </w:p>
    <w:p>
      <w:pPr>
        <w:widowControl/>
        <w:spacing w:before="80" w:after="100" w:line="276" w:lineRule="auto"/>
        <w:ind w:firstLine="0"/>
        <w:jc w:val="center"/>
      </w:pPr>
      <w:r>
        <w:rPr>
          <w:rFonts w:ascii="Arial" w:hAnsi="Arial" w:eastAsia="Arial" w:cs="Times New Roman"/>
          <w:color w:val="000000"/>
          <w:sz w:val="20"/>
          <w:lang w:val="en-US"/>
        </w:rPr>
        <w:t>Figure 3 Validation Ljung-Box Comparison Before and After Lag 2</w:t>
      </w:r>
    </w:p>
    <w:p>
      <w:pPr>
        <w:pStyle w:val="Heading1"/>
        <w:keepNext/>
        <w:widowControl/>
        <w:spacing w:before="200" w:after="100"/>
      </w:pPr>
      <w:r>
        <w:rPr>
          <w:rFonts w:ascii="Arial" w:hAnsi="Arial" w:eastAsia="Arial"/>
          <w:b/>
          <w:color w:val="000000"/>
          <w:sz w:val="30"/>
          <w:u w:val="none"/>
          <w:lang w:val="en-US"/>
        </w:rPr>
        <w:t>5 Out-of-Sample Performance and Final Model</w:t>
      </w:r>
    </w:p>
    <w:p>
      <w:pPr>
        <w:widowControl/>
        <w:spacing w:line="276" w:lineRule="auto" w:before="0" w:after="100"/>
        <w:ind w:firstLine="420"/>
        <w:jc w:val="both"/>
        <w:snapToGrid w:val="0"/>
      </w:pPr>
      <w:r>
        <w:rPr>
          <w:rFonts w:ascii="Arial" w:hAnsi="Arial" w:eastAsia="Arial"/>
          <w:color w:val="000000"/>
          <w:sz w:val="21"/>
          <w:lang w:val="en-US"/>
        </w:rPr>
        <w:t>In time-series cross-validation, mean MSE falls from 0.350979 for standard HAR-RV to 0.345829 after Lag 2 is added, a reduction of approximately 1.47%. MSE declines in all five validation folds. A validation-set ablation that holds Day, Week, and Month fixed lowers MSE from 0.477745 to 0.466884, an improvement of approximately 2.27%. Both comparisons support a small incremental contribution from Lag 2.</w:t>
      </w:r>
    </w:p>
    <w:p>
      <w:pPr>
        <w:keepNext/>
        <w:widowControl/>
        <w:spacing w:before="120" w:after="100" w:line="276" w:lineRule="auto"/>
        <w:jc w:val="center"/>
      </w:pPr>
      <w:r>
        <w:rPr>
          <w:rFonts w:ascii="Arial" w:hAnsi="Arial" w:eastAsia="Arial"/>
          <w:b/>
          <w:color w:val="000000"/>
          <w:sz w:val="19"/>
          <w:lang w:val="en-US"/>
        </w:rPr>
        <w:t>Table 5 Independent Test Results</w:t>
      </w:r>
    </w:p>
    <w:tbl>
      <w:tblPr>
        <w:tblW w:type="auto" w:w="0"/>
        <w:tblLayout w:type="fixed"/>
        <w:tblLook w:firstColumn="1" w:firstRow="1" w:lastColumn="0" w:lastRow="0" w:noHBand="0" w:noVBand="1" w:val="04A0"/>
        <w:jc w:val="center"/>
        <w:tblBorders>
          <w:top w:val="single" w:sz="6" w:color="D9D9D9"/>
          <w:left w:val="single" w:sz="6" w:color="D9D9D9"/>
          <w:bottom w:val="single" w:sz="6" w:color="D9D9D9"/>
          <w:right w:val="single" w:sz="6" w:color="D9D9D9"/>
          <w:insideH w:val="single" w:sz="6" w:color="D9D9D9"/>
          <w:insideV w:val="single" w:sz="6" w:color="D9D9D9"/>
        </w:tblBorders>
      </w:tblPr>
      <w:tblGrid>
        <w:gridCol w:w="1860"/>
        <w:gridCol w:w="1860"/>
        <w:gridCol w:w="1860"/>
        <w:gridCol w:w="1860"/>
        <w:gridCol w:w="1860"/>
      </w:tblGrid>
      <w:tr>
        <w:trPr>
          <w:cantSplit/>
          <w:tblHeader/>
          <w:tblHeader/>
          <w:tblHeader/>
        </w:trPr>
        <w:tc>
          <w:tcPr>
            <w:tcW w:type="dxa" w:w="1871"/>
            <w:vAlign w:val="center"/>
            <w:tcMar>
              <w:top w:w="45" w:type="dxa"/>
              <w:start w:w="120" w:type="dxa"/>
              <w:bottom w:w="45" w:type="dxa"/>
              <w:end w:w="120" w:type="dxa"/>
            </w:tcMar>
            <w:shd w:fill="1F4E78"/>
            <w:tcBorders>
              <w:top w:val="single" w:sz="4" w:color="D9D9D9"/>
              <w:left w:val="single" w:sz="4" w:color="D9D9D9"/>
              <w:bottom w:val="single" w:sz="4" w:color="D9D9D9"/>
              <w:right w:val="single" w:sz="4" w:color="D9D9D9"/>
            </w:tcBorders>
          </w:tcPr>
          <w:p>
            <w:pPr>
              <w:jc w:val="center"/>
            </w:pPr>
            <w:r>
              <w:rPr>
                <w:rFonts w:ascii="Arial" w:hAnsi="Arial" w:eastAsia="Arial"/>
                <w:b/>
                <w:color w:val="FFFFFF"/>
                <w:sz w:val="18"/>
                <w:lang w:val="en-US"/>
              </w:rPr>
              <w:t>Model</w:t>
            </w:r>
          </w:p>
        </w:tc>
        <w:tc>
          <w:tcPr>
            <w:tcW w:type="dxa" w:w="1247"/>
            <w:vAlign w:val="center"/>
            <w:tcMar>
              <w:top w:w="45" w:type="dxa"/>
              <w:start w:w="120" w:type="dxa"/>
              <w:bottom w:w="45" w:type="dxa"/>
              <w:end w:w="120" w:type="dxa"/>
            </w:tcMar>
            <w:shd w:fill="1F4E78"/>
            <w:tcBorders>
              <w:top w:val="single" w:sz="4" w:color="D9D9D9"/>
              <w:left w:val="single" w:sz="4" w:color="D9D9D9"/>
              <w:bottom w:val="single" w:sz="4" w:color="D9D9D9"/>
              <w:right w:val="single" w:sz="4" w:color="D9D9D9"/>
            </w:tcBorders>
          </w:tcPr>
          <w:p>
            <w:pPr>
              <w:jc w:val="center"/>
            </w:pPr>
            <w:r>
              <w:rPr>
                <w:rFonts w:ascii="Arial" w:hAnsi="Arial" w:eastAsia="Arial"/>
                <w:b/>
                <w:color w:val="FFFFFF"/>
                <w:sz w:val="18"/>
                <w:lang w:val="en-US"/>
              </w:rPr>
              <w:t>MSE</w:t>
            </w:r>
          </w:p>
        </w:tc>
        <w:tc>
          <w:tcPr>
            <w:tcW w:type="dxa" w:w="1247"/>
            <w:vAlign w:val="center"/>
            <w:tcMar>
              <w:top w:w="45" w:type="dxa"/>
              <w:start w:w="120" w:type="dxa"/>
              <w:bottom w:w="45" w:type="dxa"/>
              <w:end w:w="120" w:type="dxa"/>
            </w:tcMar>
            <w:shd w:fill="1F4E78"/>
            <w:tcBorders>
              <w:top w:val="single" w:sz="4" w:color="D9D9D9"/>
              <w:left w:val="single" w:sz="4" w:color="D9D9D9"/>
              <w:bottom w:val="single" w:sz="4" w:color="D9D9D9"/>
              <w:right w:val="single" w:sz="4" w:color="D9D9D9"/>
            </w:tcBorders>
          </w:tcPr>
          <w:p>
            <w:pPr>
              <w:jc w:val="center"/>
            </w:pPr>
            <w:r>
              <w:rPr>
                <w:rFonts w:ascii="Arial" w:hAnsi="Arial" w:eastAsia="Arial"/>
                <w:b/>
                <w:color w:val="FFFFFF"/>
                <w:sz w:val="18"/>
                <w:lang w:val="en-US"/>
              </w:rPr>
              <w:t>MAE</w:t>
            </w:r>
          </w:p>
        </w:tc>
        <w:tc>
          <w:tcPr>
            <w:tcW w:type="dxa" w:w="2268"/>
            <w:vAlign w:val="center"/>
            <w:tcMar>
              <w:top w:w="45" w:type="dxa"/>
              <w:start w:w="120" w:type="dxa"/>
              <w:bottom w:w="45" w:type="dxa"/>
              <w:end w:w="120" w:type="dxa"/>
            </w:tcMar>
            <w:shd w:fill="1F4E78"/>
            <w:tcBorders>
              <w:top w:val="single" w:sz="4" w:color="D9D9D9"/>
              <w:left w:val="single" w:sz="4" w:color="D9D9D9"/>
              <w:bottom w:val="single" w:sz="4" w:color="D9D9D9"/>
              <w:right w:val="single" w:sz="4" w:color="D9D9D9"/>
            </w:tcBorders>
          </w:tcPr>
          <w:p>
            <w:pPr>
              <w:jc w:val="center"/>
            </w:pPr>
            <w:r>
              <w:rPr>
                <w:rFonts w:ascii="Arial" w:hAnsi="Arial" w:eastAsia="Arial"/>
                <w:b/>
                <w:color w:val="FFFFFF"/>
                <w:sz w:val="18"/>
                <w:lang w:val="en-US"/>
              </w:rPr>
              <w:t>MSE Gain vs. Baseline</w:t>
            </w:r>
          </w:p>
        </w:tc>
        <w:tc>
          <w:tcPr>
            <w:tcW w:type="dxa" w:w="2268"/>
            <w:vAlign w:val="center"/>
            <w:tcMar>
              <w:top w:w="45" w:type="dxa"/>
              <w:start w:w="120" w:type="dxa"/>
              <w:bottom w:w="45" w:type="dxa"/>
              <w:end w:w="120" w:type="dxa"/>
            </w:tcMar>
            <w:shd w:fill="1F4E78"/>
            <w:tcBorders>
              <w:top w:val="single" w:sz="4" w:color="D9D9D9"/>
              <w:left w:val="single" w:sz="4" w:color="D9D9D9"/>
              <w:bottom w:val="single" w:sz="4" w:color="D9D9D9"/>
              <w:right w:val="single" w:sz="4" w:color="D9D9D9"/>
            </w:tcBorders>
          </w:tcPr>
          <w:p>
            <w:pPr>
              <w:jc w:val="center"/>
            </w:pPr>
            <w:r>
              <w:rPr>
                <w:rFonts w:ascii="Arial" w:hAnsi="Arial" w:eastAsia="Arial"/>
                <w:b/>
                <w:color w:val="FFFFFF"/>
                <w:sz w:val="18"/>
                <w:lang w:val="en-US"/>
              </w:rPr>
              <w:t>MAE Gain vs. Baseline</w:t>
            </w:r>
          </w:p>
        </w:tc>
      </w:tr>
      <w:tr>
        <w:trPr>
          <w:cantSplit/>
        </w:trPr>
        <w:tc>
          <w:tcPr>
            <w:tcW w:type="dxa" w:w="1871"/>
            <w:vAlign w:val="center"/>
            <w:tcMar>
              <w:top w:w="45" w:type="dxa"/>
              <w:start w:w="120" w:type="dxa"/>
              <w:bottom w:w="45" w:type="dxa"/>
              <w:end w:w="120"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Persistence</w:t>
            </w:r>
          </w:p>
        </w:tc>
        <w:tc>
          <w:tcPr>
            <w:tcW w:type="dxa" w:w="1247"/>
            <w:vAlign w:val="center"/>
            <w:tcMar>
              <w:top w:w="45" w:type="dxa"/>
              <w:start w:w="120" w:type="dxa"/>
              <w:bottom w:w="45" w:type="dxa"/>
              <w:end w:w="120"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0.478135</w:t>
            </w:r>
          </w:p>
        </w:tc>
        <w:tc>
          <w:tcPr>
            <w:tcW w:type="dxa" w:w="1247"/>
            <w:vAlign w:val="center"/>
            <w:tcMar>
              <w:top w:w="45" w:type="dxa"/>
              <w:start w:w="120" w:type="dxa"/>
              <w:bottom w:w="45" w:type="dxa"/>
              <w:end w:w="120"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0.551313</w:t>
            </w:r>
          </w:p>
        </w:tc>
        <w:tc>
          <w:tcPr>
            <w:tcW w:type="dxa" w:w="2268"/>
            <w:vAlign w:val="center"/>
            <w:tcMar>
              <w:top w:w="45" w:type="dxa"/>
              <w:start w:w="120" w:type="dxa"/>
              <w:bottom w:w="45" w:type="dxa"/>
              <w:end w:w="120"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0.00%</w:t>
            </w:r>
          </w:p>
        </w:tc>
        <w:tc>
          <w:tcPr>
            <w:tcW w:type="dxa" w:w="2268"/>
            <w:vAlign w:val="center"/>
            <w:tcMar>
              <w:top w:w="45" w:type="dxa"/>
              <w:start w:w="120" w:type="dxa"/>
              <w:bottom w:w="45" w:type="dxa"/>
              <w:end w:w="120"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0.00%</w:t>
            </w:r>
          </w:p>
        </w:tc>
      </w:tr>
      <w:tr>
        <w:trPr>
          <w:cantSplit/>
        </w:trPr>
        <w:tc>
          <w:tcPr>
            <w:tcW w:type="dxa" w:w="1871"/>
            <w:vAlign w:val="center"/>
            <w:tcMar>
              <w:top w:w="45" w:type="dxa"/>
              <w:start w:w="120" w:type="dxa"/>
              <w:bottom w:w="45" w:type="dxa"/>
              <w:end w:w="120" w:type="dxa"/>
            </w:tcMar>
            <w:shd w:fill="EAF2F8"/>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Standard HAR-RV</w:t>
            </w:r>
          </w:p>
        </w:tc>
        <w:tc>
          <w:tcPr>
            <w:tcW w:type="dxa" w:w="1247"/>
            <w:vAlign w:val="center"/>
            <w:tcMar>
              <w:top w:w="45" w:type="dxa"/>
              <w:start w:w="120" w:type="dxa"/>
              <w:bottom w:w="45" w:type="dxa"/>
              <w:end w:w="120" w:type="dxa"/>
            </w:tcMar>
            <w:shd w:fill="EAF2F8"/>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0.429034</w:t>
            </w:r>
          </w:p>
        </w:tc>
        <w:tc>
          <w:tcPr>
            <w:tcW w:type="dxa" w:w="1247"/>
            <w:vAlign w:val="center"/>
            <w:tcMar>
              <w:top w:w="45" w:type="dxa"/>
              <w:start w:w="120" w:type="dxa"/>
              <w:bottom w:w="45" w:type="dxa"/>
              <w:end w:w="120" w:type="dxa"/>
            </w:tcMar>
            <w:shd w:fill="EAF2F8"/>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0.514996</w:t>
            </w:r>
          </w:p>
        </w:tc>
        <w:tc>
          <w:tcPr>
            <w:tcW w:type="dxa" w:w="2268"/>
            <w:vAlign w:val="center"/>
            <w:tcMar>
              <w:top w:w="45" w:type="dxa"/>
              <w:start w:w="120" w:type="dxa"/>
              <w:bottom w:w="45" w:type="dxa"/>
              <w:end w:w="120" w:type="dxa"/>
            </w:tcMar>
            <w:shd w:fill="EAF2F8"/>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10.27%</w:t>
            </w:r>
          </w:p>
        </w:tc>
        <w:tc>
          <w:tcPr>
            <w:tcW w:type="dxa" w:w="2268"/>
            <w:vAlign w:val="center"/>
            <w:tcMar>
              <w:top w:w="45" w:type="dxa"/>
              <w:start w:w="120" w:type="dxa"/>
              <w:bottom w:w="45" w:type="dxa"/>
              <w:end w:w="120" w:type="dxa"/>
            </w:tcMar>
            <w:shd w:fill="EAF2F8"/>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6.59%</w:t>
            </w:r>
          </w:p>
        </w:tc>
      </w:tr>
      <w:tr>
        <w:trPr>
          <w:cantSplit/>
        </w:trPr>
        <w:tc>
          <w:tcPr>
            <w:tcW w:type="dxa" w:w="1871"/>
            <w:vAlign w:val="center"/>
            <w:tcMar>
              <w:top w:w="45" w:type="dxa"/>
              <w:start w:w="120" w:type="dxa"/>
              <w:bottom w:w="45" w:type="dxa"/>
              <w:end w:w="120"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HAR-RV + Lag 2</w:t>
            </w:r>
          </w:p>
        </w:tc>
        <w:tc>
          <w:tcPr>
            <w:tcW w:type="dxa" w:w="1247"/>
            <w:vAlign w:val="center"/>
            <w:tcMar>
              <w:top w:w="45" w:type="dxa"/>
              <w:start w:w="120" w:type="dxa"/>
              <w:bottom w:w="45" w:type="dxa"/>
              <w:end w:w="120"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0.422655</w:t>
            </w:r>
          </w:p>
        </w:tc>
        <w:tc>
          <w:tcPr>
            <w:tcW w:type="dxa" w:w="1247"/>
            <w:vAlign w:val="center"/>
            <w:tcMar>
              <w:top w:w="45" w:type="dxa"/>
              <w:start w:w="120" w:type="dxa"/>
              <w:bottom w:w="45" w:type="dxa"/>
              <w:end w:w="120"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0.511852</w:t>
            </w:r>
          </w:p>
        </w:tc>
        <w:tc>
          <w:tcPr>
            <w:tcW w:type="dxa" w:w="2268"/>
            <w:vAlign w:val="center"/>
            <w:tcMar>
              <w:top w:w="45" w:type="dxa"/>
              <w:start w:w="120" w:type="dxa"/>
              <w:bottom w:w="45" w:type="dxa"/>
              <w:end w:w="120"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11.60%</w:t>
            </w:r>
          </w:p>
        </w:tc>
        <w:tc>
          <w:tcPr>
            <w:tcW w:type="dxa" w:w="2268"/>
            <w:vAlign w:val="center"/>
            <w:tcMar>
              <w:top w:w="45" w:type="dxa"/>
              <w:start w:w="120" w:type="dxa"/>
              <w:bottom w:w="45" w:type="dxa"/>
              <w:end w:w="120"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7.16%</w:t>
            </w:r>
          </w:p>
        </w:tc>
      </w:tr>
    </w:tbl>
    <w:p>
      <w:pPr>
        <w:widowControl/>
        <w:spacing w:line="276" w:lineRule="auto" w:before="80" w:after="100"/>
        <w:ind w:firstLine="420"/>
        <w:jc w:val="both"/>
        <w:snapToGrid w:val="0"/>
      </w:pPr>
      <w:r>
        <w:rPr>
          <w:rFonts w:ascii="Arial" w:hAnsi="Arial" w:eastAsia="Arial"/>
          <w:color w:val="000000"/>
          <w:sz w:val="21"/>
          <w:lang w:val="en-US"/>
        </w:rPr>
        <w:t>The selected model uses Day + Lag 2 + Week + Month. On the independent test set, its MSE and MAE are 1.49% and 0.61% lower than those of standard HAR-RV. The direction agrees with cross-validation and validation ablation results. The evidence supports retaining Lag 2 in this sample, but it does not by itself establish statistical significance.</w:t>
      </w:r>
    </w:p>
    <w:p>
      <w:pPr>
        <w:pStyle w:val="Heading1"/>
        <w:keepNext/>
        <w:widowControl/>
        <w:spacing w:before="200" w:after="100"/>
      </w:pPr>
      <w:r>
        <w:rPr>
          <w:rFonts w:ascii="Arial" w:hAnsi="Arial" w:eastAsia="Arial"/>
          <w:b/>
          <w:color w:val="000000"/>
          <w:sz w:val="30"/>
          <w:u w:val="none"/>
          <w:lang w:val="en-US"/>
        </w:rPr>
        <w:t>6 Model Artifacts and Prediction Output</w:t>
      </w:r>
    </w:p>
    <w:p>
      <w:pPr>
        <w:widowControl/>
        <w:spacing w:after="100" w:line="276" w:lineRule="auto"/>
      </w:pPr>
      <w:r>
        <w:rPr>
          <w:rFonts w:ascii="Arial" w:hAnsi="Arial" w:eastAsia="Arial"/>
          <w:color w:val="000000"/>
          <w:sz w:val="21"/>
          <w:lang w:val="en-US"/>
        </w:rPr>
        <w:t>After model selection, the final specification is refitted on 3,693 combined training and validation observations. The saved model is accompanied by metadata recording feature order, coefficients, training dates, software version, and test metrics. Prediction loads this same model version without retraining, which supports reproducibility. Table 6 reports the saved files and an example forecast at the end of the historical sample. Dates use UTC.</w:t>
      </w:r>
    </w:p>
    <w:p>
      <w:pPr>
        <w:keepNext/>
        <w:widowControl/>
        <w:spacing w:before="120" w:after="100" w:line="276" w:lineRule="auto"/>
        <w:jc w:val="center"/>
      </w:pPr>
      <w:r>
        <w:rPr>
          <w:rFonts w:ascii="Arial" w:hAnsi="Arial" w:eastAsia="Arial"/>
          <w:b/>
          <w:color w:val="000000"/>
          <w:sz w:val="19"/>
          <w:lang w:val="en-US"/>
        </w:rPr>
        <w:t>Table 6 Final Model Artifacts and Example Historical Forecast</w:t>
      </w:r>
    </w:p>
    <w:tbl>
      <w:tblPr>
        <w:tblW w:type="auto" w:w="0"/>
        <w:tblLayout w:type="fixed"/>
        <w:tblLook w:firstColumn="1" w:firstRow="1" w:lastColumn="0" w:lastRow="0" w:noHBand="0" w:noVBand="1" w:val="04A0"/>
        <w:jc w:val="center"/>
        <w:tblBorders>
          <w:top w:val="single" w:sz="6" w:color="D9D9D9"/>
          <w:left w:val="single" w:sz="6" w:color="D9D9D9"/>
          <w:bottom w:val="single" w:sz="6" w:color="D9D9D9"/>
          <w:right w:val="single" w:sz="6" w:color="D9D9D9"/>
          <w:insideH w:val="single" w:sz="6" w:color="D9D9D9"/>
          <w:insideV w:val="single" w:sz="6" w:color="D9D9D9"/>
        </w:tblBorders>
      </w:tblPr>
      <w:tblGrid>
        <w:gridCol w:w="3099"/>
        <w:gridCol w:w="3099"/>
        <w:gridCol w:w="3099"/>
      </w:tblGrid>
      <w:tr>
        <w:trPr>
          <w:cantSplit/>
          <w:tblHeader/>
          <w:tblHeader/>
          <w:tblHeader/>
        </w:trPr>
        <w:tc>
          <w:tcPr>
            <w:tcW w:type="dxa" w:w="1814"/>
            <w:vAlign w:val="center"/>
            <w:tcMar>
              <w:top w:w="70" w:type="dxa"/>
              <w:start w:w="120" w:type="dxa"/>
              <w:bottom w:w="70" w:type="dxa"/>
              <w:end w:w="120" w:type="dxa"/>
            </w:tcMar>
            <w:shd w:fill="1F4E78"/>
            <w:tcBorders>
              <w:top w:val="single" w:sz="4" w:color="D9D9D9"/>
              <w:left w:val="single" w:sz="4" w:color="D9D9D9"/>
              <w:bottom w:val="single" w:sz="4" w:color="D9D9D9"/>
              <w:right w:val="single" w:sz="4" w:color="D9D9D9"/>
            </w:tcBorders>
          </w:tcPr>
          <w:p>
            <w:pPr>
              <w:jc w:val="center"/>
            </w:pPr>
            <w:r>
              <w:rPr>
                <w:rFonts w:ascii="Arial" w:hAnsi="Arial" w:eastAsia="Arial"/>
                <w:b/>
                <w:color w:val="FFFFFF"/>
                <w:sz w:val="18"/>
                <w:lang w:val="en-US"/>
              </w:rPr>
              <w:t>Output</w:t>
            </w:r>
          </w:p>
        </w:tc>
        <w:tc>
          <w:tcPr>
            <w:tcW w:type="dxa" w:w="2494"/>
            <w:vAlign w:val="center"/>
            <w:tcMar>
              <w:top w:w="70" w:type="dxa"/>
              <w:start w:w="120" w:type="dxa"/>
              <w:bottom w:w="70" w:type="dxa"/>
              <w:end w:w="120" w:type="dxa"/>
            </w:tcMar>
            <w:shd w:fill="1F4E78"/>
            <w:tcBorders>
              <w:top w:val="single" w:sz="4" w:color="D9D9D9"/>
              <w:left w:val="single" w:sz="4" w:color="D9D9D9"/>
              <w:bottom w:val="single" w:sz="4" w:color="D9D9D9"/>
              <w:right w:val="single" w:sz="4" w:color="D9D9D9"/>
            </w:tcBorders>
          </w:tcPr>
          <w:p>
            <w:pPr>
              <w:jc w:val="center"/>
            </w:pPr>
            <w:r>
              <w:rPr>
                <w:rFonts w:ascii="Arial" w:hAnsi="Arial" w:eastAsia="Arial"/>
                <w:b/>
                <w:color w:val="FFFFFF"/>
                <w:sz w:val="18"/>
                <w:lang w:val="en-US"/>
              </w:rPr>
              <w:t>Value</w:t>
            </w:r>
          </w:p>
        </w:tc>
        <w:tc>
          <w:tcPr>
            <w:tcW w:type="dxa" w:w="4592"/>
            <w:vAlign w:val="center"/>
            <w:tcMar>
              <w:top w:w="70" w:type="dxa"/>
              <w:start w:w="120" w:type="dxa"/>
              <w:bottom w:w="70" w:type="dxa"/>
              <w:end w:w="120" w:type="dxa"/>
            </w:tcMar>
            <w:shd w:fill="1F4E78"/>
            <w:tcBorders>
              <w:top w:val="single" w:sz="4" w:color="D9D9D9"/>
              <w:left w:val="single" w:sz="4" w:color="D9D9D9"/>
              <w:bottom w:val="single" w:sz="4" w:color="D9D9D9"/>
              <w:right w:val="single" w:sz="4" w:color="D9D9D9"/>
            </w:tcBorders>
          </w:tcPr>
          <w:p>
            <w:pPr>
              <w:jc w:val="center"/>
            </w:pPr>
            <w:r>
              <w:rPr>
                <w:rFonts w:ascii="Arial" w:hAnsi="Arial" w:eastAsia="Arial"/>
                <w:b/>
                <w:color w:val="FFFFFF"/>
                <w:sz w:val="18"/>
                <w:lang w:val="en-US"/>
              </w:rPr>
              <w:t>Description</w:t>
            </w:r>
          </w:p>
        </w:tc>
      </w:tr>
      <w:tr>
        <w:trPr>
          <w:cantSplit/>
        </w:trPr>
        <w:tc>
          <w:tcPr>
            <w:tcW w:type="dxa" w:w="1814"/>
            <w:vAlign w:val="center"/>
            <w:tcMar>
              <w:top w:w="70" w:type="dxa"/>
              <w:start w:w="120" w:type="dxa"/>
              <w:bottom w:w="70" w:type="dxa"/>
              <w:end w:w="120"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Model file</w:t>
            </w:r>
          </w:p>
        </w:tc>
        <w:tc>
          <w:tcPr>
            <w:tcW w:type="dxa" w:w="2494"/>
            <w:vAlign w:val="center"/>
            <w:tcMar>
              <w:top w:w="70" w:type="dxa"/>
              <w:start w:w="120" w:type="dxa"/>
              <w:bottom w:w="70" w:type="dxa"/>
              <w:end w:w="120"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har_lag2_model.joblib</w:t>
            </w:r>
          </w:p>
        </w:tc>
        <w:tc>
          <w:tcPr>
            <w:tcW w:type="dxa" w:w="4592"/>
            <w:vAlign w:val="center"/>
            <w:tcMar>
              <w:top w:w="70" w:type="dxa"/>
              <w:start w:w="120" w:type="dxa"/>
              <w:bottom w:w="70" w:type="dxa"/>
              <w:end w:w="120"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Loadable linear regression model</w:t>
            </w:r>
          </w:p>
        </w:tc>
      </w:tr>
      <w:tr>
        <w:trPr>
          <w:cantSplit/>
        </w:trPr>
        <w:tc>
          <w:tcPr>
            <w:tcW w:type="dxa" w:w="1814"/>
            <w:vAlign w:val="center"/>
            <w:tcMar>
              <w:top w:w="70" w:type="dxa"/>
              <w:start w:w="120" w:type="dxa"/>
              <w:bottom w:w="70" w:type="dxa"/>
              <w:end w:w="120" w:type="dxa"/>
            </w:tcMar>
            <w:shd w:fill="EAF2F8"/>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Model metadata</w:t>
            </w:r>
          </w:p>
        </w:tc>
        <w:tc>
          <w:tcPr>
            <w:tcW w:type="dxa" w:w="2494"/>
            <w:vAlign w:val="center"/>
            <w:tcMar>
              <w:top w:w="70" w:type="dxa"/>
              <w:start w:w="120" w:type="dxa"/>
              <w:bottom w:w="70" w:type="dxa"/>
              <w:end w:w="120" w:type="dxa"/>
            </w:tcMar>
            <w:shd w:fill="EAF2F8"/>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har_lag2_model_info.json</w:t>
            </w:r>
          </w:p>
        </w:tc>
        <w:tc>
          <w:tcPr>
            <w:tcW w:type="dxa" w:w="4592"/>
            <w:vAlign w:val="center"/>
            <w:tcMar>
              <w:top w:w="70" w:type="dxa"/>
              <w:start w:w="120" w:type="dxa"/>
              <w:bottom w:w="70" w:type="dxa"/>
              <w:end w:w="120" w:type="dxa"/>
            </w:tcMar>
            <w:shd w:fill="EAF2F8"/>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Features, coefficients, dates, and test metrics</w:t>
            </w:r>
          </w:p>
        </w:tc>
      </w:tr>
      <w:tr>
        <w:trPr>
          <w:cantSplit/>
        </w:trPr>
        <w:tc>
          <w:tcPr>
            <w:tcW w:type="dxa" w:w="1814"/>
            <w:vAlign w:val="center"/>
            <w:tcMar>
              <w:top w:w="70" w:type="dxa"/>
              <w:start w:w="120" w:type="dxa"/>
              <w:bottom w:w="70" w:type="dxa"/>
              <w:end w:w="120"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Forecast target</w:t>
            </w:r>
          </w:p>
        </w:tc>
        <w:tc>
          <w:tcPr>
            <w:tcW w:type="dxa" w:w="2494"/>
            <w:vAlign w:val="center"/>
            <w:tcMar>
              <w:top w:w="70" w:type="dxa"/>
              <w:start w:w="120" w:type="dxa"/>
              <w:bottom w:w="70" w:type="dxa"/>
              <w:end w:w="120"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Next-day log(RV)</w:t>
            </w:r>
          </w:p>
        </w:tc>
        <w:tc>
          <w:tcPr>
            <w:tcW w:type="dxa" w:w="4592"/>
            <w:vAlign w:val="center"/>
            <w:tcMar>
              <w:top w:w="70" w:type="dxa"/>
              <w:start w:w="120" w:type="dxa"/>
              <w:bottom w:w="70" w:type="dxa"/>
              <w:end w:w="120"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Exponentiated without bias correction</w:t>
            </w:r>
          </w:p>
        </w:tc>
      </w:tr>
      <w:tr>
        <w:trPr>
          <w:cantSplit/>
        </w:trPr>
        <w:tc>
          <w:tcPr>
            <w:tcW w:type="dxa" w:w="1814"/>
            <w:vAlign w:val="center"/>
            <w:tcMar>
              <w:top w:w="70" w:type="dxa"/>
              <w:start w:w="120" w:type="dxa"/>
              <w:bottom w:w="70" w:type="dxa"/>
              <w:end w:w="120" w:type="dxa"/>
            </w:tcMar>
            <w:shd w:fill="EAF2F8"/>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Example feature date</w:t>
            </w:r>
          </w:p>
        </w:tc>
        <w:tc>
          <w:tcPr>
            <w:tcW w:type="dxa" w:w="2494"/>
            <w:vAlign w:val="center"/>
            <w:tcMar>
              <w:top w:w="70" w:type="dxa"/>
              <w:start w:w="120" w:type="dxa"/>
              <w:bottom w:w="70" w:type="dxa"/>
              <w:end w:w="120" w:type="dxa"/>
            </w:tcMar>
            <w:shd w:fill="EAF2F8"/>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2018-06-26</w:t>
            </w:r>
          </w:p>
        </w:tc>
        <w:tc>
          <w:tcPr>
            <w:tcW w:type="dxa" w:w="4592"/>
            <w:vAlign w:val="center"/>
            <w:tcMar>
              <w:top w:w="70" w:type="dxa"/>
              <w:start w:w="120" w:type="dxa"/>
              <w:bottom w:w="70" w:type="dxa"/>
              <w:end w:w="120" w:type="dxa"/>
            </w:tcMar>
            <w:shd w:fill="EAF2F8"/>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Historical feature date recorded in UTC</w:t>
            </w:r>
          </w:p>
        </w:tc>
      </w:tr>
      <w:tr>
        <w:trPr>
          <w:cantSplit/>
        </w:trPr>
        <w:tc>
          <w:tcPr>
            <w:tcW w:type="dxa" w:w="1814"/>
            <w:vAlign w:val="center"/>
            <w:tcMar>
              <w:top w:w="70" w:type="dxa"/>
              <w:start w:w="120" w:type="dxa"/>
              <w:bottom w:w="70" w:type="dxa"/>
              <w:end w:w="120"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Predicted log(RV)</w:t>
            </w:r>
          </w:p>
        </w:tc>
        <w:tc>
          <w:tcPr>
            <w:tcW w:type="dxa" w:w="2494"/>
            <w:vAlign w:val="center"/>
            <w:tcMar>
              <w:top w:w="70" w:type="dxa"/>
              <w:start w:w="120" w:type="dxa"/>
              <w:bottom w:w="70" w:type="dxa"/>
              <w:end w:w="120"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-10.076945</w:t>
            </w:r>
          </w:p>
        </w:tc>
        <w:tc>
          <w:tcPr>
            <w:tcW w:type="dxa" w:w="4592"/>
            <w:vAlign w:val="center"/>
            <w:tcMar>
              <w:top w:w="70" w:type="dxa"/>
              <w:start w:w="120" w:type="dxa"/>
              <w:bottom w:w="70" w:type="dxa"/>
              <w:end w:w="120"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Direct output of the final model</w:t>
            </w:r>
          </w:p>
        </w:tc>
      </w:tr>
      <w:tr>
        <w:trPr>
          <w:cantSplit/>
        </w:trPr>
        <w:tc>
          <w:tcPr>
            <w:tcW w:type="dxa" w:w="1814"/>
            <w:vAlign w:val="center"/>
            <w:tcMar>
              <w:top w:w="70" w:type="dxa"/>
              <w:start w:w="120" w:type="dxa"/>
              <w:bottom w:w="70" w:type="dxa"/>
              <w:end w:w="120" w:type="dxa"/>
            </w:tcMar>
            <w:shd w:fill="EAF2F8"/>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Predicted RV</w:t>
            </w:r>
          </w:p>
        </w:tc>
        <w:tc>
          <w:tcPr>
            <w:tcW w:type="dxa" w:w="2494"/>
            <w:vAlign w:val="center"/>
            <w:tcMar>
              <w:top w:w="70" w:type="dxa"/>
              <w:start w:w="120" w:type="dxa"/>
              <w:bottom w:w="70" w:type="dxa"/>
              <w:end w:w="120" w:type="dxa"/>
            </w:tcMar>
            <w:shd w:fill="EAF2F8"/>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4.203763 x 10^-5</w:t>
            </w:r>
          </w:p>
        </w:tc>
        <w:tc>
          <w:tcPr>
            <w:tcW w:type="dxa" w:w="4592"/>
            <w:vAlign w:val="center"/>
            <w:tcMar>
              <w:top w:w="70" w:type="dxa"/>
              <w:start w:w="120" w:type="dxa"/>
              <w:bottom w:w="70" w:type="dxa"/>
              <w:end w:w="120" w:type="dxa"/>
            </w:tcMar>
            <w:shd w:fill="EAF2F8"/>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exp(predicted log(RV))</w:t>
            </w:r>
          </w:p>
        </w:tc>
      </w:tr>
      <w:tr>
        <w:trPr>
          <w:cantSplit/>
        </w:trPr>
        <w:tc>
          <w:tcPr>
            <w:tcW w:type="dxa" w:w="1814"/>
            <w:vAlign w:val="center"/>
            <w:tcMar>
              <w:top w:w="70" w:type="dxa"/>
              <w:start w:w="120" w:type="dxa"/>
              <w:bottom w:w="70" w:type="dxa"/>
              <w:end w:w="120"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Predicted daily volatility</w:t>
            </w:r>
          </w:p>
        </w:tc>
        <w:tc>
          <w:tcPr>
            <w:tcW w:type="dxa" w:w="2494"/>
            <w:vAlign w:val="center"/>
            <w:tcMar>
              <w:top w:w="70" w:type="dxa"/>
              <w:start w:w="120" w:type="dxa"/>
              <w:bottom w:w="70" w:type="dxa"/>
              <w:end w:w="120"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0.6484%</w:t>
            </w:r>
          </w:p>
        </w:tc>
        <w:tc>
          <w:tcPr>
            <w:tcW w:type="dxa" w:w="4592"/>
            <w:vAlign w:val="center"/>
            <w:tcMar>
              <w:top w:w="70" w:type="dxa"/>
              <w:start w:w="120" w:type="dxa"/>
              <w:bottom w:w="70" w:type="dxa"/>
              <w:end w:w="120" w:type="dxa"/>
            </w:tcMar>
            <w:shd w:fill="FFFFFF"/>
            <w:tcBorders>
              <w:top w:val="single" w:sz="4" w:color="D9D9D9"/>
              <w:left w:val="single" w:sz="4" w:color="D9D9D9"/>
              <w:bottom w:val="single" w:sz="4" w:color="D9D9D9"/>
              <w:right w:val="single" w:sz="4" w:color="D9D9D9"/>
            </w:tcBorders>
          </w:tcPr>
          <w:p>
            <w:r>
              <w:rPr>
                <w:rFonts w:ascii="Arial" w:hAnsi="Arial" w:eastAsia="Arial"/>
                <w:b w:val="0"/>
                <w:color w:val="000000"/>
                <w:sz w:val="19"/>
                <w:lang w:val="en-US"/>
              </w:rPr>
              <w:t>sqrt(predicted RV), not annualized</w:t>
            </w:r>
          </w:p>
        </w:tc>
      </w:tr>
    </w:tbl>
    <w:p>
      <w:pPr>
        <w:pStyle w:val="Heading1"/>
        <w:keepNext/>
        <w:widowControl/>
        <w:spacing w:before="80" w:after="100"/>
      </w:pPr>
      <w:r>
        <w:rPr>
          <w:rFonts w:ascii="Arial" w:hAnsi="Arial" w:eastAsia="Arial"/>
          <w:b/>
          <w:color w:val="000000"/>
          <w:sz w:val="30"/>
          <w:u w:val="none"/>
          <w:lang w:val="en-US"/>
        </w:rPr>
        <w:t>7 Conclusion and Limitations</w:t>
      </w:r>
    </w:p>
    <w:p>
      <w:pPr>
        <w:widowControl/>
        <w:spacing w:after="100" w:line="276" w:lineRule="auto"/>
      </w:pPr>
      <w:r>
        <w:rPr>
          <w:rFonts w:ascii="Arial" w:hAnsi="Arial" w:eastAsia="Arial"/>
          <w:color w:val="000000"/>
          <w:sz w:val="21"/>
          <w:lang w:val="en-US"/>
        </w:rPr>
        <w:t>Standard HAR-RV adds weekly and monthly information to the daily component, and Lag 2 further reduces error in every validation fold and on the independent test set. The result supports retaining Lag 2 for this specification, but the increment is limited and should be re-evaluated in other market regimes.</w:t>
      </w:r>
    </w:p>
    <w:p>
      <w:pPr>
        <w:widowControl/>
        <w:spacing w:after="100" w:line="276" w:lineRule="auto"/>
      </w:pPr>
      <w:r>
        <w:rPr>
          <w:rFonts w:ascii="Arial" w:hAnsi="Arial" w:eastAsia="Arial"/>
          <w:color w:val="000000"/>
          <w:sz w:val="21"/>
          <w:lang w:val="en-US"/>
        </w:rPr>
        <w:t>Ljung-Box tests remain significant at several lags in the final test period, showing that the model omits some linear time dependence. Residuals are defined as actual minus predicted; their mean is approximately -0.082, so the model overpredicts log realized variance on average in the test period. Results for squared residuals also vary by lag, so the model cannot be considered a complete description of conditional variation. Future work could compare leverage-aware HAR variants, rolling estimation, regularized regressions, or tree models while retaining chronological validation and untouched evaluation data.</w:t>
      </w:r>
    </w:p>
    <w:p>
      <w:pPr>
        <w:pStyle w:val="Heading2"/>
        <w:keepNext/>
        <w:widowControl/>
        <w:spacing w:before="200" w:after="100"/>
      </w:pPr>
      <w:r>
        <w:rPr>
          <w:rFonts w:ascii="Arial" w:hAnsi="Arial" w:eastAsia="Arial"/>
          <w:b/>
          <w:color w:val="000000"/>
          <w:sz w:val="30"/>
          <w:u w:val="none"/>
          <w:lang w:val="en-US"/>
        </w:rPr>
        <w:t>Appendix Reproduction</w:t>
      </w:r>
    </w:p>
    <w:p>
      <w:pPr>
        <w:keepLines/>
        <w:widowControl/>
        <w:spacing w:line="252" w:lineRule="auto" w:after="100"/>
      </w:pPr>
      <w:r>
        <w:rPr>
          <w:rFonts w:ascii="Arial" w:hAnsi="Arial" w:eastAsia="Arial"/>
          <w:sz w:val="20"/>
          <w:lang w:val="en-US"/>
        </w:rPr>
        <w:t>From the project root, run python run_pipeline.py --stage all to reproduce the workflow and python -m unittest discover -s tests -v to run the seven automated checks. The saved prediction is historical, not a live market forecast.</w:t>
      </w:r>
    </w:p>
    <w:sectPr w:rsidR="00EE0237" w:rsidRPr="00EE0237">
      <w:headerReference w:type="default" r:id="rId11"/>
      <w:footerReference w:type="default" r:id="rId12"/>
      <w:pgSz w:w="11906" w:h="16838"/>
      <w:pgMar w:top="1134" w:right="1304" w:bottom="1134" w:left="130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1E0DC5"/>
    <w:multiLevelType w:val="hybridMultilevel"/>
    <w:tmpl w:val="1786D9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2165445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237"/>
    <w:rsid w:val="00233146"/>
    <w:rsid w:val="003E351D"/>
    <w:rsid w:val="004B749D"/>
    <w:rsid w:val="00620B01"/>
    <w:rsid w:val="00BA37BF"/>
    <w:rsid w:val="00C17A38"/>
    <w:rsid w:val="00EE0237"/>
    <w:rsid w:val="00F940F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B55264"/>
  <w15:chartTrackingRefBased/>
  <w15:docId w15:val="{1B2810A6-FDE3-0A49-8803-742B99E76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07" w:lineRule="auto" w:after="80"/>
    </w:pPr>
    <w:rPr>
      <w:rFonts w:ascii="Arial" w:hAnsi="Arial" w:eastAsia="Arial"/>
      <w:color w:val="000000"/>
      <w:sz w:val="22"/>
    </w:rPr>
  </w:style>
  <w:style w:type="paragraph" w:styleId="Heading1">
    <w:name w:val="heading 1"/>
    <w:basedOn w:val="Normal"/>
    <w:next w:val="Normal"/>
    <w:link w:val="Heading1Char"/>
    <w:uiPriority w:val="9"/>
    <w:qFormat/>
    <w:rsid w:val="00EE0237"/>
    <w:pPr>
      <w:keepNext/>
      <w:keepLines/>
      <w:spacing w:before="200" w:after="100"/>
      <w:outlineLvl w:val="0"/>
    </w:pPr>
    <w:rPr>
      <w:rFonts w:asciiTheme="majorHAnsi" w:eastAsiaTheme="majorEastAsia" w:hAnsiTheme="majorHAnsi" w:cstheme="majorBidi" w:ascii="Arial" w:hAnsi="Arial" w:eastAsia="Arial"/>
      <w:b/>
      <w:color w:val="000000"/>
      <w:sz w:val="30"/>
      <w:szCs w:val="40"/>
    </w:rPr>
  </w:style>
  <w:style w:type="paragraph" w:styleId="Heading2">
    <w:name w:val="heading 2"/>
    <w:basedOn w:val="Normal"/>
    <w:next w:val="Normal"/>
    <w:link w:val="Heading2Char"/>
    <w:uiPriority w:val="9"/>
    <w:semiHidden/>
    <w:unhideWhenUsed/>
    <w:qFormat/>
    <w:rsid w:val="00EE0237"/>
    <w:pPr>
      <w:keepNext/>
      <w:keepLines/>
      <w:spacing w:before="200" w:after="100"/>
      <w:outlineLvl w:val="1"/>
    </w:pPr>
    <w:rPr>
      <w:rFonts w:asciiTheme="majorHAnsi" w:eastAsiaTheme="majorEastAsia" w:hAnsiTheme="majorHAnsi" w:cstheme="majorBidi" w:ascii="Arial" w:hAnsi="Arial" w:eastAsia="Arial"/>
      <w:b/>
      <w:color w:val="000000"/>
      <w:sz w:val="24"/>
      <w:szCs w:val="32"/>
    </w:rPr>
  </w:style>
  <w:style w:type="paragraph" w:styleId="Heading3">
    <w:name w:val="heading 3"/>
    <w:basedOn w:val="Normal"/>
    <w:next w:val="Normal"/>
    <w:link w:val="Heading3Char"/>
    <w:uiPriority w:val="9"/>
    <w:semiHidden/>
    <w:unhideWhenUsed/>
    <w:qFormat/>
    <w:rsid w:val="00EE0237"/>
    <w:pPr>
      <w:keepNext/>
      <w:keepLines/>
      <w:spacing w:before="160" w:after="80"/>
      <w:outlineLvl w:val="2"/>
    </w:pPr>
    <w:rPr>
      <w:rFonts w:eastAsiaTheme="majorEastAsia" w:cstheme="majorBidi" w:ascii="Arial" w:hAnsi="Arial" w:eastAsia="Arial"/>
      <w:color w:val="0F4761" w:themeColor="accent1" w:themeShade="BF"/>
      <w:sz w:val="28"/>
      <w:szCs w:val="28"/>
    </w:rPr>
  </w:style>
  <w:style w:type="paragraph" w:styleId="Heading4">
    <w:name w:val="heading 4"/>
    <w:basedOn w:val="Normal"/>
    <w:next w:val="Normal"/>
    <w:link w:val="Heading4Char"/>
    <w:uiPriority w:val="9"/>
    <w:semiHidden/>
    <w:unhideWhenUsed/>
    <w:qFormat/>
    <w:rsid w:val="00EE0237"/>
    <w:pPr>
      <w:keepNext/>
      <w:keepLines/>
      <w:spacing w:before="80" w:after="40"/>
      <w:outlineLvl w:val="3"/>
    </w:pPr>
    <w:rPr>
      <w:rFonts w:eastAsiaTheme="majorEastAsia" w:cstheme="majorBidi" w:ascii="Arial" w:hAnsi="Arial" w:eastAsia="Arial"/>
      <w:i/>
      <w:iCs/>
      <w:color w:val="0F4761" w:themeColor="accent1" w:themeShade="BF"/>
    </w:rPr>
  </w:style>
  <w:style w:type="paragraph" w:styleId="Heading5">
    <w:name w:val="heading 5"/>
    <w:basedOn w:val="Normal"/>
    <w:next w:val="Normal"/>
    <w:link w:val="Heading5Char"/>
    <w:uiPriority w:val="9"/>
    <w:semiHidden/>
    <w:unhideWhenUsed/>
    <w:qFormat/>
    <w:rsid w:val="00EE0237"/>
    <w:pPr>
      <w:keepNext/>
      <w:keepLines/>
      <w:spacing w:before="80" w:after="40"/>
      <w:outlineLvl w:val="4"/>
    </w:pPr>
    <w:rPr>
      <w:rFonts w:eastAsiaTheme="majorEastAsia" w:cstheme="majorBidi" w:ascii="Arial" w:hAnsi="Arial" w:eastAsia="Arial"/>
      <w:color w:val="0F4761" w:themeColor="accent1" w:themeShade="BF"/>
    </w:rPr>
  </w:style>
  <w:style w:type="paragraph" w:styleId="Heading6">
    <w:name w:val="heading 6"/>
    <w:basedOn w:val="Normal"/>
    <w:next w:val="Normal"/>
    <w:link w:val="Heading6Char"/>
    <w:uiPriority w:val="9"/>
    <w:semiHidden/>
    <w:unhideWhenUsed/>
    <w:qFormat/>
    <w:rsid w:val="00EE0237"/>
    <w:pPr>
      <w:keepNext/>
      <w:keepLines/>
      <w:spacing w:before="40" w:after="0"/>
      <w:outlineLvl w:val="5"/>
    </w:pPr>
    <w:rPr>
      <w:rFonts w:eastAsiaTheme="majorEastAsia" w:cstheme="majorBidi" w:ascii="Arial" w:hAnsi="Arial" w:eastAsia="Arial"/>
      <w:i/>
      <w:iCs/>
      <w:color w:val="595959" w:themeColor="text1" w:themeTint="A6"/>
    </w:rPr>
  </w:style>
  <w:style w:type="paragraph" w:styleId="Heading7">
    <w:name w:val="heading 7"/>
    <w:basedOn w:val="Normal"/>
    <w:next w:val="Normal"/>
    <w:link w:val="Heading7Char"/>
    <w:uiPriority w:val="9"/>
    <w:semiHidden/>
    <w:unhideWhenUsed/>
    <w:qFormat/>
    <w:rsid w:val="00EE0237"/>
    <w:pPr>
      <w:keepNext/>
      <w:keepLines/>
      <w:spacing w:before="40" w:after="0"/>
      <w:outlineLvl w:val="6"/>
    </w:pPr>
    <w:rPr>
      <w:rFonts w:eastAsiaTheme="majorEastAsia" w:cstheme="majorBidi" w:ascii="Arial" w:hAnsi="Arial" w:eastAsia="Arial"/>
      <w:color w:val="595959" w:themeColor="text1" w:themeTint="A6"/>
    </w:rPr>
  </w:style>
  <w:style w:type="paragraph" w:styleId="Heading8">
    <w:name w:val="heading 8"/>
    <w:basedOn w:val="Normal"/>
    <w:next w:val="Normal"/>
    <w:link w:val="Heading8Char"/>
    <w:uiPriority w:val="9"/>
    <w:semiHidden/>
    <w:unhideWhenUsed/>
    <w:qFormat/>
    <w:rsid w:val="00EE0237"/>
    <w:pPr>
      <w:keepNext/>
      <w:keepLines/>
      <w:spacing w:after="0"/>
      <w:outlineLvl w:val="7"/>
    </w:pPr>
    <w:rPr>
      <w:rFonts w:eastAsiaTheme="majorEastAsia" w:cstheme="majorBidi" w:ascii="Arial" w:hAnsi="Arial" w:eastAsia="Arial"/>
      <w:i/>
      <w:iCs/>
      <w:color w:val="272727" w:themeColor="text1" w:themeTint="D8"/>
    </w:rPr>
  </w:style>
  <w:style w:type="paragraph" w:styleId="Heading9">
    <w:name w:val="heading 9"/>
    <w:basedOn w:val="Normal"/>
    <w:next w:val="Normal"/>
    <w:link w:val="Heading9Char"/>
    <w:uiPriority w:val="9"/>
    <w:semiHidden/>
    <w:unhideWhenUsed/>
    <w:qFormat/>
    <w:rsid w:val="00EE0237"/>
    <w:pPr>
      <w:keepNext/>
      <w:keepLines/>
      <w:spacing w:after="0"/>
      <w:outlineLvl w:val="8"/>
    </w:pPr>
    <w:rPr>
      <w:rFonts w:eastAsiaTheme="majorEastAsia" w:cstheme="majorBidi" w:ascii="Arial" w:hAnsi="Arial" w:eastAsia="Arial"/>
      <w:color w:val="272727" w:themeColor="text1" w:themeTint="D8"/>
    </w:rPr>
  </w:style>
  <w:style w:type="character" w:default="1" w:styleId="DefaultParagraphFont">
    <w:name w:val="Default Paragraph Font"/>
    <w:uiPriority w:val="1"/>
    <w:semiHidden/>
    <w:unhideWhenUsed/>
    <w:rPr>
      <w:rFonts w:ascii="Arial" w:hAnsi="Arial" w:eastAsia="Arial"/>
    </w:rPr>
  </w:style>
  <w:style w:type="table" w:default="1" w:styleId="TableNormal">
    <w:name w:val="Normal Table"/>
    <w:uiPriority w:val="99"/>
    <w:semiHidden/>
    <w:unhideWhenUsed/>
    <w:rPr>
      <w:rFonts w:ascii="Arial" w:hAnsi="Arial" w:eastAsia="Arial"/>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237"/>
    <w:rPr>
      <w:rFonts w:asciiTheme="majorHAnsi" w:eastAsiaTheme="majorEastAsia" w:hAnsiTheme="majorHAnsi" w:cstheme="majorBidi" w:ascii="Arial" w:hAnsi="Arial" w:eastAsia="Arial"/>
      <w:color w:val="0F4761" w:themeColor="accent1" w:themeShade="BF"/>
      <w:sz w:val="40"/>
      <w:szCs w:val="40"/>
    </w:rPr>
  </w:style>
  <w:style w:type="character" w:customStyle="1" w:styleId="Heading2Char">
    <w:name w:val="Heading 2 Char"/>
    <w:basedOn w:val="DefaultParagraphFont"/>
    <w:link w:val="Heading2"/>
    <w:uiPriority w:val="9"/>
    <w:semiHidden/>
    <w:rsid w:val="00EE0237"/>
    <w:rPr>
      <w:rFonts w:asciiTheme="majorHAnsi" w:eastAsiaTheme="majorEastAsia" w:hAnsiTheme="majorHAnsi" w:cstheme="majorBidi" w:ascii="Arial" w:hAnsi="Arial" w:eastAsia="Arial"/>
      <w:color w:val="0F4761" w:themeColor="accent1" w:themeShade="BF"/>
      <w:sz w:val="32"/>
      <w:szCs w:val="32"/>
    </w:rPr>
  </w:style>
  <w:style w:type="character" w:customStyle="1" w:styleId="Heading3Char">
    <w:name w:val="Heading 3 Char"/>
    <w:basedOn w:val="DefaultParagraphFont"/>
    <w:link w:val="Heading3"/>
    <w:uiPriority w:val="9"/>
    <w:semiHidden/>
    <w:rsid w:val="00EE0237"/>
    <w:rPr>
      <w:rFonts w:eastAsiaTheme="majorEastAsia" w:cstheme="majorBidi" w:ascii="Arial" w:hAnsi="Arial" w:eastAsia="Arial"/>
      <w:color w:val="0F4761" w:themeColor="accent1" w:themeShade="BF"/>
      <w:sz w:val="28"/>
      <w:szCs w:val="28"/>
    </w:rPr>
  </w:style>
  <w:style w:type="character" w:customStyle="1" w:styleId="Heading4Char">
    <w:name w:val="Heading 4 Char"/>
    <w:basedOn w:val="DefaultParagraphFont"/>
    <w:link w:val="Heading4"/>
    <w:uiPriority w:val="9"/>
    <w:semiHidden/>
    <w:rsid w:val="00EE0237"/>
    <w:rPr>
      <w:rFonts w:eastAsiaTheme="majorEastAsia" w:cstheme="majorBidi" w:ascii="Arial" w:hAnsi="Arial" w:eastAsia="Arial"/>
      <w:i/>
      <w:iCs/>
      <w:color w:val="0F4761" w:themeColor="accent1" w:themeShade="BF"/>
    </w:rPr>
  </w:style>
  <w:style w:type="character" w:customStyle="1" w:styleId="Heading5Char">
    <w:name w:val="Heading 5 Char"/>
    <w:basedOn w:val="DefaultParagraphFont"/>
    <w:link w:val="Heading5"/>
    <w:uiPriority w:val="9"/>
    <w:semiHidden/>
    <w:rsid w:val="00EE0237"/>
    <w:rPr>
      <w:rFonts w:eastAsiaTheme="majorEastAsia" w:cstheme="majorBidi" w:ascii="Arial" w:hAnsi="Arial" w:eastAsia="Arial"/>
      <w:color w:val="0F4761" w:themeColor="accent1" w:themeShade="BF"/>
    </w:rPr>
  </w:style>
  <w:style w:type="character" w:customStyle="1" w:styleId="Heading6Char">
    <w:name w:val="Heading 6 Char"/>
    <w:basedOn w:val="DefaultParagraphFont"/>
    <w:link w:val="Heading6"/>
    <w:uiPriority w:val="9"/>
    <w:semiHidden/>
    <w:rsid w:val="00EE0237"/>
    <w:rPr>
      <w:rFonts w:eastAsiaTheme="majorEastAsia" w:cstheme="majorBidi" w:ascii="Arial" w:hAnsi="Arial" w:eastAsia="Arial"/>
      <w:i/>
      <w:iCs/>
      <w:color w:val="595959" w:themeColor="text1" w:themeTint="A6"/>
    </w:rPr>
  </w:style>
  <w:style w:type="character" w:customStyle="1" w:styleId="Heading7Char">
    <w:name w:val="Heading 7 Char"/>
    <w:basedOn w:val="DefaultParagraphFont"/>
    <w:link w:val="Heading7"/>
    <w:uiPriority w:val="9"/>
    <w:semiHidden/>
    <w:rsid w:val="00EE0237"/>
    <w:rPr>
      <w:rFonts w:eastAsiaTheme="majorEastAsia" w:cstheme="majorBidi" w:ascii="Arial" w:hAnsi="Arial" w:eastAsia="Arial"/>
      <w:color w:val="595959" w:themeColor="text1" w:themeTint="A6"/>
    </w:rPr>
  </w:style>
  <w:style w:type="character" w:customStyle="1" w:styleId="Heading8Char">
    <w:name w:val="Heading 8 Char"/>
    <w:basedOn w:val="DefaultParagraphFont"/>
    <w:link w:val="Heading8"/>
    <w:uiPriority w:val="9"/>
    <w:semiHidden/>
    <w:rsid w:val="00EE0237"/>
    <w:rPr>
      <w:rFonts w:eastAsiaTheme="majorEastAsia" w:cstheme="majorBidi" w:ascii="Arial" w:hAnsi="Arial" w:eastAsia="Arial"/>
      <w:i/>
      <w:iCs/>
      <w:color w:val="272727" w:themeColor="text1" w:themeTint="D8"/>
    </w:rPr>
  </w:style>
  <w:style w:type="character" w:customStyle="1" w:styleId="Heading9Char">
    <w:name w:val="Heading 9 Char"/>
    <w:basedOn w:val="DefaultParagraphFont"/>
    <w:link w:val="Heading9"/>
    <w:uiPriority w:val="9"/>
    <w:semiHidden/>
    <w:rsid w:val="00EE0237"/>
    <w:rPr>
      <w:rFonts w:eastAsiaTheme="majorEastAsia" w:cstheme="majorBidi" w:ascii="Arial" w:hAnsi="Arial" w:eastAsia="Arial"/>
      <w:color w:val="272727" w:themeColor="text1" w:themeTint="D8"/>
    </w:rPr>
  </w:style>
  <w:style w:type="paragraph" w:styleId="Title">
    <w:name w:val="Title"/>
    <w:basedOn w:val="Normal"/>
    <w:next w:val="Normal"/>
    <w:link w:val="TitleChar"/>
    <w:uiPriority w:val="10"/>
    <w:qFormat/>
    <w:rsid w:val="00EE0237"/>
    <w:pPr>
      <w:spacing w:after="160" w:line="240" w:lineRule="auto"/>
      <w:contextualSpacing/>
    </w:pPr>
    <w:rPr>
      <w:rFonts w:asciiTheme="majorHAnsi" w:eastAsiaTheme="majorEastAsia" w:hAnsiTheme="majorHAnsi" w:cstheme="majorBidi" w:ascii="Arial" w:hAnsi="Arial" w:eastAsia="Arial"/>
      <w:b/>
      <w:color w:val="000000"/>
      <w:spacing w:val="-10"/>
      <w:kern w:val="28"/>
      <w:sz w:val="38"/>
      <w:szCs w:val="56"/>
    </w:rPr>
  </w:style>
  <w:style w:type="character" w:customStyle="1" w:styleId="TitleChar">
    <w:name w:val="Title Char"/>
    <w:basedOn w:val="DefaultParagraphFont"/>
    <w:link w:val="Title"/>
    <w:uiPriority w:val="10"/>
    <w:rsid w:val="00EE0237"/>
    <w:rPr>
      <w:rFonts w:asciiTheme="majorHAnsi" w:eastAsiaTheme="majorEastAsia" w:hAnsiTheme="majorHAnsi" w:cstheme="majorBidi" w:ascii="Arial" w:hAnsi="Arial" w:eastAsia="Arial"/>
      <w:spacing w:val="-10"/>
      <w:kern w:val="28"/>
      <w:sz w:val="56"/>
      <w:szCs w:val="56"/>
    </w:rPr>
  </w:style>
  <w:style w:type="paragraph" w:styleId="Subtitle">
    <w:name w:val="Subtitle"/>
    <w:basedOn w:val="Normal"/>
    <w:next w:val="Normal"/>
    <w:link w:val="SubtitleChar"/>
    <w:uiPriority w:val="11"/>
    <w:qFormat/>
    <w:rsid w:val="00EE0237"/>
    <w:pPr>
      <w:numPr>
        <w:ilvl w:val="1"/>
      </w:numPr>
    </w:pPr>
    <w:rPr>
      <w:rFonts w:eastAsiaTheme="majorEastAsia" w:cstheme="majorBidi" w:ascii="Arial" w:hAnsi="Arial" w:eastAsia="Arial"/>
      <w:color w:val="595959" w:themeColor="text1" w:themeTint="A6"/>
      <w:spacing w:val="15"/>
      <w:sz w:val="28"/>
      <w:szCs w:val="28"/>
    </w:rPr>
  </w:style>
  <w:style w:type="character" w:customStyle="1" w:styleId="SubtitleChar">
    <w:name w:val="Subtitle Char"/>
    <w:basedOn w:val="DefaultParagraphFont"/>
    <w:link w:val="Subtitle"/>
    <w:uiPriority w:val="11"/>
    <w:rsid w:val="00EE0237"/>
    <w:rPr>
      <w:rFonts w:eastAsiaTheme="majorEastAsia" w:cstheme="majorBidi" w:ascii="Arial" w:hAnsi="Arial" w:eastAsia="Arial"/>
      <w:color w:val="595959" w:themeColor="text1" w:themeTint="A6"/>
      <w:spacing w:val="15"/>
      <w:sz w:val="28"/>
      <w:szCs w:val="28"/>
    </w:rPr>
  </w:style>
  <w:style w:type="paragraph" w:styleId="Quote">
    <w:name w:val="Quote"/>
    <w:basedOn w:val="Normal"/>
    <w:next w:val="Normal"/>
    <w:link w:val="QuoteChar"/>
    <w:uiPriority w:val="29"/>
    <w:qFormat/>
    <w:rsid w:val="00EE0237"/>
    <w:pPr>
      <w:spacing w:before="160"/>
      <w:jc w:val="center"/>
    </w:pPr>
    <w:rPr>
      <w:rFonts w:ascii="Arial" w:hAnsi="Arial" w:eastAsia="Arial"/>
      <w:i/>
      <w:iCs/>
      <w:color w:val="404040" w:themeColor="text1" w:themeTint="BF"/>
    </w:rPr>
  </w:style>
  <w:style w:type="character" w:customStyle="1" w:styleId="QuoteChar">
    <w:name w:val="Quote Char"/>
    <w:basedOn w:val="DefaultParagraphFont"/>
    <w:link w:val="Quote"/>
    <w:uiPriority w:val="29"/>
    <w:rsid w:val="00EE0237"/>
    <w:rPr>
      <w:rFonts w:ascii="Arial" w:hAnsi="Arial" w:eastAsia="Arial"/>
      <w:i/>
      <w:iCs/>
      <w:color w:val="404040" w:themeColor="text1" w:themeTint="BF"/>
    </w:rPr>
  </w:style>
  <w:style w:type="paragraph" w:styleId="ListParagraph">
    <w:name w:val="List Paragraph"/>
    <w:basedOn w:val="Normal"/>
    <w:uiPriority w:val="34"/>
    <w:qFormat/>
    <w:rsid w:val="00EE0237"/>
    <w:pPr>
      <w:ind w:left="720"/>
      <w:contextualSpacing/>
    </w:pPr>
    <w:rPr>
      <w:rFonts w:ascii="Arial" w:hAnsi="Arial" w:eastAsia="Arial"/>
    </w:rPr>
  </w:style>
  <w:style w:type="character" w:styleId="IntenseEmphasis">
    <w:name w:val="Intense Emphasis"/>
    <w:basedOn w:val="DefaultParagraphFont"/>
    <w:uiPriority w:val="21"/>
    <w:qFormat/>
    <w:rsid w:val="00EE0237"/>
    <w:rPr>
      <w:rFonts w:ascii="Arial" w:hAnsi="Arial" w:eastAsia="Arial"/>
      <w:i/>
      <w:iCs/>
      <w:color w:val="0F4761" w:themeColor="accent1" w:themeShade="BF"/>
    </w:rPr>
  </w:style>
  <w:style w:type="paragraph" w:styleId="IntenseQuote">
    <w:name w:val="Intense Quote"/>
    <w:basedOn w:val="Normal"/>
    <w:next w:val="Normal"/>
    <w:link w:val="IntenseQuoteChar"/>
    <w:uiPriority w:val="30"/>
    <w:qFormat/>
    <w:rsid w:val="00EE0237"/>
    <w:pPr>
      <w:pBdr>
        <w:top w:val="single" w:sz="4" w:space="10" w:color="0F4761" w:themeColor="accent1" w:themeShade="BF"/>
        <w:bottom w:val="single" w:sz="4" w:space="10" w:color="0F4761" w:themeColor="accent1" w:themeShade="BF"/>
      </w:pBdr>
      <w:spacing w:before="360" w:after="360"/>
      <w:ind w:left="864" w:right="864"/>
      <w:jc w:val="center"/>
    </w:pPr>
    <w:rPr>
      <w:rFonts w:ascii="Arial" w:hAnsi="Arial" w:eastAsia="Arial"/>
      <w:i/>
      <w:iCs/>
      <w:color w:val="0F4761" w:themeColor="accent1" w:themeShade="BF"/>
    </w:rPr>
  </w:style>
  <w:style w:type="character" w:customStyle="1" w:styleId="IntenseQuoteChar">
    <w:name w:val="Intense Quote Char"/>
    <w:basedOn w:val="DefaultParagraphFont"/>
    <w:link w:val="IntenseQuote"/>
    <w:uiPriority w:val="30"/>
    <w:rsid w:val="00EE0237"/>
    <w:rPr>
      <w:rFonts w:ascii="Arial" w:hAnsi="Arial" w:eastAsia="Arial"/>
      <w:i/>
      <w:iCs/>
      <w:color w:val="0F4761" w:themeColor="accent1" w:themeShade="BF"/>
    </w:rPr>
  </w:style>
  <w:style w:type="character" w:styleId="IntenseReference">
    <w:name w:val="Intense Reference"/>
    <w:basedOn w:val="DefaultParagraphFont"/>
    <w:uiPriority w:val="32"/>
    <w:qFormat/>
    <w:rsid w:val="00EE0237"/>
    <w:rPr>
      <w:rFonts w:ascii="Arial" w:hAnsi="Arial" w:eastAsia="Arial"/>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121</Words>
  <Characters>694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S&amp;P 500 Realized Variance Forecasting</dc:title>
  <dc:subject>Model specification, validation, residual diagnostics, and final test</dc:subject>
  <dc:creator>HB81398@365mak.com</dc:creator>
  <cp:keywords>HAR-RV, realized variance, S&amp;P 500, time-series cross-validation</cp:keywords>
  <dc:description/>
  <cp:lastModifiedBy>HB81398@365mak.com</cp:lastModifiedBy>
  <cp:revision>1</cp:revision>
  <dcterms:created xsi:type="dcterms:W3CDTF">2026-10-13T01:02:00Z</dcterms:created>
  <dcterms:modified xsi:type="dcterms:W3CDTF">2026-10-13T01:18:00Z</dcterms:modified>
</cp:coreProperties>
</file>