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  <w:jc w:val="center"/>
      </w:pPr>
      <w:r>
        <w:rPr>
          <w:rFonts w:ascii="Arial" w:hAnsi="Arial" w:eastAsia="Arial"/>
          <w:lang w:val="en-US"/>
        </w:rPr>
        <w:t>S&amp;P 500 Realized Variance Forecasting</w:t>
      </w:r>
    </w:p>
    <w:p>
      <w:pPr>
        <w:spacing w:after="320"/>
        <w:jc w:val="center"/>
      </w:pPr>
      <w:r>
        <w:rPr>
          <w:rFonts w:ascii="Arial" w:hAnsi="Arial" w:eastAsia="Arial"/>
          <w:color w:val="505050"/>
          <w:sz w:val="22"/>
          <w:lang w:val="en-US"/>
        </w:rPr>
        <w:t>Data Characteristics and Model Specification</w:t>
      </w:r>
    </w:p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This report develops a heterogeneous autoregressive realized volatility model for next-trading-day log realized variance of the S&amp;P 500 Index. The specification combines daily, weekly, and monthly information and divides the sample chronologically to prevent future observations from entering model training. It first examines return-distribution characteristics, then describes the model, variables, validation design, and the evidence used to introduce Lag 2.</w:t>
      </w:r>
    </w:p>
    <w:p>
      <w:pPr>
        <w:pStyle w:val="Heading1"/>
      </w:pPr>
      <w:r>
        <w:rPr>
          <w:rFonts w:ascii="Arial" w:hAnsi="Arial" w:eastAsia="Arial"/>
          <w:lang w:val="en-US"/>
        </w:rPr>
        <w:t>1 Data and Descriptive Statistics</w:t>
      </w:r>
    </w:p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Descriptive statistics use training-period data for the S&amp;P 500 Index (.SPX), Dow Jones Industrial Average (.DJI), and Russell 2000 Index (.RUT). None of the three series contains an invalid realized variance observation.</w:t>
      </w:r>
    </w:p>
    <w:p>
      <w:pPr>
        <w:spacing w:before="80" w:after="120"/>
        <w:jc w:val="center"/>
      </w:pPr>
      <w:r>
        <w:rPr>
          <w:rFonts w:ascii="Arial" w:hAnsi="Arial" w:eastAsia="Arial"/>
          <w:sz w:val="18"/>
          <w:lang w:val="en-US"/>
        </w:rPr>
        <w:t>Table 1 Training-Period Return and Realized Variance Statistics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33"/>
        <w:gridCol w:w="1033"/>
        <w:gridCol w:w="1033"/>
        <w:gridCol w:w="1033"/>
        <w:gridCol w:w="1033"/>
        <w:gridCol w:w="1033"/>
        <w:gridCol w:w="1033"/>
        <w:gridCol w:w="1033"/>
        <w:gridCol w:w="1033"/>
      </w:tblGrid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  <w:lang w:val="en-US"/>
              </w:rPr>
              <w:t>Index</w:t>
            </w:r>
          </w:p>
        </w:tc>
        <w:tc>
          <w:tcPr>
            <w:tcW w:type="dxa" w:w="8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  <w:lang w:val="en-US"/>
              </w:rPr>
              <w:t>N</w:t>
            </w:r>
          </w:p>
        </w:tc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  <w:lang w:val="en-US"/>
              </w:rPr>
              <w:t>N Return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  <w:lang w:val="en-US"/>
              </w:rPr>
              <w:t>Mean Return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  <w:lang w:val="en-US"/>
              </w:rPr>
              <w:t>Std. Ret.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  <w:lang w:val="en-US"/>
              </w:rPr>
              <w:t>Skew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  <w:lang w:val="en-US"/>
              </w:rPr>
              <w:t>Excess Kurt.</w:t>
            </w:r>
          </w:p>
        </w:tc>
        <w:tc>
          <w:tcPr>
            <w:tcW w:type="dxa" w:w="12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  <w:lang w:val="en-US"/>
              </w:rPr>
              <w:t>Mean RV5</w:t>
            </w:r>
          </w:p>
        </w:tc>
        <w:tc>
          <w:tcPr>
            <w:tcW w:type="dxa" w:w="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  <w:lang w:val="en-US"/>
              </w:rPr>
              <w:t>Invalid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.SPX</w:t>
            </w:r>
          </w:p>
        </w:tc>
        <w:tc>
          <w:tcPr>
            <w:tcW w:type="dxa" w:w="8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2,791</w:t>
            </w:r>
          </w:p>
        </w:tc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2,791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-0.000036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0.012895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-0.090205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7.370035</w:t>
            </w:r>
          </w:p>
        </w:tc>
        <w:tc>
          <w:tcPr>
            <w:tcW w:type="dxa" w:w="12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0.000139</w:t>
            </w:r>
          </w:p>
        </w:tc>
        <w:tc>
          <w:tcPr>
            <w:tcW w:type="dxa" w:w="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.DJI</w:t>
            </w:r>
          </w:p>
        </w:tc>
        <w:tc>
          <w:tcPr>
            <w:tcW w:type="dxa" w:w="8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2,790</w:t>
            </w:r>
          </w:p>
        </w:tc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2,790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0.000144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0.012617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0.073539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7.779407</w:t>
            </w:r>
          </w:p>
        </w:tc>
        <w:tc>
          <w:tcPr>
            <w:tcW w:type="dxa" w:w="12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0.000141</w:t>
            </w:r>
          </w:p>
        </w:tc>
        <w:tc>
          <w:tcPr>
            <w:tcW w:type="dxa" w:w="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.RUT</w:t>
            </w:r>
          </w:p>
        </w:tc>
        <w:tc>
          <w:tcPr>
            <w:tcW w:type="dxa" w:w="8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2,789</w:t>
            </w:r>
          </w:p>
        </w:tc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2,789</w:t>
            </w:r>
          </w:p>
        </w:tc>
        <w:tc>
          <w:tcPr>
            <w:tcW w:type="dxa" w:w="1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0.000640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0.012390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-0.113599</w:t>
            </w:r>
          </w:p>
        </w:tc>
        <w:tc>
          <w:tcPr>
            <w:tcW w:type="dxa" w:w="1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5.523270</w:t>
            </w:r>
          </w:p>
        </w:tc>
        <w:tc>
          <w:tcPr>
            <w:tcW w:type="dxa" w:w="12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0.000078</w:t>
            </w:r>
          </w:p>
        </w:tc>
        <w:tc>
          <w:tcPr>
            <w:tcW w:type="dxa" w:w="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  <w:lang w:val="en-US"/>
              </w:rPr>
              <w:t>0</w:t>
            </w:r>
          </w:p>
        </w:tc>
      </w:tr>
    </w:tbl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Mean daily returns are close to zero and absolute skewness is below 0.12 for all three indices. Excess kurtosis ranges from 5.52 to 7.78, substantially above the normal-distribution value of zero. The sample is therefore approximately symmetric but sharply peaked and heavy-tailed.</w:t>
      </w:r>
    </w:p>
    <w:p>
      <w:pPr>
        <w:spacing w:before="80" w:after="40"/>
        <w:jc w:val="center"/>
      </w:pPr>
      <w:r>
        <w:rPr>
          <w:rFonts w:ascii="Arial" w:hAnsi="Arial" w:eastAsia="Arial"/>
          <w:lang w:val="en-US"/>
        </w:rPr>
        <w:drawing>
          <wp:inline xmlns:a="http://schemas.openxmlformats.org/drawingml/2006/main" xmlns:pic="http://schemas.openxmlformats.org/drawingml/2006/picture">
            <wp:extent cx="4160520" cy="2741277"/>
            <wp:docPr id="1" name="Picture 1" descr="标普500指数训练期收益率正态Q-Q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mo1_qq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741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Arial" w:hAnsi="Arial" w:eastAsia="Arial"/>
          <w:sz w:val="18"/>
          <w:lang w:val="en-US"/>
        </w:rPr>
        <w:t>Figure 1 Normal Q-Q Plot of S&amp;P 500 Training-Period Returns</w:t>
      </w:r>
    </w:p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The Q-Q plot supports the same conclusion. Central observations broadly follow the normal reference line, while both tails diverge systematically. Model evaluation should therefore combine out-of-sample forecast errors and residual diagnostics instead of relying only on normal-error assumptions.</w:t>
      </w:r>
    </w:p>
    <w:p>
      <w:pPr>
        <w:pStyle w:val="Heading1"/>
      </w:pPr>
      <w:r>
        <w:rPr>
          <w:rFonts w:ascii="Arial" w:hAnsi="Arial" w:eastAsia="Arial"/>
          <w:lang w:val="en-US"/>
        </w:rPr>
        <w:t>2 HAR-RV Model Specification</w:t>
      </w:r>
    </w:p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HAR-RV is motivated by the persistence of realized variance and by market participants operating over different horizons. Daily, weekly, and monthly components approximate this heterogeneity. The model forecasts realized variance dynamics; it does not directly eliminate heavy-tailed returns.</w:t>
      </w:r>
    </w:p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The logarithm reduces scale differences in realized variance. The standard next-day specification is:</w:t>
      </w:r>
    </w:p>
    <w:p>
      <w:pPr>
        <w:spacing w:before="120" w:after="160"/>
        <w:jc w:val="center"/>
      </w:pPr>
      <m:oMathPara>
        <m:oMathParaPr>
          <m:jc m:val="center"/>
        </m:oMathParaPr>
        <m:oMath>
          <m:sSub>
            <m:sSubPr/>
            <m:e>
              <m:r>
                <m:t>log RV</m:t>
              </m:r>
            </m:e>
            <m:sub>
              <m:r>
                <m:t>t+1</m:t>
              </m:r>
            </m:sub>
          </m:sSub>
          <m:r>
            <m:t> = </m:t>
          </m:r>
          <m:sSub>
            <m:sSubPr/>
            <m:e>
              <m:r>
                <m:t>β</m:t>
              </m:r>
            </m:e>
            <m:sub>
              <m:r>
                <m:t>0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d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d</m:t>
              </m:r>
            </m:sup>
          </m:sSubSup>
          <m:r>
            <m:t> + </m:t>
          </m:r>
          <m:sSub>
            <m:sSubPr/>
            <m:e>
              <m:r>
                <m:t>β</m:t>
              </m:r>
            </m:e>
            <m:sub>
              <m:r>
                <m:t>w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w</m:t>
              </m:r>
            </m:sup>
          </m:sSubSup>
          <m:r>
            <m:t> + </m:t>
          </m:r>
          <m:sSub>
            <m:sSubPr/>
            <m:e>
              <m:r>
                <m:t>β</m:t>
              </m:r>
            </m:e>
            <m:sub>
              <m:r>
                <m:t>m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t> + </m:t>
          </m:r>
          <m:sSub>
            <m:sSubPr/>
            <m:e>
              <m:r>
                <m:t>ε</m:t>
              </m:r>
            </m:e>
            <m:sub>
              <m:r>
                <m:t>t+1</m:t>
              </m:r>
            </m:sub>
          </m:sSub>
        </m:oMath>
      </m:oMathPara>
    </w:p>
    <w:p>
      <w:pPr>
        <w:spacing w:before="80" w:after="120"/>
        <w:jc w:val="center"/>
      </w:pPr>
      <w:r>
        <w:rPr>
          <w:rFonts w:ascii="Arial" w:hAnsi="Arial" w:eastAsia="Arial"/>
          <w:sz w:val="18"/>
          <w:lang w:val="en-US"/>
        </w:rPr>
        <w:t>Table 2 HAR-RV Variable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99"/>
        <w:gridCol w:w="3099"/>
        <w:gridCol w:w="3099"/>
      </w:tblGrid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40404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  <w:lang w:val="en-US"/>
              </w:rPr>
              <w:t>Variable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40404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  <w:lang w:val="en-US"/>
              </w:rPr>
              <w:t>Horizon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40404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  <w:lang w:val="en-US"/>
              </w:rPr>
              <w:t>Definition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log RV(d)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Daily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Log of current realized variance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log RV(w)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Weekly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Log of mean realized variance over the latest 5 trading days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log RV(m)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Monthly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Log of mean realized variance over the latest 22 trading days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log RV(t+1)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Target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Log realized variance on the next trading day</w:t>
            </w:r>
          </w:p>
        </w:tc>
      </w:tr>
    </w:tbl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Beta 0 is the intercept, beta d, beta w, and beta m measure daily, weekly, and monthly contributions, and epsilon at t plus 1 is the forecast error. Every explanatory variable uses information available no later than date t, so the specification avoids look-ahead bias.</w:t>
      </w:r>
    </w:p>
    <w:p>
      <w:pPr>
        <w:pStyle w:val="Heading1"/>
      </w:pPr>
      <w:r>
        <w:rPr>
          <w:rFonts w:ascii="Arial" w:hAnsi="Arial" w:eastAsia="Arial"/>
          <w:lang w:val="en-US"/>
        </w:rPr>
        <w:t>3 Validation Design</w:t>
      </w:r>
    </w:p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Training, validation, and test observations are divided chronologically rather than through random cross-validation. Persistence is the development baseline, and gap-separated time-series cross-validation compares feature combinations. MSE and MAE measure forecast accuracy. Residual ACF, PACF, and Ljung-Box tests then assess whether the fitted model leaves predictable linear dependence. The selected model is evaluated once on the independent test set.</w:t>
      </w:r>
    </w:p>
    <w:p>
      <w:pPr>
        <w:pStyle w:val="Heading1"/>
      </w:pPr>
      <w:r>
        <w:rPr>
          <w:rFonts w:ascii="Arial" w:hAnsi="Arial" w:eastAsia="Arial"/>
          <w:lang w:val="en-US"/>
        </w:rPr>
        <w:t>4 Introducing and Validating Lag 2</w:t>
      </w:r>
    </w:p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The standard HAR-RV validation residuals show ACF and PACF values of about 0.088 at lag 2, while lags 3 and 4 are near zero. This suggests omitted short-horizon information associated with the second lag. The pattern motivates a candidate feature, but retention still depends on out-of-sample errors and residual tests.</w:t>
      </w:r>
    </w:p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For a forecast of date t plus 1, Day is realized variance on t and Lag 2 is realized variance on t minus 1. Adding Lag 2 to the daily, weekly, and monthly components gives the extended model:</w:t>
      </w:r>
    </w:p>
    <w:p>
      <w:pPr>
        <w:spacing w:before="120" w:after="160"/>
        <w:jc w:val="center"/>
      </w:pPr>
      <m:oMathPara>
        <m:oMathParaPr>
          <m:jc m:val="center"/>
        </m:oMathParaPr>
        <m:oMath>
          <m:sSub>
            <m:sSubPr/>
            <m:e>
              <m:r>
                <m:t>log RV</m:t>
              </m:r>
            </m:e>
            <m:sub>
              <m:r>
                <m:t>t+1</m:t>
              </m:r>
            </m:sub>
          </m:sSub>
          <m:r>
            <m:t> = </m:t>
          </m:r>
          <m:sSub>
            <m:sSubPr/>
            <m:e>
              <m:r>
                <m:t>β</m:t>
              </m:r>
            </m:e>
            <m:sub>
              <m:r>
                <m:t>0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d</m:t>
              </m:r>
            </m:sub>
          </m:sSub>
          <m:r>
            <m:t> </m:t>
          </m:r>
          <m:sSub>
            <m:sSubPr/>
            <m:e>
              <m:r>
                <m:t>log RV</m:t>
              </m:r>
            </m:e>
            <m:sub>
              <m:r>
                <m:t>t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2</m:t>
              </m:r>
            </m:sub>
          </m:sSub>
          <m:r>
            <m:t> </m:t>
          </m:r>
          <m:sSub>
            <m:sSubPr/>
            <m:e>
              <m:r>
                <m:t>log RV</m:t>
              </m:r>
            </m:e>
            <m:sub>
              <m:r>
                <m:t>t-1</m:t>
              </m:r>
            </m:sub>
          </m:sSub>
          <m:r>
            <m:t> + </m:t>
          </m:r>
          <m:sSub>
            <m:sSubPr/>
            <m:e>
              <m:r>
                <m:t>β</m:t>
              </m:r>
            </m:e>
            <m:sub>
              <m:r>
                <m:t>w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w</m:t>
              </m:r>
            </m:sup>
          </m:sSubSup>
          <m:r>
            <m:t> + </m:t>
          </m:r>
          <m:sSub>
            <m:sSubPr/>
            <m:e>
              <m:r>
                <m:t>β</m:t>
              </m:r>
            </m:e>
            <m:sub>
              <m:r>
                <m:t>m</m:t>
              </m:r>
            </m:sub>
          </m:sSub>
          <m:r>
            <m:t> </m:t>
          </m:r>
          <m:sSubSup>
            <m:sSubSupPr/>
            <m:e>
              <m:r>
                <m:t>log RV</m:t>
              </m:r>
            </m:e>
            <m:sub>
              <m:r>
                <m:t>t</m:t>
              </m:r>
            </m:sub>
            <m:sup>
              <m:r>
                <m:t>m</m:t>
              </m:r>
            </m:sup>
          </m:sSubSup>
          <m:r>
            <m:t> + </m:t>
          </m:r>
          <m:sSub>
            <m:sSubPr/>
            <m:e>
              <m:r>
                <m:t>ε</m:t>
              </m:r>
            </m:e>
            <m:sub>
              <m:r>
                <m:t>t+1</m:t>
              </m:r>
            </m:sub>
          </m:sSub>
        </m:oMath>
      </m:oMathPara>
    </w:p>
    <w:p>
      <w:pPr>
        <w:spacing w:before="80" w:after="120"/>
        <w:jc w:val="center"/>
      </w:pPr>
      <w:r>
        <w:rPr>
          <w:rFonts w:ascii="Arial" w:hAnsi="Arial" w:eastAsia="Arial"/>
          <w:sz w:val="18"/>
          <w:lang w:val="en-US"/>
        </w:rPr>
        <w:t>Table 3 Incremental Evidence for Lag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24"/>
        <w:gridCol w:w="2324"/>
        <w:gridCol w:w="2324"/>
        <w:gridCol w:w="2324"/>
      </w:tblGrid>
      <w:t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  <w:lang w:val="en-US"/>
              </w:rPr>
              <w:t>Evidence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  <w:lang w:val="en-US"/>
              </w:rPr>
              <w:t>Standard HAR-RV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  <w:lang w:val="en-US"/>
              </w:rPr>
              <w:t>HAR-RV + Lag 2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  <w:lang w:val="en-US"/>
              </w:rPr>
              <w:t>Interpretation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Residual lag-2 ACF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0.0884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0.0043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Lag-2 autocorrelation is nearly removed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Residual lag-2 PACF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0.0875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0.0041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Lag 2 adds distinct short-horizon information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Ljung-Box lag-5 p-value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0.0023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0.2463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No longer significant at 5%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Ljung-Box lag-10 p-value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0.0087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0.3207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Joint residual dependence weakens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Five-fold mean MSE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0.351009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0.345937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Out-of-sample error improves about 1.45%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Final test MSE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0.429034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0.422655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Improves about 1.49% over standard HAR-RV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Final test MAE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0.514996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0.511852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9"/>
                <w:lang w:val="en-US"/>
              </w:rPr>
              <w:t>Improves about 0.61% over standard HAR-RV</w:t>
            </w:r>
          </w:p>
        </w:tc>
      </w:tr>
    </w:tbl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After Lag 2 is added, validation residual ACF and PACF at lag 2 fall to about 0.004. Ljung-Box p-values at lags 5 and 10 also rise above 0.05, indicating weaker validation-period linear autocorrelation. Ljung-Box tests assess joint residual dependence rather than coefficient significance or forecast loss, so their results must be interpreted separately from cross-validation.</w:t>
      </w:r>
    </w:p>
    <w:p>
      <w:r>
        <w:rPr>
          <w:rFonts w:ascii="Arial" w:hAnsi="Arial" w:eastAsia="Arial"/>
          <w:lang w:val="en-US"/>
        </w:rPr>
      </w:r>
    </w:p>
    <w:p>
      <w:pPr>
        <w:keepNext/>
        <w:spacing w:before="60" w:after="40"/>
        <w:jc w:val="center"/>
      </w:pPr>
      <w:r>
        <w:rPr>
          <w:rFonts w:ascii="Arial" w:hAnsi="Arial" w:eastAsia="Arial"/>
          <w:lang w:val="en-US"/>
        </w:rPr>
        <w:drawing>
          <wp:inline xmlns:a="http://schemas.openxmlformats.org/drawingml/2006/main" xmlns:pic="http://schemas.openxmlformats.org/drawingml/2006/picture">
            <wp:extent cx="5074920" cy="3399808"/>
            <wp:docPr id="2" name="Picture 2" descr="HAR-RV 加 Lag2 模型验证集残差、残差正态Q-Q图、残差ACF和平方残差AC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_lag2_residual_diagnostics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9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Arial" w:hAnsi="Arial" w:eastAsia="Arial"/>
          <w:sz w:val="18"/>
          <w:lang w:val="en-US"/>
        </w:rPr>
        <w:t>Figure 2 HAR-RV plus Lag 2 Validation Residual Diagnostics</w:t>
      </w:r>
    </w:p>
    <w:p>
      <w:pPr>
        <w:keepNext/>
        <w:spacing w:before="60" w:after="40"/>
        <w:jc w:val="center"/>
      </w:pPr>
      <w:r>
        <w:rPr>
          <w:rFonts w:ascii="Arial" w:hAnsi="Arial" w:eastAsia="Arial"/>
          <w:lang w:val="en-US"/>
        </w:rPr>
        <w:drawing>
          <wp:inline xmlns:a="http://schemas.openxmlformats.org/drawingml/2006/main" xmlns:pic="http://schemas.openxmlformats.org/drawingml/2006/picture">
            <wp:extent cx="5349240" cy="2093970"/>
            <wp:docPr id="3" name="Picture 3" descr="基础 HAR-RV 与 HAR-RV 加 Lag2 模型在多个最大滞后阶数下的 Ljung-Box p 值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jung_box_comparison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09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Arial" w:hAnsi="Arial" w:eastAsia="Arial"/>
          <w:sz w:val="18"/>
          <w:lang w:val="en-US"/>
        </w:rPr>
        <w:t>Figure 3 Ljung-Box Comparison for Standard HAR-RV and HAR-RV plus Lag 2</w:t>
      </w:r>
    </w:p>
    <w:p>
      <w:r>
        <w:rPr>
          <w:rFonts w:ascii="Arial" w:hAnsi="Arial" w:eastAsia="Arial"/>
          <w:lang w:val="en-US"/>
        </w:rPr>
      </w:r>
    </w:p>
    <w:p>
      <w:pPr>
        <w:pStyle w:val="Heading2"/>
      </w:pPr>
      <w:r>
        <w:rPr>
          <w:rFonts w:ascii="Arial" w:hAnsi="Arial" w:eastAsia="Arial"/>
          <w:lang w:val="en-US"/>
        </w:rPr>
        <w:t>Out-of-Sample Performance and Model Selection</w:t>
      </w:r>
    </w:p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Adding Lag 2 reduces five-fold mean MSE by approximately 1.45%, and error falls in every validation fold. The ablation holds Day, Week, and Month fixed, so the incremental difference is attributable to Lag 2 under this design. Final-test MSE and MAE improve by approximately 1.49% and 0.61%, consistent with the development-stage evidence.</w:t>
      </w:r>
    </w:p>
    <w:p>
      <w:pPr>
        <w:ind w:firstLine="420"/>
        <w:jc w:val="both"/>
      </w:pPr>
      <w:r>
        <w:rPr>
          <w:rFonts w:ascii="Arial" w:hAnsi="Arial" w:eastAsia="Arial"/>
          <w:sz w:val="22"/>
          <w:lang w:val="en-US"/>
        </w:rPr>
        <w:t>Taken together, residual ACF and PACF, Ljung-Box tests, time-series cross-validation, and feature ablation support Day + Lag 2 + Week + Month as the selected specification. The error reduction is small but consistent across validation folds and the final test. Significant final-test Ljung-Box results remain, so Lag 2 does not capture all time dependence across market regimes.</w:t>
      </w:r>
    </w:p>
    <w:sectPr w:rsidR="00EE0237" w:rsidRPr="00EE0237">
      <w:headerReference w:type="default" r:id="rId11"/>
      <w:footerReference w:type="default" r:id="rId12"/>
      <w:pgSz w:w="11906" w:h="16838"/>
      <w:pgMar w:top="1134" w:right="1304" w:bottom="1134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1E0DC5"/>
    <w:multiLevelType w:val="hybridMultilevel"/>
    <w:tmpl w:val="1786D9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6544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37"/>
    <w:rsid w:val="00233146"/>
    <w:rsid w:val="003E351D"/>
    <w:rsid w:val="004B749D"/>
    <w:rsid w:val="00620B01"/>
    <w:rsid w:val="00BA37BF"/>
    <w:rsid w:val="00C17A38"/>
    <w:rsid w:val="00EE0237"/>
    <w:rsid w:val="00F9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55264"/>
  <w15:chartTrackingRefBased/>
  <w15:docId w15:val="{1B2810A6-FDE3-0A49-8803-742B99E7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07" w:lineRule="auto" w:after="80"/>
    </w:pPr>
    <w:rPr>
      <w:rFonts w:ascii="Arial" w:hAnsi="Arial" w:eastAsia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237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color w:val="000000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37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color w:val="00000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37"/>
    <w:pPr>
      <w:keepNext/>
      <w:keepLines/>
      <w:spacing w:before="160" w:after="80"/>
      <w:outlineLvl w:val="2"/>
    </w:pPr>
    <w:rPr>
      <w:rFonts w:eastAsiaTheme="majorEastAsia" w:cstheme="majorBidi" w:ascii="Arial" w:hAnsi="Arial" w:eastAsia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37"/>
    <w:pPr>
      <w:keepNext/>
      <w:keepLines/>
      <w:spacing w:before="80" w:after="40"/>
      <w:outlineLvl w:val="3"/>
    </w:pPr>
    <w:rPr>
      <w:rFonts w:eastAsiaTheme="majorEastAsia" w:cstheme="majorBidi" w:ascii="Arial" w:hAnsi="Arial" w:eastAsia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37"/>
    <w:pPr>
      <w:keepNext/>
      <w:keepLines/>
      <w:spacing w:before="80" w:after="40"/>
      <w:outlineLvl w:val="4"/>
    </w:pPr>
    <w:rPr>
      <w:rFonts w:eastAsiaTheme="majorEastAsia" w:cstheme="majorBidi" w:ascii="Arial" w:hAnsi="Arial" w:eastAsia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37"/>
    <w:pPr>
      <w:keepNext/>
      <w:keepLines/>
      <w:spacing w:before="40" w:after="0"/>
      <w:outlineLvl w:val="5"/>
    </w:pPr>
    <w:rPr>
      <w:rFonts w:eastAsiaTheme="majorEastAsia" w:cstheme="majorBidi" w:ascii="Arial" w:hAnsi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37"/>
    <w:pPr>
      <w:keepNext/>
      <w:keepLines/>
      <w:spacing w:before="40" w:after="0"/>
      <w:outlineLvl w:val="6"/>
    </w:pPr>
    <w:rPr>
      <w:rFonts w:eastAsiaTheme="majorEastAsia" w:cstheme="majorBidi" w:ascii="Arial" w:hAnsi="Arial" w:eastAsia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37"/>
    <w:pPr>
      <w:keepNext/>
      <w:keepLines/>
      <w:spacing w:after="0"/>
      <w:outlineLvl w:val="7"/>
    </w:pPr>
    <w:rPr>
      <w:rFonts w:eastAsiaTheme="majorEastAsia" w:cstheme="majorBidi" w:ascii="Arial" w:hAnsi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37"/>
    <w:pPr>
      <w:keepNext/>
      <w:keepLines/>
      <w:spacing w:after="0"/>
      <w:outlineLvl w:val="8"/>
    </w:pPr>
    <w:rPr>
      <w:rFonts w:eastAsiaTheme="majorEastAsia" w:cstheme="majorBidi" w:ascii="Arial" w:hAnsi="Arial" w:eastAsia="Ari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37"/>
    <w:rPr>
      <w:rFonts w:asciiTheme="majorHAnsi" w:eastAsiaTheme="majorEastAsia" w:hAnsiTheme="majorHAnsi" w:cstheme="majorBidi" w:ascii="Arial" w:hAnsi="Arial" w:eastAsia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37"/>
    <w:rPr>
      <w:rFonts w:asciiTheme="majorHAnsi" w:eastAsiaTheme="majorEastAsia" w:hAnsiTheme="majorHAnsi" w:cstheme="majorBidi" w:ascii="Arial" w:hAnsi="Arial" w:eastAsia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37"/>
    <w:rPr>
      <w:rFonts w:eastAsiaTheme="majorEastAsia" w:cstheme="majorBidi" w:ascii="Arial" w:hAnsi="Arial" w:eastAsia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37"/>
    <w:rPr>
      <w:rFonts w:eastAsiaTheme="majorEastAsia" w:cstheme="majorBidi" w:ascii="Arial" w:hAnsi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37"/>
    <w:rPr>
      <w:rFonts w:eastAsiaTheme="majorEastAsia" w:cstheme="majorBidi" w:ascii="Arial" w:hAnsi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37"/>
    <w:rPr>
      <w:rFonts w:eastAsiaTheme="majorEastAsia" w:cstheme="majorBidi" w:ascii="Arial" w:hAnsi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37"/>
    <w:rPr>
      <w:rFonts w:eastAsiaTheme="majorEastAsia" w:cstheme="majorBidi" w:ascii="Arial" w:hAnsi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37"/>
    <w:rPr>
      <w:rFonts w:eastAsiaTheme="majorEastAsia" w:cstheme="majorBidi" w:ascii="Arial" w:hAnsi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37"/>
    <w:rPr>
      <w:rFonts w:eastAsiaTheme="majorEastAsia" w:cstheme="majorBidi" w:ascii="Arial" w:hAnsi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37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-10"/>
      <w:kern w:val="28"/>
      <w:sz w:val="3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37"/>
    <w:rPr>
      <w:rFonts w:asciiTheme="majorHAnsi" w:eastAsiaTheme="majorEastAsia" w:hAnsiTheme="majorHAnsi" w:cstheme="majorBidi" w:ascii="Arial" w:hAnsi="Arial" w:eastAsia="Arial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37"/>
    <w:pPr>
      <w:numPr>
        <w:ilvl w:val="1"/>
      </w:numPr>
    </w:pPr>
    <w:rPr>
      <w:rFonts w:eastAsiaTheme="majorEastAsia" w:cstheme="majorBidi" w:ascii="Arial" w:hAnsi="Arial" w:eastAsia="Arial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37"/>
    <w:rPr>
      <w:rFonts w:eastAsiaTheme="majorEastAsia" w:cstheme="majorBidi" w:ascii="Arial" w:hAnsi="Arial" w:eastAsia="Arial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37"/>
    <w:pPr>
      <w:spacing w:before="160"/>
      <w:jc w:val="center"/>
    </w:pPr>
    <w:rPr>
      <w:rFonts w:ascii="Arial" w:hAnsi="Arial" w:eastAsia="Ari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37"/>
    <w:rPr>
      <w:rFonts w:ascii="Arial" w:hAnsi="Arial" w:eastAsia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37"/>
    <w:pPr>
      <w:ind w:left="720"/>
      <w:contextualSpacing/>
    </w:pPr>
    <w:rPr>
      <w:rFonts w:ascii="Arial" w:hAnsi="Arial" w:eastAsia="Arial"/>
    </w:rPr>
  </w:style>
  <w:style w:type="character" w:styleId="IntenseEmphasis">
    <w:name w:val="Intense Emphasis"/>
    <w:basedOn w:val="DefaultParagraphFont"/>
    <w:uiPriority w:val="21"/>
    <w:qFormat/>
    <w:rsid w:val="00EE0237"/>
    <w:rPr>
      <w:rFonts w:ascii="Arial" w:hAnsi="Arial" w:eastAsia="Arial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hAnsi="Arial" w:eastAsia="Ari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37"/>
    <w:rPr>
      <w:rFonts w:ascii="Arial" w:hAnsi="Arial" w:eastAsia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37"/>
    <w:rPr>
      <w:rFonts w:ascii="Arial" w:hAnsi="Arial" w:eastAsia="Arial"/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S&amp;P 500 Realized Variance Forecasting</dc:title>
  <dc:subject>Early English project report</dc:subject>
  <dc:creator>HB81398@365mak.com</dc:creator>
  <cp:keywords>HAR-RV, realized variance, S&amp;P 500</cp:keywords>
  <dc:description/>
  <cp:lastModifiedBy>HB81398@365mak.com</cp:lastModifiedBy>
  <cp:revision>1</cp:revision>
  <dcterms:created xsi:type="dcterms:W3CDTF">2026-10-13T01:02:00Z</dcterms:created>
  <dcterms:modified xsi:type="dcterms:W3CDTF">2026-10-13T01:18:00Z</dcterms:modified>
</cp:coreProperties>
</file>