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keepNext/>
        <w:widowControl/>
        <w:jc w:val="center"/>
      </w:pPr>
      <w:r>
        <w:rPr>
          <w:rFonts w:ascii="Arial" w:hAnsi="Arial" w:eastAsia="Hiragino Sans GB" w:cs="Arial"/>
          <w:b/>
          <w:color w:val="000000"/>
          <w:sz w:val="34"/>
        </w:rPr>
        <w:t>基于 HAR RV 模型的标普 500 指数波动预测</w:t>
      </w:r>
    </w:p>
    <w:p>
      <w:pPr>
        <w:widowControl/>
        <w:spacing w:after="320"/>
        <w:jc w:val="center"/>
      </w:pPr>
      <w:r>
        <w:rPr>
          <w:rFonts w:ascii="Arial" w:hAnsi="Arial" w:eastAsia="Hiragino Sans GB" w:cs="Arial"/>
          <w:b w:val="0"/>
          <w:color w:val="000000"/>
          <w:sz w:val="22"/>
        </w:rPr>
        <w:t>数据分析 模型设定与样本外检验</w:t>
      </w:r>
    </w:p>
    <w:p>
      <w:pPr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本报告使用异质自回归模型（HAR-RV）预测标普 500 指数下一交易日的波动，以对数实现方差为预测目标。模型纳入日、周、月三个时间尺度的信息，并按时间顺序划分样本。检验结果支持在基础模型中加入 Lag2：五折交叉验证的平均均方误差下降约 1.44%，最终测试集的均方误差下降约 1.49%。改善幅度有限，且测试期残差仍存在自相关。下文说明数据特征、模型设定及选择 Lag2 的依据。</w:t>
      </w:r>
    </w:p>
    <w:p>
      <w:pPr>
        <w:pStyle w:val="Heading1"/>
        <w:keepNext/>
        <w:widowControl/>
        <w:spacing w:before="240" w:after="100"/>
      </w:pPr>
      <w:r>
        <w:rPr>
          <w:rFonts w:ascii="Arial" w:hAnsi="Arial" w:eastAsia="Hiragino Sans GB" w:cs="Arial"/>
          <w:b/>
          <w:color w:val="000000"/>
        </w:rPr>
        <w:t>1 数据与描述性统计</w:t>
      </w:r>
    </w:p>
    <w:p>
      <w:pPr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描述性统计仅使用训练期数据，覆盖标普 500 指数（.SPX）、道琼斯工业平均指数（.DJI）和罗素 2000 指数（.RUT）。表 1 中三个指数的无效 RV5 记录数均为零。本文以实现方差 RV 衡量波动，模型预测的是其对数值。</w:t>
      </w:r>
    </w:p>
    <w:p>
      <w:pPr>
        <w:keepNext/>
        <w:widowControl/>
        <w:spacing w:before="80" w:after="100" w:line="280" w:lineRule="exact"/>
        <w:ind w:firstLine="0"/>
        <w:jc w:val="center"/>
      </w:pPr>
      <w:r>
        <w:rPr>
          <w:rFonts w:ascii="Times New Roman" w:hAnsi="Times New Roman" w:eastAsia="Songti SC" w:cs="Times New Roman"/>
          <w:color w:val="000000"/>
          <w:sz w:val="20"/>
        </w:rPr>
        <w:t>表 1 训练期收益率与实现方差描述性统计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37"/>
        <w:gridCol w:w="879"/>
        <w:gridCol w:w="879"/>
        <w:gridCol w:w="964"/>
        <w:gridCol w:w="964"/>
        <w:gridCol w:w="964"/>
        <w:gridCol w:w="964"/>
        <w:gridCol w:w="964"/>
        <w:gridCol w:w="737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指数</w:t>
            </w:r>
          </w:p>
        </w:tc>
        <w:tc>
          <w:tcPr>
            <w:tcW w:type="dxa" w:w="87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样本数</w:t>
            </w:r>
          </w:p>
        </w:tc>
        <w:tc>
          <w:tcPr>
            <w:tcW w:type="dxa" w:w="87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收益率数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均值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标准差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偏度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超额峰度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平均 RV5</w:t>
            </w:r>
          </w:p>
        </w:tc>
        <w:tc>
          <w:tcPr>
            <w:tcW w:type="dxa" w:w="73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无效 RV5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.SPX</w:t>
            </w:r>
          </w:p>
        </w:tc>
        <w:tc>
          <w:tcPr>
            <w:tcW w:type="dxa" w:w="87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2,791</w:t>
            </w:r>
          </w:p>
        </w:tc>
        <w:tc>
          <w:tcPr>
            <w:tcW w:type="dxa" w:w="87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2,791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-0.000036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0.012895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-0.090205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7.370035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0.000139</w:t>
            </w:r>
          </w:p>
        </w:tc>
        <w:tc>
          <w:tcPr>
            <w:tcW w:type="dxa" w:w="73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.DJI</w:t>
            </w:r>
          </w:p>
        </w:tc>
        <w:tc>
          <w:tcPr>
            <w:tcW w:type="dxa" w:w="87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2,790</w:t>
            </w:r>
          </w:p>
        </w:tc>
        <w:tc>
          <w:tcPr>
            <w:tcW w:type="dxa" w:w="87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2,790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0.000144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0.012617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0.073539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7.779407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0.000141</w:t>
            </w:r>
          </w:p>
        </w:tc>
        <w:tc>
          <w:tcPr>
            <w:tcW w:type="dxa" w:w="73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.RUT</w:t>
            </w:r>
          </w:p>
        </w:tc>
        <w:tc>
          <w:tcPr>
            <w:tcW w:type="dxa" w:w="87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2,789</w:t>
            </w:r>
          </w:p>
        </w:tc>
        <w:tc>
          <w:tcPr>
            <w:tcW w:type="dxa" w:w="87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2,789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0.000640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0.012390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-0.113599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5.523270</w:t>
            </w:r>
          </w:p>
        </w:tc>
        <w:tc>
          <w:tcPr>
            <w:tcW w:type="dxa" w:w="964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0.000078</w:t>
            </w:r>
          </w:p>
        </w:tc>
        <w:tc>
          <w:tcPr>
            <w:tcW w:type="dxa" w:w="73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widowControl/>
        <w:spacing w:line="320" w:lineRule="exact" w:before="12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三个指数的日收益率均值都接近零，偏度绝对值小于 0.12，分布整体较为对称。超额峰度介于 5.52 和 7.78 之间，高于正态分布的理论值 0，呈现尖峰厚尾特征。这意味着用正态分布描述收益率时，可能低估极端收益出现的频率。</w:t>
      </w:r>
    </w:p>
    <w:p>
      <w:pPr>
        <w:keepNext/>
        <w:widowControl/>
        <w:spacing w:before="80" w:after="40"/>
        <w:jc w:val="center"/>
      </w:pPr>
      <w:r>
        <w:rPr>
          <w:rFonts w:ascii="Times New Roman" w:hAnsi="Times New Roman" w:eastAsia="Songti SC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3960000" cy="2609158"/>
            <wp:docPr id="1" name="Picture 1" descr="标普500指数训练期收益率正态Q-Q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mo1_qq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09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100"/>
        <w:ind w:firstLine="0"/>
        <w:jc w:val="center"/>
      </w:pPr>
      <w:r>
        <w:rPr>
          <w:rFonts w:ascii="Times New Roman" w:hAnsi="Times New Roman" w:eastAsia="Songti SC" w:cs="Times New Roman"/>
          <w:color w:val="000000"/>
          <w:sz w:val="20"/>
        </w:rPr>
        <w:t>图 1 标普 500 指数训练期收益率正态 Q-Q 图</w:t>
      </w:r>
    </w:p>
    <w:p>
      <w:pPr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Q-Q 图中部的样本点大致贴近正态参考线，两端则明显偏离，与厚尾特征一致。收益率分布偏离正态，因此模型评估还需结合样本外误差与预测残差诊断。收益率的分布特征本身不能替代对预测误差的检验。</w:t>
      </w:r>
    </w:p>
    <w:p>
      <w:pPr>
        <w:pStyle w:val="Heading1"/>
        <w:keepNext/>
        <w:widowControl/>
        <w:spacing w:before="240" w:after="100"/>
      </w:pPr>
      <w:r>
        <w:rPr>
          <w:rFonts w:ascii="Arial" w:hAnsi="Arial" w:eastAsia="Hiragino Sans GB" w:cs="Arial"/>
          <w:b/>
          <w:color w:val="000000"/>
        </w:rPr>
        <w:t>2 HAR RV 模型设定</w:t>
      </w:r>
    </w:p>
    <w:p>
      <w:pPr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实现波动通常具有持续性，日、周、月尺度的信息可能分别反映不同交易和风险管理期限的影响。HAR-RV 用三个波动分量刻画这种时间尺度差异，结构较为简单，也便于解释各分量的作用。模型用于预测波动的动态变化，并不直接处理收益率分布的厚尾。</w:t>
      </w:r>
    </w:p>
    <w:p>
      <w:pPr>
        <w:keepNext/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模型对实现方差取对数，以减小变量的尺度差异。预测下一交易日对数实现方差的基础模型为：</w:t>
      </w:r>
    </w:p>
    <w:p>
      <w:pPr>
        <w:widowControl/>
        <w:spacing w:before="120" w:after="160"/>
        <w:jc w:val="center"/>
      </w:pPr>
      <m:oMathPara>
        <m:oMathParaPr>
          <m:jc m:val="center"/>
        </m:oMathParaPr>
        <m:oMath>
          <m:sSub>
            <m:sSubPr/>
            <m:e>
              <m:r>
                <m:t>log RV</m:t>
              </m:r>
            </m:e>
            <m:sub>
              <m:r>
                <m:t>t+1</m:t>
              </m:r>
            </m:sub>
          </m:sSub>
          <m:r>
            <m:t> = </m:t>
          </m:r>
          <m:sSub>
            <m:sSubPr/>
            <m:e>
              <m:r>
                <m:t>β</m:t>
              </m:r>
            </m:e>
            <m:sub>
              <m:r>
                <m:t>0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d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w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w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m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t> + </m:t>
          </m:r>
          <m:sSub>
            <m:sSubPr/>
            <m:e>
              <m:r>
                <m:t>ε</m:t>
              </m:r>
            </m:e>
            <m:sub>
              <m:r>
                <m:t>t+1</m:t>
              </m:r>
            </m:sub>
          </m:sSub>
        </m:oMath>
      </m:oMathPara>
    </w:p>
    <w:p>
      <w:pPr>
        <w:keepNext/>
        <w:widowControl/>
        <w:spacing w:before="80" w:after="100" w:line="280" w:lineRule="exact"/>
        <w:ind w:firstLine="0"/>
        <w:jc w:val="center"/>
      </w:pPr>
      <w:r>
        <w:rPr>
          <w:rFonts w:ascii="Times New Roman" w:hAnsi="Times New Roman" w:eastAsia="Songti SC" w:cs="Times New Roman"/>
          <w:color w:val="000000"/>
          <w:sz w:val="20"/>
        </w:rPr>
        <w:t>表 2 HAR RV 模型变量定义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1361"/>
        <w:gridCol w:w="4819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404040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36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404040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8"/>
              </w:rPr>
              <w:t>时间尺度</w:t>
            </w:r>
          </w:p>
        </w:tc>
        <w:tc>
          <w:tcPr>
            <w:tcW w:type="dxa" w:w="481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404040"/>
          </w:tcPr>
          <w:p>
            <w:pPr>
              <w:spacing w:after="20" w:line="260" w:lineRule="exact" w:before="20"/>
              <w:jc w:val="left"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log RV(d)</w:t>
            </w:r>
          </w:p>
        </w:tc>
        <w:tc>
          <w:tcPr>
            <w:tcW w:type="dxa" w:w="136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日度</w:t>
            </w:r>
          </w:p>
        </w:tc>
        <w:tc>
          <w:tcPr>
            <w:tcW w:type="dxa" w:w="481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left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当日实现方差的对数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log RV(w)</w:t>
            </w:r>
          </w:p>
        </w:tc>
        <w:tc>
          <w:tcPr>
            <w:tcW w:type="dxa" w:w="136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周度</w:t>
            </w:r>
          </w:p>
        </w:tc>
        <w:tc>
          <w:tcPr>
            <w:tcW w:type="dxa" w:w="481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left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最近 5 个交易日平均实现方差的对数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log RV(m)</w:t>
            </w:r>
          </w:p>
        </w:tc>
        <w:tc>
          <w:tcPr>
            <w:tcW w:type="dxa" w:w="136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月度</w:t>
            </w:r>
          </w:p>
        </w:tc>
        <w:tc>
          <w:tcPr>
            <w:tcW w:type="dxa" w:w="481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left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最近 22 个交易日平均实现方差的对数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log RV(t+1)</w:t>
            </w:r>
          </w:p>
        </w:tc>
        <w:tc>
          <w:tcPr>
            <w:tcW w:type="dxa" w:w="136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预测目标</w:t>
            </w:r>
          </w:p>
        </w:tc>
        <w:tc>
          <w:tcPr>
            <w:tcW w:type="dxa" w:w="4819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left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下一交易日实现方差的对数</w:t>
            </w:r>
          </w:p>
        </w:tc>
      </w:tr>
    </w:tbl>
    <w:p>
      <w:pPr>
        <w:widowControl/>
        <w:spacing w:line="320" w:lineRule="exact" w:before="12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其中，β0 为截距，βd、βw 和 βm 是日、周、月分量的回归系数，ε(t+1) 为误差项。周度和月度分量分别对截至 t 日的最近 5 个和 22 个交易日的实现方差求平均，再取对数。解释变量均由 t 日及以前的数据构造，避免在特征中使用未来信息。</w:t>
      </w:r>
    </w:p>
    <w:p>
      <w:pPr>
        <w:pStyle w:val="Heading1"/>
        <w:keepNext/>
        <w:widowControl/>
        <w:spacing w:before="240" w:after="100"/>
      </w:pPr>
      <w:r>
        <w:rPr>
          <w:rFonts w:ascii="Arial" w:hAnsi="Arial" w:eastAsia="Hiragino Sans GB" w:cs="Arial"/>
          <w:b/>
          <w:color w:val="000000"/>
        </w:rPr>
        <w:t>3 模型验证方案</w:t>
      </w:r>
    </w:p>
    <w:p>
      <w:pPr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样本按时间顺序划分为训练集、验证集和测试集。开发阶段以当日值预测下一交易日的持续性模型为基准，使用带间隔的时间序列交叉验证比较特征组合，评价指标为均方误差（MSE）和平均绝对误差（MAE）。拟合后检查残差的自相关函数（ACF）、偏自相关函数（PACF）和 Ljung-Box 检验结果，判断模型是否仍遗漏时间依赖信息。模型确定后，再在独立测试集上评估一次。</w:t>
      </w:r>
    </w:p>
    <w:p>
      <w:pPr>
        <w:pStyle w:val="Heading1"/>
        <w:keepNext/>
        <w:widowControl/>
        <w:spacing w:before="240" w:after="100"/>
      </w:pPr>
      <w:r>
        <w:rPr>
          <w:rFonts w:ascii="Arial" w:hAnsi="Arial" w:eastAsia="Hiragino Sans GB" w:cs="Arial"/>
          <w:b/>
          <w:color w:val="000000"/>
        </w:rPr>
        <w:t>4 Lag2 特征的引入与验证</w:t>
      </w:r>
    </w:p>
    <w:p>
      <w:pPr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基础模型的验证集残差在第二滞后期的 ACF 和 PACF 均约为 0.088，第三、第四滞后期则接近零。这提示模型可能遗漏了短期波动信息，因此将 Lag2 列为候选特征。残差诊断只能提供增加特征的线索，是否保留 Lag2 还要看样本外误差能否下降。</w:t>
      </w:r>
    </w:p>
    <w:p>
      <w:pPr>
        <w:keepNext/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预测 t+1 日时，Day 对应 t 日的对数实现方差，Lag2 对应 t−1 日的对数实现方差。它们分别相对预测目标滞后一个和两个交易日。在基础模型中加入 Lag2 后，模型写为：</w:t>
      </w:r>
    </w:p>
    <w:p>
      <w:pPr>
        <w:widowControl/>
        <w:spacing w:before="120" w:after="160"/>
        <w:jc w:val="center"/>
      </w:pPr>
      <m:oMathPara>
        <m:oMathParaPr>
          <m:jc m:val="center"/>
        </m:oMathParaPr>
        <m:oMath>
          <m:sSub>
            <m:sSubPr/>
            <m:e>
              <m:r>
                <m:t>log RV</m:t>
              </m:r>
            </m:e>
            <m:sub>
              <m:r>
                <m:t>t+1</m:t>
              </m:r>
            </m:sub>
          </m:sSub>
          <m:r>
            <m:t> = </m:t>
          </m:r>
          <m:sSub>
            <m:sSubPr/>
            <m:e>
              <m:r>
                <m:t>β</m:t>
              </m:r>
            </m:e>
            <m:sub>
              <m:r>
                <m:t>0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d</m:t>
              </m:r>
            </m:sub>
          </m:sSub>
          <m:r>
            <m:t> </m:t>
          </m:r>
          <m:sSub>
            <m:sSubPr/>
            <m:e>
              <m:r>
                <m:t>log RV</m:t>
              </m:r>
            </m:e>
            <m:sub>
              <m:r>
                <m:t>t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2</m:t>
              </m:r>
            </m:sub>
          </m:sSub>
          <m:r>
            <m:t> </m:t>
          </m:r>
          <m:sSub>
            <m:sSubPr/>
            <m:e>
              <m:r>
                <m:t>log RV</m:t>
              </m:r>
            </m:e>
            <m:sub>
              <m:r>
                <m:t>t-1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w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w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m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t> + </m:t>
          </m:r>
          <m:sSub>
            <m:sSubPr/>
            <m:e>
              <m:r>
                <m:t>ε</m:t>
              </m:r>
            </m:e>
            <m:sub>
              <m:r>
                <m:t>t+1</m:t>
              </m:r>
            </m:sub>
          </m:sSub>
        </m:oMath>
      </m:oMathPara>
    </w:p>
    <w:p>
      <w:pPr>
        <w:keepNext/>
        <w:widowControl/>
        <w:spacing w:before="80" w:after="100" w:line="280" w:lineRule="exact"/>
        <w:ind w:firstLine="0"/>
        <w:jc w:val="center"/>
      </w:pPr>
      <w:r>
        <w:rPr>
          <w:rFonts w:ascii="Times New Roman" w:hAnsi="Times New Roman" w:eastAsia="Songti SC" w:cs="Times New Roman"/>
          <w:color w:val="000000"/>
          <w:sz w:val="20"/>
        </w:rPr>
        <w:t>表 3 加入 Lag2 前后的诊断与预测结果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1531"/>
        <w:gridCol w:w="1701"/>
        <w:gridCol w:w="2438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8"/>
              </w:rPr>
              <w:t>评价证据</w:t>
            </w:r>
          </w:p>
        </w:tc>
        <w:tc>
          <w:tcPr>
            <w:tcW w:type="dxa" w:w="153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8"/>
              </w:rPr>
              <w:t>基础 HAR-RV</w:t>
            </w:r>
          </w:p>
        </w:tc>
        <w:tc>
          <w:tcPr>
            <w:tcW w:type="dxa" w:w="170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8"/>
              </w:rPr>
              <w:t>HAR-RV 加 Lag2</w:t>
            </w:r>
          </w:p>
        </w:tc>
        <w:tc>
          <w:tcPr>
            <w:tcW w:type="dxa" w:w="243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1F4E78"/>
          </w:tcPr>
          <w:p>
            <w:pPr>
              <w:spacing w:after="20" w:line="260" w:lineRule="exact" w:before="20"/>
              <w:jc w:val="left"/>
              <w:keepNext/>
              <w:snapToGrid w:val="0"/>
            </w:pPr>
            <w:r>
              <w:rPr>
                <w:rFonts w:ascii="Arial" w:hAnsi="Arial" w:eastAsia="Hiragino Sans GB" w:cs="Arial"/>
                <w:b/>
                <w:color w:val="FFFFFF"/>
                <w:sz w:val="18"/>
              </w:rPr>
              <w:t>结果解释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残差 lag 2 ACF</w:t>
            </w:r>
          </w:p>
        </w:tc>
        <w:tc>
          <w:tcPr>
            <w:tcW w:type="dxa" w:w="153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0.0884</w:t>
            </w:r>
          </w:p>
        </w:tc>
        <w:tc>
          <w:tcPr>
            <w:tcW w:type="dxa" w:w="170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0.0043</w:t>
            </w:r>
          </w:p>
        </w:tc>
        <w:tc>
          <w:tcPr>
            <w:tcW w:type="dxa" w:w="243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before="20" w:after="20" w:line="260" w:lineRule="exact"/>
              <w:jc w:val="left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第二滞后期自相关降至接近零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残差 lag 2 PACF</w:t>
            </w:r>
          </w:p>
        </w:tc>
        <w:tc>
          <w:tcPr>
            <w:tcW w:type="dxa" w:w="153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0.0875</w:t>
            </w:r>
          </w:p>
        </w:tc>
        <w:tc>
          <w:tcPr>
            <w:tcW w:type="dxa" w:w="170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0.0041</w:t>
            </w:r>
          </w:p>
        </w:tc>
        <w:tc>
          <w:tcPr>
            <w:tcW w:type="dxa" w:w="243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before="20" w:after="20" w:line="260" w:lineRule="exact"/>
              <w:jc w:val="left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第二滞后期偏自相关降至接近零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Ljung-Box 5 阶 p 值</w:t>
            </w:r>
          </w:p>
        </w:tc>
        <w:tc>
          <w:tcPr>
            <w:tcW w:type="dxa" w:w="153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0.0023</w:t>
            </w:r>
          </w:p>
        </w:tc>
        <w:tc>
          <w:tcPr>
            <w:tcW w:type="dxa" w:w="170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0.2463</w:t>
            </w:r>
          </w:p>
        </w:tc>
        <w:tc>
          <w:tcPr>
            <w:tcW w:type="dxa" w:w="243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before="20" w:after="20" w:line="260" w:lineRule="exact"/>
              <w:jc w:val="left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5% 水平下不再显著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Ljung-Box 10 阶 p 值</w:t>
            </w:r>
          </w:p>
        </w:tc>
        <w:tc>
          <w:tcPr>
            <w:tcW w:type="dxa" w:w="153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0.0087</w:t>
            </w:r>
          </w:p>
        </w:tc>
        <w:tc>
          <w:tcPr>
            <w:tcW w:type="dxa" w:w="170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0.3207</w:t>
            </w:r>
          </w:p>
        </w:tc>
        <w:tc>
          <w:tcPr>
            <w:tcW w:type="dxa" w:w="243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before="20" w:after="20" w:line="260" w:lineRule="exact"/>
              <w:jc w:val="left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5% 水平下不再显著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五折平均 MSE</w:t>
            </w:r>
          </w:p>
        </w:tc>
        <w:tc>
          <w:tcPr>
            <w:tcW w:type="dxa" w:w="153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0.351009</w:t>
            </w:r>
          </w:p>
        </w:tc>
        <w:tc>
          <w:tcPr>
            <w:tcW w:type="dxa" w:w="170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0.345937</w:t>
            </w:r>
          </w:p>
        </w:tc>
        <w:tc>
          <w:tcPr>
            <w:tcW w:type="dxa" w:w="243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before="20" w:after="20" w:line="260" w:lineRule="exact"/>
              <w:jc w:val="left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平均 MSE 下降约 1.44%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最终测试 MSE</w:t>
            </w:r>
          </w:p>
        </w:tc>
        <w:tc>
          <w:tcPr>
            <w:tcW w:type="dxa" w:w="153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0.429034</w:t>
            </w:r>
          </w:p>
        </w:tc>
        <w:tc>
          <w:tcPr>
            <w:tcW w:type="dxa" w:w="170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after="20" w:line="260" w:lineRule="exact" w:before="20"/>
              <w:jc w:val="center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0.422655</w:t>
            </w:r>
          </w:p>
        </w:tc>
        <w:tc>
          <w:tcPr>
            <w:tcW w:type="dxa" w:w="243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  <w:shd w:fill="EAF2F8"/>
          </w:tcPr>
          <w:p>
            <w:pPr>
              <w:spacing w:before="20" w:after="20" w:line="260" w:lineRule="exact"/>
              <w:jc w:val="left"/>
              <w:keepNext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测试 MSE 下降约 1.49%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 w:val="0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最终测试 MAE</w:t>
            </w:r>
          </w:p>
        </w:tc>
        <w:tc>
          <w:tcPr>
            <w:tcW w:type="dxa" w:w="153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 w:val="0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0.514996</w:t>
            </w:r>
          </w:p>
        </w:tc>
        <w:tc>
          <w:tcPr>
            <w:tcW w:type="dxa" w:w="1701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after="20" w:line="260" w:lineRule="exact" w:before="20"/>
              <w:jc w:val="center"/>
              <w:keepNext w:val="0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0.511852</w:t>
            </w:r>
          </w:p>
        </w:tc>
        <w:tc>
          <w:tcPr>
            <w:tcW w:type="dxa" w:w="2438"/>
            <w:vAlign w:val="center"/>
            <w:tcMar>
              <w:top w:w="75" w:type="dxa"/>
              <w:start w:w="80" w:type="dxa"/>
              <w:bottom w:w="75" w:type="dxa"/>
              <w:end w:w="80" w:type="dxa"/>
              <w:left w:w="75" w:type="dxa"/>
              <w:right w:w="75" w:type="dxa"/>
            </w:tcMar>
          </w:tcPr>
          <w:p>
            <w:pPr>
              <w:spacing w:before="20" w:after="20" w:line="260" w:lineRule="exact"/>
              <w:jc w:val="left"/>
              <w:keepNext w:val="0"/>
              <w:snapToGrid w:val="0"/>
            </w:pPr>
            <w:r>
              <w:rPr>
                <w:rFonts w:ascii="Arial" w:hAnsi="Arial" w:eastAsia="Hiragino Sans GB" w:cs="Arial"/>
                <w:b w:val="0"/>
                <w:color w:val="000000"/>
                <w:sz w:val="18"/>
              </w:rPr>
              <w:t>测试 MAE 下降约 0.61%</w:t>
            </w:r>
          </w:p>
        </w:tc>
      </w:tr>
    </w:tbl>
    <w:p>
      <w:pPr>
        <w:widowControl/>
        <w:spacing w:line="320" w:lineRule="exact" w:before="12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加入 Lag2 后，验证集残差在第二滞后期的 ACF 和 PACF 均降至约 0.004。Ljung-Box 检验的 5 阶和 10 阶 p 值分别从 0.0023、0.0087 升至 0.2463、0.3207。在 5% 显著性水平下，这两项检验不再拒绝残差无自相关的原假设，表明所检验滞后范围内的线性相关有所减弱。该结果不等于残差完全独立，预测效果仍需由样本外误差判断。</w:t>
      </w:r>
    </w:p>
    <w:p>
      <w:pPr>
        <w:keepNext/>
        <w:widowControl/>
        <w:spacing w:before="60" w:after="40"/>
        <w:jc w:val="center"/>
      </w:pPr>
      <w:r>
        <w:rPr>
          <w:rFonts w:ascii="Times New Roman" w:hAnsi="Times New Roman" w:eastAsia="Songti SC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040000" cy="3376414"/>
            <wp:docPr id="2" name="Picture 2" descr="HAR-RV 加 Lag2 模型验证集残差、残差正态Q-Q图、残差ACF和平方残差AC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_lag2_residual_diagnostics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6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100"/>
        <w:ind w:firstLine="0"/>
        <w:jc w:val="center"/>
      </w:pPr>
      <w:r>
        <w:rPr>
          <w:rFonts w:ascii="Times New Roman" w:hAnsi="Times New Roman" w:eastAsia="Songti SC" w:cs="Times New Roman"/>
          <w:color w:val="000000"/>
          <w:sz w:val="20"/>
        </w:rPr>
        <w:t>图 2 加入 Lag2 后的验证集残差诊断</w:t>
      </w:r>
    </w:p>
    <w:p>
      <w:pPr>
        <w:keepNext/>
        <w:widowControl/>
        <w:spacing w:before="60" w:after="40"/>
        <w:jc w:val="center"/>
      </w:pPr>
      <w:r>
        <w:rPr>
          <w:rFonts w:ascii="Times New Roman" w:hAnsi="Times New Roman" w:eastAsia="Songti SC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4968000" cy="1944732"/>
            <wp:docPr id="3" name="Picture 3" descr="基础 HAR-RV 与 HAR-RV 加 Lag2 模型在多个最大滞后阶数下的 Ljung-Box p 值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jung_box_comparison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4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100"/>
        <w:ind w:firstLine="0"/>
        <w:jc w:val="center"/>
      </w:pPr>
      <w:r>
        <w:rPr>
          <w:rFonts w:ascii="Times New Roman" w:hAnsi="Times New Roman" w:eastAsia="Songti SC" w:cs="Times New Roman"/>
          <w:color w:val="000000"/>
          <w:sz w:val="20"/>
        </w:rPr>
        <w:t>图 3 加入 Lag2 前后的验证集 Ljung-Box 检验</w:t>
      </w:r>
    </w:p>
    <w:p>
      <w:pPr>
        <w:pStyle w:val="Heading2"/>
        <w:keepNext/>
        <w:widowControl/>
        <w:spacing w:before="240" w:after="100"/>
      </w:pPr>
      <w:r>
        <w:rPr>
          <w:rFonts w:ascii="Arial" w:hAnsi="Arial" w:eastAsia="Hiragino Sans GB" w:cs="Arial"/>
          <w:b/>
          <w:color w:val="000000"/>
        </w:rPr>
        <w:t>样本外表现与最终模型</w:t>
      </w:r>
    </w:p>
    <w:p>
      <w:pPr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时间序列交叉验证中，加入 Lag2 后的五折平均 MSE 从 0.351009 降至 0.345937，下降约 1.44%，五个验证折的误差均有所下降。消融比较保留 Day、Week 和 Month，仅增加 Lag2，结果支持这一特征在现有设定下带来小幅增益。最终测试集的 MSE 和 MAE 分别下降约 1.49% 和 0.61%，改善方向与交叉验证一致。</w:t>
      </w:r>
    </w:p>
    <w:p>
      <w:pPr>
        <w:widowControl/>
        <w:spacing w:line="320" w:lineRule="exact" w:before="0" w:after="100"/>
        <w:ind w:firstLine="420"/>
        <w:jc w:val="both"/>
        <w:snapToGrid w:val="0"/>
      </w:pPr>
      <w:r>
        <w:rPr>
          <w:rFonts w:ascii="Times New Roman" w:hAnsi="Times New Roman" w:eastAsia="Songti SC" w:cs="Times New Roman"/>
          <w:color w:val="000000"/>
          <w:sz w:val="22"/>
        </w:rPr>
        <w:t>据此，最终模型采用 Day + Lag2 + Week + Month。现有样本中，Lag2 的增益较小，但在各验证折和最终测试集上方向一致，支持将其保留。测试期残差的 Ljung-Box 检验仍然显著，说明扩展模型尚未充分捕捉测试期的时间依赖结构。上述结果支持当前样本下的模型选择，其在其他市场阶段的表现仍需进一步检验。</w:t>
      </w:r>
    </w:p>
    <w:sectPr w:rsidR="00EE0237" w:rsidRPr="00EE0237">
      <w:headerReference w:type="default" r:id="rId11"/>
      <w:footerReference w:type="default" r:id="rId12"/>
      <w:pgSz w:w="11906" w:h="16838"/>
      <w:pgMar w:top="1134" w:right="1304" w:bottom="1134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1E0DC5"/>
    <w:multiLevelType w:val="hybridMultilevel"/>
    <w:tmpl w:val="1786D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6544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37"/>
    <w:rsid w:val="00233146"/>
    <w:rsid w:val="003E351D"/>
    <w:rsid w:val="004B749D"/>
    <w:rsid w:val="00620B01"/>
    <w:rsid w:val="00BA37BF"/>
    <w:rsid w:val="00C17A38"/>
    <w:rsid w:val="00EE0237"/>
    <w:rsid w:val="00F9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55264"/>
  <w15:chartTrackingRefBased/>
  <w15:docId w15:val="{1B2810A6-FDE3-0A49-8803-742B99E7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7" w:lineRule="auto" w:after="80"/>
    </w:pPr>
    <w:rPr>
      <w:rFonts w:ascii="Times New Roman" w:hAnsi="Times New Roman" w:eastAsia="Songti SC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237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Songti SC"/>
      <w:b/>
      <w:color w:val="000000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37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Songti SC"/>
      <w:b/>
      <w:color w:val="00000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37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Songti SC"/>
      <w:b/>
      <w:color w:val="000000"/>
      <w:spacing w:val="-10"/>
      <w:kern w:val="28"/>
      <w:sz w:val="3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HB81398@365mak.com</dc:creator>
  <cp:keywords/>
  <dc:description/>
  <cp:lastModifiedBy>HB81398@365mak.com</cp:lastModifiedBy>
  <cp:revision>1</cp:revision>
  <dcterms:created xsi:type="dcterms:W3CDTF">2026-10-13T01:02:00Z</dcterms:created>
  <dcterms:modified xsi:type="dcterms:W3CDTF">2026-10-13T01:18:00Z</dcterms:modified>
</cp:coreProperties>
</file>