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</w:pPr>
      <w:r>
        <w:rPr>
          <w:rFonts w:ascii="Microsoft YaHei" w:hAnsi="Microsoft YaHei" w:eastAsia="Microsoft YaHei"/>
          <w:b/>
          <w:color w:val="6B3F4A"/>
          <w:sz w:val="20"/>
        </w:rPr>
        <w:t>同频 COMPASS</w:t>
      </w:r>
    </w:p>
    <w:p>
      <w:pPr>
        <w:pStyle w:val="Title"/>
        <w:spacing w:before="1120" w:after="320"/>
      </w:pPr>
      <w:r>
        <w:t>同频 Compass 产品说明书</w:t>
      </w:r>
    </w:p>
    <w:p>
      <w:pPr>
        <w:spacing w:after="900"/>
      </w:pPr>
      <w:r>
        <w:rPr>
          <w:rFonts w:ascii="Microsoft YaHei" w:hAnsi="Microsoft YaHei" w:eastAsia="Microsoft YaHei"/>
          <w:color w:val="6F666A"/>
          <w:sz w:val="28"/>
        </w:rPr>
        <w:t>创建背景  产品思路  使用逻辑  操作方法</w:t>
      </w:r>
    </w:p>
    <w:p>
      <w:pPr>
        <w:spacing w:after="140" w:line="324" w:lineRule="auto"/>
      </w:pPr>
      <w:r>
        <w:rPr>
          <w:rFonts w:ascii="Microsoft YaHei" w:hAnsi="Microsoft YaHei" w:eastAsia="Microsoft YaHei"/>
          <w:color w:val="2F292C"/>
          <w:sz w:val="21"/>
        </w:rPr>
        <w:t>同频 Compass 是一款邀请制的成年人择偶偏好梳理与双向匹配工具。它帮助两个人分别表达自己的情况和期待，在双方明确授权后展示共同点、差异、未知信息和下一步可以讨论的问题。</w:t>
      </w:r>
    </w:p>
    <w:p>
      <w:pPr>
        <w:spacing w:after="140" w:line="324" w:lineRule="auto"/>
      </w:pPr>
      <w:r>
        <w:rPr>
          <w:rFonts w:ascii="Microsoft YaHei" w:hAnsi="Microsoft YaHei" w:eastAsia="Microsoft YaHei"/>
          <w:color w:val="2F292C"/>
          <w:sz w:val="21"/>
        </w:rPr>
        <w:t>产品不会为人排名，也不会把本次填写结果描述成恋爱成功率、婚姻成功率或科学兼容性。它的目标是帮助用户更清楚地表达、理解和交流。</w:t>
      </w:r>
    </w:p>
    <w:p>
      <w:pPr>
        <w:spacing w:before="1240"/>
      </w:pPr>
      <w:r>
        <w:rPr>
          <w:rFonts w:ascii="Microsoft YaHei" w:hAnsi="Microsoft YaHei" w:eastAsia="Microsoft YaHei"/>
          <w:color w:val="6F666A"/>
          <w:sz w:val="18"/>
        </w:rPr>
        <w:t>文档版本</w:t>
      </w:r>
      <w:r>
        <w:rPr>
          <w:rFonts w:ascii="Microsoft YaHei" w:hAnsi="Microsoft YaHei" w:eastAsia="Microsoft YaHei"/>
          <w:b/>
          <w:color w:val="2F292C"/>
          <w:sz w:val="18"/>
        </w:rPr>
        <w:t xml:space="preserve">  1.0</w:t>
      </w:r>
    </w:p>
    <w:p>
      <w:r>
        <w:rPr>
          <w:rFonts w:ascii="Microsoft YaHei" w:hAnsi="Microsoft YaHei" w:eastAsia="Microsoft YaHei"/>
          <w:color w:val="6F666A"/>
          <w:sz w:val="18"/>
        </w:rPr>
        <w:t>产品状态</w:t>
      </w:r>
      <w:r>
        <w:rPr>
          <w:rFonts w:ascii="Microsoft YaHei" w:hAnsi="Microsoft YaHei" w:eastAsia="Microsoft YaHei"/>
          <w:b/>
          <w:color w:val="2F292C"/>
          <w:sz w:val="18"/>
        </w:rPr>
        <w:t xml:space="preserve">  本地功能已实现并验证  公网部署待完成</w:t>
      </w:r>
    </w:p>
    <w:p>
      <w:r>
        <w:rPr>
          <w:rFonts w:ascii="Microsoft YaHei" w:hAnsi="Microsoft YaHei" w:eastAsia="Microsoft YaHei"/>
          <w:color w:val="6F666A"/>
          <w:sz w:val="18"/>
        </w:rPr>
        <w:t>适用对象</w:t>
      </w:r>
      <w:r>
        <w:rPr>
          <w:rFonts w:ascii="Microsoft YaHei" w:hAnsi="Microsoft YaHei" w:eastAsia="Microsoft YaHei"/>
          <w:b/>
          <w:color w:val="2F292C"/>
          <w:sz w:val="18"/>
        </w:rPr>
        <w:t xml:space="preserve">  主动声明已满 18 岁的成年人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6B3F4A"/>
          <w:sz w:val="34"/>
        </w:rPr>
        <w:t xml:space="preserve">01  </w:t>
      </w:r>
      <w:r>
        <w:rPr>
          <w:rFonts w:ascii="Microsoft YaHei" w:hAnsi="Microsoft YaHei" w:eastAsia="Microsoft YaHei"/>
          <w:b/>
          <w:color w:val="000000"/>
          <w:sz w:val="34"/>
        </w:rPr>
        <w:t>文档目的与阅读说明</w:t>
      </w:r>
    </w:p>
    <w:p>
      <w:pPr>
        <w:spacing w:after="140" w:line="324" w:lineRule="auto"/>
      </w:pPr>
      <w:r>
        <w:rPr>
          <w:rFonts w:ascii="Microsoft YaHei" w:hAnsi="Microsoft YaHei" w:eastAsia="Microsoft YaHei"/>
          <w:color w:val="2F292C"/>
          <w:sz w:val="21"/>
        </w:rPr>
        <w:t>本说明书面向产品创建者、受邀参与者和后续运营维护人员。阅读后应当能够理解产品为何创建、双方如何完成一次匹配、创建者能看到哪些资料、参与者如何控制授权，以及当前版本可以做什么。</w:t>
      </w:r>
    </w:p>
    <w:p>
      <w:pPr>
        <w:pStyle w:val="Heading2"/>
        <w:keepNext/>
      </w:pPr>
      <w:r>
        <w:t>内容导航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77"/>
        <w:gridCol w:w="4677"/>
      </w:tblGrid>
      <w:tr>
        <w:trPr>
          <w:tblHeader w:val="true"/>
        </w:trPr>
        <w:tc>
          <w:tcPr>
            <w:tcW w:type="dxa" w:w="1928"/>
            <w:shd w:fill="6B3F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6860"/>
            <w:shd w:fill="6B3F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主要内容</w:t>
            </w:r>
          </w:p>
        </w:tc>
      </w:tr>
      <w:tr>
        <w:tc>
          <w:tcPr>
            <w:tcW w:type="dxa" w:w="19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02 创建背景</w:t>
            </w:r>
          </w:p>
        </w:tc>
        <w:tc>
          <w:tcPr>
            <w:tcW w:type="dxa" w:w="68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现实问题、产品机会和目标</w:t>
            </w:r>
          </w:p>
        </w:tc>
      </w:tr>
      <w:tr>
        <w:tc>
          <w:tcPr>
            <w:tcW w:type="dxa" w:w="19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03 创建想法</w:t>
            </w:r>
          </w:p>
        </w:tc>
        <w:tc>
          <w:tcPr>
            <w:tcW w:type="dxa" w:w="68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产品原则、角色和边界</w:t>
            </w:r>
          </w:p>
        </w:tc>
      </w:tr>
      <w:tr>
        <w:tc>
          <w:tcPr>
            <w:tcW w:type="dxa" w:w="19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04 使用逻辑</w:t>
            </w:r>
          </w:p>
        </w:tc>
        <w:tc>
          <w:tcPr>
            <w:tcW w:type="dxa" w:w="68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邀请、填写、授权、匹配、报告</w:t>
            </w:r>
          </w:p>
        </w:tc>
      </w:tr>
      <w:tr>
        <w:tc>
          <w:tcPr>
            <w:tcW w:type="dxa" w:w="19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05 匹配逻辑</w:t>
            </w:r>
          </w:p>
        </w:tc>
        <w:tc>
          <w:tcPr>
            <w:tcW w:type="dxa" w:w="68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双向计算、未知、边界冲突和覆盖率</w:t>
            </w:r>
          </w:p>
        </w:tc>
      </w:tr>
      <w:tr>
        <w:tc>
          <w:tcPr>
            <w:tcW w:type="dxa" w:w="19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06 使用方法</w:t>
            </w:r>
          </w:p>
        </w:tc>
        <w:tc>
          <w:tcPr>
            <w:tcW w:type="dxa" w:w="68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创建者与受邀者的具体操作</w:t>
            </w:r>
          </w:p>
        </w:tc>
      </w:tr>
      <w:tr>
        <w:tc>
          <w:tcPr>
            <w:tcW w:type="dxa" w:w="19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07 数据与隐私</w:t>
            </w:r>
          </w:p>
        </w:tc>
        <w:tc>
          <w:tcPr>
            <w:tcW w:type="dxa" w:w="68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可见范围、撤回、导出和删除</w:t>
            </w:r>
          </w:p>
        </w:tc>
      </w:tr>
      <w:tr>
        <w:tc>
          <w:tcPr>
            <w:tcW w:type="dxa" w:w="19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08 上线与使用状态</w:t>
            </w:r>
          </w:p>
        </w:tc>
        <w:tc>
          <w:tcPr>
            <w:tcW w:type="dxa" w:w="68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当前状态、上线条件和限制</w:t>
            </w:r>
          </w:p>
        </w:tc>
      </w:tr>
      <w:tr>
        <w:tc>
          <w:tcPr>
            <w:tcW w:type="dxa" w:w="19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09 常见问题</w:t>
            </w:r>
          </w:p>
        </w:tc>
        <w:tc>
          <w:tcPr>
            <w:tcW w:type="dxa" w:w="6860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使用中容易遇到的问题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产品结论</w:t>
      </w:r>
    </w:p>
    <w:p>
      <w:pPr>
        <w:spacing w:after="140" w:line="324" w:lineRule="auto"/>
      </w:pPr>
      <w:r>
        <w:rPr>
          <w:rFonts w:ascii="Microsoft YaHei" w:hAnsi="Microsoft YaHei" w:eastAsia="Microsoft YaHei"/>
          <w:color w:val="2F292C"/>
          <w:sz w:val="21"/>
        </w:rPr>
        <w:t>同频 Compass 的核心不是给出一个“适合或不适合”的结论，而是建立一个双方主动填写、分别授权、能够回溯的交流过程。创建者可以为不同的人建立独立邀请，并查看每位参与者明确授权的资料和匹配报告；参与者之间彼此隔离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6B3F4A"/>
          <w:sz w:val="34"/>
        </w:rPr>
        <w:t xml:space="preserve">02  </w:t>
      </w:r>
      <w:r>
        <w:rPr>
          <w:rFonts w:ascii="Microsoft YaHei" w:hAnsi="Microsoft YaHei" w:eastAsia="Microsoft YaHei"/>
          <w:b/>
          <w:color w:val="000000"/>
          <w:sz w:val="34"/>
        </w:rPr>
        <w:t>创建背景</w:t>
      </w:r>
    </w:p>
    <w:p>
      <w:pPr>
        <w:spacing w:after="260" w:line="324" w:lineRule="auto"/>
      </w:pPr>
      <w:r>
        <w:rPr>
          <w:rFonts w:ascii="Microsoft YaHei" w:hAnsi="Microsoft YaHei" w:eastAsia="Microsoft YaHei"/>
          <w:color w:val="2F292C"/>
          <w:sz w:val="21"/>
        </w:rPr>
        <w:t>很多人在认真认识一段关系时，知道自己有期待，却不容易把期待说清楚。</w:t>
      </w:r>
    </w:p>
    <w:p>
      <w:pPr>
        <w:pStyle w:val="Heading2"/>
        <w:keepNext/>
      </w:pPr>
      <w:r>
        <w:t>现实中的三个问题</w:t>
      </w:r>
    </w:p>
    <w:p>
      <w:pPr>
        <w:spacing w:after="140" w:line="324" w:lineRule="auto"/>
      </w:pPr>
      <w:r>
        <w:rPr>
          <w:rFonts w:ascii="Microsoft YaHei" w:hAnsi="Microsoft YaHei" w:eastAsia="Microsoft YaHei"/>
          <w:color w:val="2F292C"/>
          <w:sz w:val="21"/>
        </w:rPr>
        <w:t>第一，择偶标准经常混在一起。年龄、城市、生活方式、家庭计划和沟通习惯可能同时出现，但用户未必分得清哪些是明确边界，哪些只是偏好，哪些可以协商。</w:t>
      </w:r>
    </w:p>
    <w:p>
      <w:pPr>
        <w:spacing w:after="140" w:line="324" w:lineRule="auto"/>
      </w:pPr>
      <w:r>
        <w:rPr>
          <w:rFonts w:ascii="Microsoft YaHei" w:hAnsi="Microsoft YaHei" w:eastAsia="Microsoft YaHei"/>
          <w:color w:val="2F292C"/>
          <w:sz w:val="21"/>
        </w:rPr>
        <w:t>第二，双方得到的信息并不对称。一个人可能符合对方的大部分偏好，但对方不一定符合他的偏好。只给一个总分会掩盖这种差异，也容易让用户误解结果。</w:t>
      </w:r>
    </w:p>
    <w:p>
      <w:pPr>
        <w:spacing w:after="140" w:line="324" w:lineRule="auto"/>
      </w:pPr>
      <w:r>
        <w:rPr>
          <w:rFonts w:ascii="Microsoft YaHei" w:hAnsi="Microsoft YaHei" w:eastAsia="Microsoft YaHei"/>
          <w:color w:val="2F292C"/>
          <w:sz w:val="21"/>
        </w:rPr>
        <w:t>第三，未知信息容易被误判。没有填写、暂时不愿透露或尚未想清楚，不等于不匹配。产品需要把未知单独呈现，让用户决定是否进一步交流。</w:t>
      </w:r>
    </w:p>
    <w:p>
      <w:pPr>
        <w:pStyle w:val="Heading2"/>
        <w:keepNext/>
      </w:pPr>
      <w:r>
        <w:t>为什么创建这个产品</w:t>
      </w:r>
    </w:p>
    <w:p>
      <w:pPr>
        <w:spacing w:after="140" w:line="324" w:lineRule="auto"/>
      </w:pPr>
      <w:r>
        <w:rPr>
          <w:rFonts w:ascii="Microsoft YaHei" w:hAnsi="Microsoft YaHei" w:eastAsia="Microsoft YaHei"/>
          <w:color w:val="2F292C"/>
          <w:sz w:val="21"/>
        </w:rPr>
        <w:t>普通问卷可以收集资料，但很难表达重要程度、可接受范围和双方视角；通用聊天工具可以生成建议，却缺少持续保存、邀请授权、确定性比较和对象权限控制。这个产品把这些环节组成一条可以实际完成的流程。</w:t>
      </w:r>
    </w:p>
    <w:p>
      <w:pPr>
        <w:pStyle w:val="Heading2"/>
        <w:keepNext/>
      </w:pPr>
      <w:r>
        <w:t>产品要解决的核心任务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2F292C"/>
          <w:sz w:val="21"/>
        </w:rPr>
        <w:t>帮助用户梳理自己的情况与对伴侣的期待。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2F292C"/>
          <w:sz w:val="21"/>
        </w:rPr>
        <w:t>允许创建者邀请另一位成年人独立填写。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2F292C"/>
          <w:sz w:val="21"/>
        </w:rPr>
        <w:t>让双方在分享前精确预览资料与偏好。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2F292C"/>
          <w:sz w:val="21"/>
        </w:rPr>
        <w:t>在双方同意后生成双向、可解释的匹配报告。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2F292C"/>
          <w:sz w:val="21"/>
        </w:rPr>
        <w:t>将差异转化为具体讨论问题，而不是给人贴标签。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6B3F4A"/>
          <w:sz w:val="34"/>
        </w:rPr>
        <w:t xml:space="preserve">03  </w:t>
      </w:r>
      <w:r>
        <w:rPr>
          <w:rFonts w:ascii="Microsoft YaHei" w:hAnsi="Microsoft YaHei" w:eastAsia="Microsoft YaHei"/>
          <w:b/>
          <w:color w:val="000000"/>
          <w:sz w:val="34"/>
        </w:rPr>
        <w:t>创建想法</w:t>
      </w:r>
    </w:p>
    <w:p>
      <w:pPr>
        <w:spacing w:after="260" w:line="324" w:lineRule="auto"/>
      </w:pPr>
      <w:r>
        <w:rPr>
          <w:rFonts w:ascii="Microsoft YaHei" w:hAnsi="Microsoft YaHei" w:eastAsia="Microsoft YaHei"/>
          <w:color w:val="2F292C"/>
          <w:sz w:val="21"/>
        </w:rPr>
        <w:t>产品围绕知情、自愿、双向和可解释四个原则设计。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677"/>
        <w:gridCol w:w="4677"/>
      </w:tblGrid>
      <w:tr>
        <w:trPr>
          <w:tblHeader w:val="true"/>
        </w:trPr>
        <w:tc>
          <w:tcPr>
            <w:tcW w:type="dxa" w:w="1871"/>
            <w:shd w:fill="6B3F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设计原则</w:t>
            </w:r>
          </w:p>
        </w:tc>
        <w:tc>
          <w:tcPr>
            <w:tcW w:type="dxa" w:w="6917"/>
            <w:shd w:fill="6B3F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产品中的具体做法</w:t>
            </w:r>
          </w:p>
        </w:tc>
      </w:tr>
      <w:tr>
        <w:tc>
          <w:tcPr>
            <w:tcW w:type="dxa" w:w="187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知情</w:t>
            </w:r>
          </w:p>
        </w:tc>
        <w:tc>
          <w:tcPr>
            <w:tcW w:type="dxa" w:w="691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分享前逐项展示本人情况和择偶偏好，说明对方将直接看到这些内容。</w:t>
            </w:r>
          </w:p>
        </w:tc>
      </w:tr>
      <w:tr>
        <w:tc>
          <w:tcPr>
            <w:tcW w:type="dxa" w:w="187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自愿</w:t>
            </w:r>
          </w:p>
        </w:tc>
        <w:tc>
          <w:tcPr>
            <w:tcW w:type="dxa" w:w="691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字段默认不勾选；用户可以跳过问题，也可以撤回整次邀请和授权。</w:t>
            </w:r>
          </w:p>
        </w:tc>
      </w:tr>
      <w:tr>
        <w:tc>
          <w:tcPr>
            <w:tcW w:type="dxa" w:w="187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双向</w:t>
            </w:r>
          </w:p>
        </w:tc>
        <w:tc>
          <w:tcPr>
            <w:tcW w:type="dxa" w:w="691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分别计算 A 对 B 与 B 对 A，不用单一总分掩盖一方的标准。</w:t>
            </w:r>
          </w:p>
        </w:tc>
      </w:tr>
      <w:tr>
        <w:tc>
          <w:tcPr>
            <w:tcW w:type="dxa" w:w="187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可解释</w:t>
            </w:r>
          </w:p>
        </w:tc>
        <w:tc>
          <w:tcPr>
            <w:tcW w:type="dxa" w:w="691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报告展示期待、对方填写值、结果状态及规则说明。</w:t>
            </w:r>
          </w:p>
        </w:tc>
      </w:tr>
      <w:tr>
        <w:tc>
          <w:tcPr>
            <w:tcW w:type="dxa" w:w="187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可恢复</w:t>
            </w:r>
          </w:p>
        </w:tc>
        <w:tc>
          <w:tcPr>
            <w:tcW w:type="dxa" w:w="691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AI 不可用时仍保留确定性规则报告，不以模型成功代替产品成功。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用户角色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814"/>
            <w:shd w:fill="6B3F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402"/>
            <w:shd w:fill="6B3F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主要操作</w:t>
            </w:r>
          </w:p>
        </w:tc>
        <w:tc>
          <w:tcPr>
            <w:tcW w:type="dxa" w:w="3572"/>
            <w:shd w:fill="6B3F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可以看到</w:t>
            </w:r>
          </w:p>
        </w:tc>
      </w:tr>
      <w:tr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邀请发起者 A</w:t>
            </w:r>
          </w:p>
        </w:tc>
        <w:tc>
          <w:tcPr>
            <w:tcW w:type="dxa" w:w="340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填写资料和偏好，为不同的人创建独立邀请</w:t>
            </w:r>
          </w:p>
        </w:tc>
        <w:tc>
          <w:tcPr>
            <w:tcW w:type="dxa" w:w="35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本人数据、对方授权数据、双方匹配报告</w:t>
            </w:r>
          </w:p>
        </w:tc>
      </w:tr>
      <w:tr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邀请接受者 B</w:t>
            </w:r>
          </w:p>
        </w:tc>
        <w:tc>
          <w:tcPr>
            <w:tcW w:type="dxa" w:w="340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注册、接受邀请、填写并确认分享</w:t>
            </w:r>
          </w:p>
        </w:tc>
        <w:tc>
          <w:tcPr>
            <w:tcW w:type="dxa" w:w="35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本人数据、发起者授权数据、双方匹配报告</w:t>
            </w:r>
          </w:p>
        </w:tc>
      </w:tr>
      <w:tr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其他账号</w:t>
            </w:r>
          </w:p>
        </w:tc>
        <w:tc>
          <w:tcPr>
            <w:tcW w:type="dxa" w:w="340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不能加入该邀请</w:t>
            </w:r>
          </w:p>
        </w:tc>
        <w:tc>
          <w:tcPr>
            <w:tcW w:type="dxa" w:w="357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不能读取、导出、修改或删除双方数据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第一版明确不做</w:t>
      </w:r>
    </w:p>
    <w:p>
      <w:pPr>
        <w:spacing w:after="140" w:line="324" w:lineRule="auto"/>
      </w:pPr>
      <w:r>
        <w:rPr>
          <w:rFonts w:ascii="Microsoft YaHei" w:hAnsi="Microsoft YaHei" w:eastAsia="Microsoft YaHei"/>
          <w:color w:val="2F292C"/>
          <w:sz w:val="21"/>
        </w:rPr>
        <w:t>第一版不提供公开人物库、附近的人、实时聊天、支付、身份证认证、社交平台抓取、照片打分或人物排行榜。年龄勾选只是成年声明，不代表产品完成了身份核验。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6B3F4A"/>
          <w:sz w:val="34"/>
        </w:rPr>
        <w:t xml:space="preserve">04  </w:t>
      </w:r>
      <w:r>
        <w:rPr>
          <w:rFonts w:ascii="Microsoft YaHei" w:hAnsi="Microsoft YaHei" w:eastAsia="Microsoft YaHei"/>
          <w:b/>
          <w:color w:val="000000"/>
          <w:sz w:val="34"/>
        </w:rPr>
        <w:t>使用逻辑</w:t>
      </w:r>
    </w:p>
    <w:p>
      <w:pPr>
        <w:spacing w:after="260" w:line="324" w:lineRule="auto"/>
      </w:pPr>
      <w:r>
        <w:rPr>
          <w:rFonts w:ascii="Microsoft YaHei" w:hAnsi="Microsoft YaHei" w:eastAsia="Microsoft YaHei"/>
          <w:color w:val="2F292C"/>
          <w:sz w:val="21"/>
        </w:rPr>
        <w:t>一次完整使用由两个独立账号共同完成，每一步都有明确状态。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38"/>
        <w:gridCol w:w="2338"/>
        <w:gridCol w:w="2338"/>
        <w:gridCol w:w="2338"/>
      </w:tblGrid>
      <w:tr>
        <w:trPr>
          <w:tblHeader w:val="true"/>
        </w:trPr>
        <w:tc>
          <w:tcPr>
            <w:tcW w:type="dxa" w:w="1247"/>
            <w:shd w:fill="6B3F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381"/>
            <w:shd w:fill="6B3F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发起者 A</w:t>
            </w:r>
          </w:p>
        </w:tc>
        <w:tc>
          <w:tcPr>
            <w:tcW w:type="dxa" w:w="2381"/>
            <w:shd w:fill="6B3F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接受者 B</w:t>
            </w:r>
          </w:p>
        </w:tc>
        <w:tc>
          <w:tcPr>
            <w:tcW w:type="dxa" w:w="2948"/>
            <w:shd w:fill="6B3F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系统行为</w:t>
            </w:r>
          </w:p>
        </w:tc>
      </w:tr>
      <w:tr>
        <w:tc>
          <w:tcPr>
            <w:tcW w:type="dxa" w:w="124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1 准备</w:t>
            </w:r>
          </w:p>
        </w:tc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填写自己的情况和期待</w:t>
            </w:r>
          </w:p>
        </w:tc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尚未参与</w:t>
            </w:r>
          </w:p>
        </w:tc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分别保存资料与偏好版本</w:t>
            </w:r>
          </w:p>
        </w:tc>
      </w:tr>
      <w:tr>
        <w:tc>
          <w:tcPr>
            <w:tcW w:type="dxa" w:w="124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2 邀请</w:t>
            </w:r>
          </w:p>
        </w:tc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创建并发送限时链接</w:t>
            </w:r>
          </w:p>
        </w:tc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收到链接</w:t>
            </w:r>
          </w:p>
        </w:tc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仅保存高强度令牌摘要，不在链接中放个人信息</w:t>
            </w:r>
          </w:p>
        </w:tc>
      </w:tr>
      <w:tr>
        <w:tc>
          <w:tcPr>
            <w:tcW w:type="dxa" w:w="124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3 接受</w:t>
            </w:r>
          </w:p>
        </w:tc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看到邀请已接受</w:t>
            </w:r>
          </w:p>
        </w:tc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登录后接受</w:t>
            </w:r>
          </w:p>
        </w:tc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建立一对一邀请关系，拒绝第三人重复接受</w:t>
            </w:r>
          </w:p>
        </w:tc>
      </w:tr>
      <w:tr>
        <w:tc>
          <w:tcPr>
            <w:tcW w:type="dxa" w:w="124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4 授权</w:t>
            </w:r>
          </w:p>
        </w:tc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勾选字段并确认</w:t>
            </w:r>
          </w:p>
        </w:tc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独立勾选并确认</w:t>
            </w:r>
          </w:p>
        </w:tc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保存各自的资料、偏好和授权版本快照</w:t>
            </w:r>
          </w:p>
        </w:tc>
      </w:tr>
      <w:tr>
        <w:tc>
          <w:tcPr>
            <w:tcW w:type="dxa" w:w="124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5 匹配</w:t>
            </w:r>
          </w:p>
        </w:tc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双方同意后生成</w:t>
            </w:r>
          </w:p>
        </w:tc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双方同意后生成</w:t>
            </w:r>
          </w:p>
        </w:tc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运行确定性双向计算并保存报告</w:t>
            </w:r>
          </w:p>
        </w:tc>
      </w:tr>
      <w:tr>
        <w:tc>
          <w:tcPr>
            <w:tcW w:type="dxa" w:w="124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6 查看</w:t>
            </w:r>
          </w:p>
        </w:tc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查看 B 授权资料和报告</w:t>
            </w:r>
          </w:p>
        </w:tc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查看 A 授权资料和报告</w:t>
            </w:r>
          </w:p>
        </w:tc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刷新和重新登录后仍按授权提供访问</w:t>
            </w:r>
          </w:p>
        </w:tc>
      </w:tr>
      <w:tr>
        <w:tc>
          <w:tcPr>
            <w:tcW w:type="dxa" w:w="124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7 撤回</w:t>
            </w:r>
          </w:p>
        </w:tc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任一方都可撤回</w:t>
            </w:r>
          </w:p>
        </w:tc>
        <w:tc>
          <w:tcPr>
            <w:tcW w:type="dxa" w:w="238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任一方都可撤回</w:t>
            </w:r>
          </w:p>
        </w:tc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后端立即拒绝双方继续读取共享报告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多个参与者如何工作</w:t>
      </w:r>
    </w:p>
    <w:p>
      <w:pPr>
        <w:spacing w:after="140" w:line="324" w:lineRule="auto"/>
      </w:pPr>
      <w:r>
        <w:rPr>
          <w:rFonts w:ascii="Microsoft YaHei" w:hAnsi="Microsoft YaHei" w:eastAsia="Microsoft YaHei"/>
          <w:color w:val="2F292C"/>
          <w:sz w:val="21"/>
        </w:rPr>
        <w:t>发起者可以创建多份邀请，每份邀请只绑定一位接受者，并产生一份独立报告。例如，A 分别邀请 B、C 和 D 时，系统会形成 A 与 B、A 与 C、A 与 D 三条独立流程。B、C、D 之间无法查看彼此资料或报告。</w:t>
      </w:r>
    </w:p>
    <w:p>
      <w:pPr>
        <w:pStyle w:val="Heading2"/>
        <w:keepNext/>
      </w:pPr>
      <w:r>
        <w:t>资料变化如何处理</w:t>
      </w:r>
    </w:p>
    <w:p>
      <w:pPr>
        <w:spacing w:after="140" w:line="324" w:lineRule="auto"/>
      </w:pPr>
      <w:r>
        <w:rPr>
          <w:rFonts w:ascii="Microsoft YaHei" w:hAnsi="Microsoft YaHei" w:eastAsia="Microsoft YaHei"/>
          <w:color w:val="2F292C"/>
          <w:sz w:val="21"/>
        </w:rPr>
        <w:t>报告使用授权当时的快照。之后修改资料不会悄悄改变旧报告，旧报告会标记为历史版本。若希望用新资料重新比较，需要创建新邀请并由双方重新授权。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6B3F4A"/>
          <w:sz w:val="34"/>
        </w:rPr>
        <w:t xml:space="preserve">05  </w:t>
      </w:r>
      <w:r>
        <w:rPr>
          <w:rFonts w:ascii="Microsoft YaHei" w:hAnsi="Microsoft YaHei" w:eastAsia="Microsoft YaHei"/>
          <w:b/>
          <w:color w:val="000000"/>
          <w:sz w:val="34"/>
        </w:rPr>
        <w:t>匹配逻辑</w:t>
      </w:r>
    </w:p>
    <w:p>
      <w:pPr>
        <w:spacing w:after="260" w:line="324" w:lineRule="auto"/>
      </w:pPr>
      <w:r>
        <w:rPr>
          <w:rFonts w:ascii="Microsoft YaHei" w:hAnsi="Microsoft YaHei" w:eastAsia="Microsoft YaHei"/>
          <w:color w:val="2F292C"/>
          <w:sz w:val="21"/>
        </w:rPr>
        <w:t>基础结果由可测试的确定性规则计算，AI 不负责计算分数。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814"/>
            <w:shd w:fill="6B3F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数据类型</w:t>
            </w:r>
          </w:p>
        </w:tc>
        <w:tc>
          <w:tcPr>
            <w:tcW w:type="dxa" w:w="2948"/>
            <w:shd w:fill="6B3F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示例</w:t>
            </w:r>
          </w:p>
        </w:tc>
        <w:tc>
          <w:tcPr>
            <w:tcW w:type="dxa" w:w="4082"/>
            <w:shd w:fill="6B3F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比较方式</w:t>
            </w:r>
          </w:p>
        </w:tc>
      </w:tr>
      <w:tr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枚举选择</w:t>
            </w:r>
          </w:p>
        </w:tc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关系目标、吸烟习惯、财务安排</w:t>
            </w:r>
          </w:p>
        </w:tc>
        <w:tc>
          <w:tcPr>
            <w:tcW w:type="dxa" w:w="408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对方填写值是否位于本人接受选项中</w:t>
            </w:r>
          </w:p>
        </w:tc>
      </w:tr>
      <w:tr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数值区间</w:t>
            </w:r>
          </w:p>
        </w:tc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年龄</w:t>
            </w:r>
          </w:p>
        </w:tc>
        <w:tc>
          <w:tcPr>
            <w:tcW w:type="dxa" w:w="408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对方数值是否落在本人设置的闭区间内</w:t>
            </w:r>
          </w:p>
        </w:tc>
      </w:tr>
      <w:tr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有序量表</w:t>
            </w:r>
          </w:p>
        </w:tc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联系频率 1 至 5</w:t>
            </w:r>
          </w:p>
        </w:tc>
        <w:tc>
          <w:tcPr>
            <w:tcW w:type="dxa" w:w="408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对方量表值是否在本人接受范围内</w:t>
            </w:r>
          </w:p>
        </w:tc>
      </w:tr>
      <w:tr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多选集合</w:t>
            </w:r>
          </w:p>
        </w:tc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兴趣</w:t>
            </w:r>
          </w:p>
        </w:tc>
        <w:tc>
          <w:tcPr>
            <w:tcW w:type="dxa" w:w="408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双方授权集合是否至少存在一个交集</w:t>
            </w:r>
          </w:p>
        </w:tc>
      </w:tr>
      <w:tr>
        <w:tc>
          <w:tcPr>
            <w:tcW w:type="dxa" w:w="181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共同计划</w:t>
            </w:r>
          </w:p>
        </w:tc>
        <w:tc>
          <w:tcPr>
            <w:tcW w:type="dxa" w:w="294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未来育儿计划</w:t>
            </w:r>
          </w:p>
        </w:tc>
        <w:tc>
          <w:tcPr>
            <w:tcW w:type="dxa" w:w="408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出现“可协商”时进入讨论项，不强判冲突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重要程度和权重</w:t>
      </w:r>
    </w:p>
    <w:p>
      <w:pPr>
        <w:spacing w:after="140" w:line="324" w:lineRule="auto"/>
      </w:pPr>
      <w:r>
        <w:rPr>
          <w:rFonts w:ascii="Microsoft YaHei" w:hAnsi="Microsoft YaHei" w:eastAsia="Microsoft YaHei"/>
          <w:color w:val="2F292C"/>
          <w:sz w:val="21"/>
        </w:rPr>
        <w:t>每项期待可设为必须满足、偏好、可以协商或尚未确定。前三类分别使用基础权重 3、2、1，并与用户选择的一般、比较或重点关注系数相乘。尚未确定不参与计算。界面不要求用户理解公式。</w:t>
      </w:r>
    </w:p>
    <w:p>
      <w:pPr>
        <w:pStyle w:val="Heading2"/>
        <w:keepNext/>
      </w:pPr>
      <w:r>
        <w:t>未知、覆盖率和满足率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2F292C"/>
          <w:sz w:val="21"/>
        </w:rPr>
        <w:t>未知不等于不匹配，不进入满足率的分子或分母。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2F292C"/>
          <w:sz w:val="21"/>
        </w:rPr>
        <w:t>覆盖率表示授权且设置了偏好的项目中，有多少权重获得了明确比较结果。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2F292C"/>
          <w:sz w:val="21"/>
        </w:rPr>
        <w:t>至少有 3 个已知维度且覆盖率达到 60% 时，才显示该方向的满足率。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2F292C"/>
          <w:sz w:val="21"/>
        </w:rPr>
        <w:t>满足率只代表本次已填写偏好的满足程度，不是关系成功概率。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2F292C"/>
          <w:sz w:val="21"/>
        </w:rPr>
        <w:t>必须满足项出现已知差异时，单独标记为边界冲突，不被其他符合项抵消。</w:t>
      </w:r>
    </w:p>
    <w:p>
      <w:pPr>
        <w:pStyle w:val="Heading2"/>
        <w:keepNext/>
      </w:pPr>
      <w:r>
        <w:t>AI 在哪里发挥作用</w:t>
      </w:r>
    </w:p>
    <w:p>
      <w:pPr>
        <w:spacing w:after="140" w:line="324" w:lineRule="auto"/>
      </w:pPr>
      <w:r>
        <w:rPr>
          <w:rFonts w:ascii="Microsoft YaHei" w:hAnsi="Microsoft YaHei" w:eastAsia="Microsoft YaHei"/>
          <w:color w:val="2F292C"/>
          <w:sz w:val="21"/>
        </w:rPr>
        <w:t>AI 只用于解释规则结果并生成 3 至 5 个尊重双方的讨论问题。只有双方都同意 AI 分析时才可调用；服务端不传递邮箱、邀请令牌、未授权字段或实际城市文本。AI 失败时，确定性报告仍然可用。当前真实模型尚未配置和验证。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6B3F4A"/>
          <w:sz w:val="34"/>
        </w:rPr>
        <w:t xml:space="preserve">06  </w:t>
      </w:r>
      <w:r>
        <w:rPr>
          <w:rFonts w:ascii="Microsoft YaHei" w:hAnsi="Microsoft YaHei" w:eastAsia="Microsoft YaHei"/>
          <w:b/>
          <w:color w:val="000000"/>
          <w:sz w:val="34"/>
        </w:rPr>
        <w:t>使用方法</w:t>
      </w:r>
    </w:p>
    <w:p>
      <w:pPr>
        <w:spacing w:after="260" w:line="324" w:lineRule="auto"/>
      </w:pPr>
      <w:r>
        <w:rPr>
          <w:rFonts w:ascii="Microsoft YaHei" w:hAnsi="Microsoft YaHei" w:eastAsia="Microsoft YaHei"/>
          <w:color w:val="2F292C"/>
          <w:sz w:val="21"/>
        </w:rPr>
        <w:t>以下步骤按实际页面顺序说明创建者和受邀者如何完成匹配。</w:t>
      </w:r>
    </w:p>
    <w:p>
      <w:pPr>
        <w:pStyle w:val="Heading2"/>
        <w:keepNext/>
      </w:pPr>
      <w:r>
        <w:t>创建者的操作步骤</w:t>
      </w:r>
    </w:p>
    <w:p>
      <w:pPr>
        <w:spacing w:after="160"/>
        <w:ind w:left="85" w:hanging="85"/>
      </w:pPr>
      <w:r>
        <w:rPr>
          <w:rFonts w:ascii="Microsoft YaHei" w:hAnsi="Microsoft YaHei" w:eastAsia="Microsoft YaHei"/>
          <w:b/>
          <w:color w:val="6B3F4A"/>
          <w:sz w:val="21"/>
        </w:rPr>
        <w:t xml:space="preserve">1. </w:t>
      </w:r>
      <w:r>
        <w:rPr>
          <w:rFonts w:ascii="Microsoft YaHei" w:hAnsi="Microsoft YaHei" w:eastAsia="Microsoft YaHei"/>
          <w:color w:val="2F292C"/>
          <w:sz w:val="21"/>
        </w:rPr>
        <w:t>打开产品网址，点击“开始梳理我的期待”，使用邮箱注册。昵称不要求真实姓名；密码至少 12 个字符。</w:t>
      </w:r>
    </w:p>
    <w:p>
      <w:pPr>
        <w:spacing w:after="160"/>
        <w:ind w:left="85" w:hanging="85"/>
      </w:pPr>
      <w:r>
        <w:rPr>
          <w:rFonts w:ascii="Microsoft YaHei" w:hAnsi="Microsoft YaHei" w:eastAsia="Microsoft YaHei"/>
          <w:b/>
          <w:color w:val="6B3F4A"/>
          <w:sz w:val="21"/>
        </w:rPr>
        <w:t xml:space="preserve">2. </w:t>
      </w:r>
      <w:r>
        <w:rPr>
          <w:rFonts w:ascii="Microsoft YaHei" w:hAnsi="Microsoft YaHei" w:eastAsia="Microsoft YaHei"/>
          <w:color w:val="2F292C"/>
          <w:sz w:val="21"/>
        </w:rPr>
        <w:t>勾选已满 18 岁声明并阅读隐私说明与使用条款。该声明不是身份验证。</w:t>
      </w:r>
    </w:p>
    <w:p>
      <w:pPr>
        <w:spacing w:after="160"/>
        <w:ind w:left="85" w:hanging="85"/>
      </w:pPr>
      <w:r>
        <w:rPr>
          <w:rFonts w:ascii="Microsoft YaHei" w:hAnsi="Microsoft YaHei" w:eastAsia="Microsoft YaHei"/>
          <w:b/>
          <w:color w:val="6B3F4A"/>
          <w:sz w:val="21"/>
        </w:rPr>
        <w:t xml:space="preserve">3. </w:t>
      </w:r>
      <w:r>
        <w:rPr>
          <w:rFonts w:ascii="Microsoft YaHei" w:hAnsi="Microsoft YaHei" w:eastAsia="Microsoft YaHei"/>
          <w:color w:val="2F292C"/>
          <w:sz w:val="21"/>
        </w:rPr>
        <w:t>进入“我的资料”，填写年龄、城市、关系目标、生活方式、沟通习惯、家庭计划、财务观念和兴趣。可以跳过不愿透露的项目。</w:t>
      </w:r>
    </w:p>
    <w:p>
      <w:pPr>
        <w:spacing w:after="160"/>
        <w:ind w:left="85" w:hanging="85"/>
      </w:pPr>
      <w:r>
        <w:rPr>
          <w:rFonts w:ascii="Microsoft YaHei" w:hAnsi="Microsoft YaHei" w:eastAsia="Microsoft YaHei"/>
          <w:b/>
          <w:color w:val="6B3F4A"/>
          <w:sz w:val="21"/>
        </w:rPr>
        <w:t xml:space="preserve">4. </w:t>
      </w:r>
      <w:r>
        <w:rPr>
          <w:rFonts w:ascii="Microsoft YaHei" w:hAnsi="Microsoft YaHei" w:eastAsia="Microsoft YaHei"/>
          <w:color w:val="2F292C"/>
          <w:sz w:val="21"/>
        </w:rPr>
        <w:t>进入“择偶偏好”，逐项设置重要程度、接受范围、是否允许未知及关注程度。这里填写的是对伴侣的期待，不是自己的情况。</w:t>
      </w:r>
    </w:p>
    <w:p>
      <w:pPr>
        <w:spacing w:after="160"/>
        <w:ind w:left="85" w:hanging="85"/>
      </w:pPr>
      <w:r>
        <w:rPr>
          <w:rFonts w:ascii="Microsoft YaHei" w:hAnsi="Microsoft YaHei" w:eastAsia="Microsoft YaHei"/>
          <w:b/>
          <w:color w:val="6B3F4A"/>
          <w:sz w:val="21"/>
        </w:rPr>
        <w:t xml:space="preserve">5. </w:t>
      </w:r>
      <w:r>
        <w:rPr>
          <w:rFonts w:ascii="Microsoft YaHei" w:hAnsi="Microsoft YaHei" w:eastAsia="Microsoft YaHei"/>
          <w:color w:val="2F292C"/>
          <w:sz w:val="21"/>
        </w:rPr>
        <w:t>返回工作台，点击“创建私密邀请”。复制系统生成的限时邀请链接，并通过自己选择的方式发给一位参与者。</w:t>
      </w:r>
    </w:p>
    <w:p>
      <w:pPr>
        <w:spacing w:after="160"/>
        <w:ind w:left="85" w:hanging="85"/>
      </w:pPr>
      <w:r>
        <w:rPr>
          <w:rFonts w:ascii="Microsoft YaHei" w:hAnsi="Microsoft YaHei" w:eastAsia="Microsoft YaHei"/>
          <w:b/>
          <w:color w:val="6B3F4A"/>
          <w:sz w:val="21"/>
        </w:rPr>
        <w:t xml:space="preserve">6. </w:t>
      </w:r>
      <w:r>
        <w:rPr>
          <w:rFonts w:ascii="Microsoft YaHei" w:hAnsi="Microsoft YaHei" w:eastAsia="Microsoft YaHei"/>
          <w:color w:val="2F292C"/>
          <w:sz w:val="21"/>
        </w:rPr>
        <w:t>对方接受后，进入邀请页勾选这次愿意分享的字段。页面会同时展示这些字段中的本人情况和择偶偏好。核对后确认授权。</w:t>
      </w:r>
    </w:p>
    <w:p>
      <w:pPr>
        <w:spacing w:after="160"/>
        <w:ind w:left="85" w:hanging="85"/>
      </w:pPr>
      <w:r>
        <w:rPr>
          <w:rFonts w:ascii="Microsoft YaHei" w:hAnsi="Microsoft YaHei" w:eastAsia="Microsoft YaHei"/>
          <w:b/>
          <w:color w:val="6B3F4A"/>
          <w:sz w:val="21"/>
        </w:rPr>
        <w:t xml:space="preserve">7. </w:t>
      </w:r>
      <w:r>
        <w:rPr>
          <w:rFonts w:ascii="Microsoft YaHei" w:hAnsi="Microsoft YaHei" w:eastAsia="Microsoft YaHei"/>
          <w:color w:val="2F292C"/>
          <w:sz w:val="21"/>
        </w:rPr>
        <w:t>等待对方独立确认。双方都同意后，点击“生成双向匹配报告”。</w:t>
      </w:r>
    </w:p>
    <w:p>
      <w:pPr>
        <w:spacing w:after="160"/>
        <w:ind w:left="85" w:hanging="85"/>
      </w:pPr>
      <w:r>
        <w:rPr>
          <w:rFonts w:ascii="Microsoft YaHei" w:hAnsi="Microsoft YaHei" w:eastAsia="Microsoft YaHei"/>
          <w:b/>
          <w:color w:val="6B3F4A"/>
          <w:sz w:val="21"/>
        </w:rPr>
        <w:t xml:space="preserve">8. </w:t>
      </w:r>
      <w:r>
        <w:rPr>
          <w:rFonts w:ascii="Microsoft YaHei" w:hAnsi="Microsoft YaHei" w:eastAsia="Microsoft YaHei"/>
          <w:color w:val="2F292C"/>
          <w:sz w:val="21"/>
        </w:rPr>
        <w:t>查看双方授权资料、两个方向的满足情况、边界冲突、未知信息和讨论问题。需要邀请其他人时，回到工作台重新创建邀请。</w:t>
      </w:r>
    </w:p>
    <w:p>
      <w:pPr>
        <w:pStyle w:val="Heading2"/>
        <w:keepNext/>
      </w:pPr>
      <w:r>
        <w:t>邀请链接的注意事项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2F292C"/>
          <w:sz w:val="21"/>
        </w:rPr>
        <w:t>邀请默认有效 7 天，并且只能由一位其他账号接受。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2F292C"/>
          <w:sz w:val="21"/>
        </w:rPr>
        <w:t>完整链接只在创建时提供；如果丢失，应撤销旧邀请并重新创建。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2F292C"/>
          <w:sz w:val="21"/>
        </w:rPr>
        <w:t>不要把同一链接公开发布或转发给多人。每位参与者应使用独立链接。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2F292C"/>
          <w:sz w:val="21"/>
        </w:rPr>
        <w:t>邀请链接本身不能查看资料；接受邀请仍不等于授权分享。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6B3F4A"/>
          <w:sz w:val="34"/>
        </w:rPr>
        <w:t xml:space="preserve">07  </w:t>
      </w:r>
      <w:r>
        <w:rPr>
          <w:rFonts w:ascii="Microsoft YaHei" w:hAnsi="Microsoft YaHei" w:eastAsia="Microsoft YaHei"/>
          <w:b/>
          <w:color w:val="000000"/>
          <w:sz w:val="34"/>
        </w:rPr>
        <w:t>受邀者使用与报告阅读</w:t>
      </w:r>
    </w:p>
    <w:p>
      <w:pPr>
        <w:pStyle w:val="Heading2"/>
        <w:keepNext/>
      </w:pPr>
      <w:r>
        <w:t>受邀者的操作步骤</w:t>
      </w:r>
    </w:p>
    <w:p>
      <w:pPr>
        <w:spacing w:after="160"/>
        <w:ind w:left="85" w:hanging="85"/>
      </w:pPr>
      <w:r>
        <w:rPr>
          <w:rFonts w:ascii="Microsoft YaHei" w:hAnsi="Microsoft YaHei" w:eastAsia="Microsoft YaHei"/>
          <w:b/>
          <w:color w:val="6B3F4A"/>
          <w:sz w:val="21"/>
        </w:rPr>
        <w:t xml:space="preserve">1. </w:t>
      </w:r>
      <w:r>
        <w:rPr>
          <w:rFonts w:ascii="Microsoft YaHei" w:hAnsi="Microsoft YaHei" w:eastAsia="Microsoft YaHei"/>
          <w:color w:val="2F292C"/>
          <w:sz w:val="21"/>
        </w:rPr>
        <w:t>在自己的电脑或手机上打开邀请链接。首次使用需要注册自己的独立账号。</w:t>
      </w:r>
    </w:p>
    <w:p>
      <w:pPr>
        <w:spacing w:after="160"/>
        <w:ind w:left="85" w:hanging="85"/>
      </w:pPr>
      <w:r>
        <w:rPr>
          <w:rFonts w:ascii="Microsoft YaHei" w:hAnsi="Microsoft YaHei" w:eastAsia="Microsoft YaHei"/>
          <w:b/>
          <w:color w:val="6B3F4A"/>
          <w:sz w:val="21"/>
        </w:rPr>
        <w:t xml:space="preserve">2. </w:t>
      </w:r>
      <w:r>
        <w:rPr>
          <w:rFonts w:ascii="Microsoft YaHei" w:hAnsi="Microsoft YaHei" w:eastAsia="Microsoft YaHei"/>
          <w:color w:val="2F292C"/>
          <w:sz w:val="21"/>
        </w:rPr>
        <w:t>点击接受邀请。此时只是建立邀请关系，还没有向发起者公开资料。</w:t>
      </w:r>
    </w:p>
    <w:p>
      <w:pPr>
        <w:spacing w:after="160"/>
        <w:ind w:left="85" w:hanging="85"/>
      </w:pPr>
      <w:r>
        <w:rPr>
          <w:rFonts w:ascii="Microsoft YaHei" w:hAnsi="Microsoft YaHei" w:eastAsia="Microsoft YaHei"/>
          <w:b/>
          <w:color w:val="6B3F4A"/>
          <w:sz w:val="21"/>
        </w:rPr>
        <w:t xml:space="preserve">3. </w:t>
      </w:r>
      <w:r>
        <w:rPr>
          <w:rFonts w:ascii="Microsoft YaHei" w:hAnsi="Microsoft YaHei" w:eastAsia="Microsoft YaHei"/>
          <w:color w:val="2F292C"/>
          <w:sz w:val="21"/>
        </w:rPr>
        <w:t>填写“我的资料”和“择偶偏好”，等待页面提示已保存。</w:t>
      </w:r>
    </w:p>
    <w:p>
      <w:pPr>
        <w:spacing w:after="160"/>
        <w:ind w:left="85" w:hanging="85"/>
      </w:pPr>
      <w:r>
        <w:rPr>
          <w:rFonts w:ascii="Microsoft YaHei" w:hAnsi="Microsoft YaHei" w:eastAsia="Microsoft YaHei"/>
          <w:b/>
          <w:color w:val="6B3F4A"/>
          <w:sz w:val="21"/>
        </w:rPr>
        <w:t xml:space="preserve">4. </w:t>
      </w:r>
      <w:r>
        <w:rPr>
          <w:rFonts w:ascii="Microsoft YaHei" w:hAnsi="Microsoft YaHei" w:eastAsia="Microsoft YaHei"/>
          <w:color w:val="2F292C"/>
          <w:sz w:val="21"/>
        </w:rPr>
        <w:t>回到邀请页，逐项勾选愿意分享的字段。认真检查“我的分享预览”，确认发起者将看到的本人情况和期待。</w:t>
      </w:r>
    </w:p>
    <w:p>
      <w:pPr>
        <w:spacing w:after="160"/>
        <w:ind w:left="85" w:hanging="85"/>
      </w:pPr>
      <w:r>
        <w:rPr>
          <w:rFonts w:ascii="Microsoft YaHei" w:hAnsi="Microsoft YaHei" w:eastAsia="Microsoft YaHei"/>
          <w:b/>
          <w:color w:val="6B3F4A"/>
          <w:sz w:val="21"/>
        </w:rPr>
        <w:t xml:space="preserve">5. </w:t>
      </w:r>
      <w:r>
        <w:rPr>
          <w:rFonts w:ascii="Microsoft YaHei" w:hAnsi="Microsoft YaHei" w:eastAsia="Microsoft YaHei"/>
          <w:color w:val="2F292C"/>
          <w:sz w:val="21"/>
        </w:rPr>
        <w:t>勾选授权确认。若勾选 AI，还需要发起者也同意，系统才可生成 AI 讨论建议。</w:t>
      </w:r>
    </w:p>
    <w:p>
      <w:pPr>
        <w:spacing w:after="160"/>
        <w:ind w:left="85" w:hanging="85"/>
      </w:pPr>
      <w:r>
        <w:rPr>
          <w:rFonts w:ascii="Microsoft YaHei" w:hAnsi="Microsoft YaHei" w:eastAsia="Microsoft YaHei"/>
          <w:b/>
          <w:color w:val="6B3F4A"/>
          <w:sz w:val="21"/>
        </w:rPr>
        <w:t xml:space="preserve">6. </w:t>
      </w:r>
      <w:r>
        <w:rPr>
          <w:rFonts w:ascii="Microsoft YaHei" w:hAnsi="Microsoft YaHei" w:eastAsia="Microsoft YaHei"/>
          <w:color w:val="2F292C"/>
          <w:sz w:val="21"/>
        </w:rPr>
        <w:t>双方都同意后生成或打开报告。受邀者也能看到发起者授权的资料和双方匹配结果。</w:t>
      </w:r>
    </w:p>
    <w:p>
      <w:pPr>
        <w:pStyle w:val="Heading2"/>
        <w:keepNext/>
      </w:pPr>
      <w:r>
        <w:t>如何正确阅读报告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1701"/>
            <w:shd w:fill="6B3F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报告内容</w:t>
            </w:r>
          </w:p>
        </w:tc>
        <w:tc>
          <w:tcPr>
            <w:tcW w:type="dxa" w:w="3685"/>
            <w:shd w:fill="6B3F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458"/>
            <w:shd w:fill="6B3F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不代表</w:t>
            </w:r>
          </w:p>
        </w:tc>
      </w:tr>
      <w:tr>
        <w:tc>
          <w:tcPr>
            <w:tcW w:type="dxa" w:w="17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A 对 B</w:t>
            </w:r>
          </w:p>
        </w:tc>
        <w:tc>
          <w:tcPr>
            <w:tcW w:type="dxa" w:w="368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B 的资料对 A 已授权偏好的满足情况</w:t>
            </w:r>
          </w:p>
        </w:tc>
        <w:tc>
          <w:tcPr>
            <w:tcW w:type="dxa" w:w="345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B 对 A 一定有相同结果</w:t>
            </w:r>
          </w:p>
        </w:tc>
      </w:tr>
      <w:tr>
        <w:tc>
          <w:tcPr>
            <w:tcW w:type="dxa" w:w="17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B 对 A</w:t>
            </w:r>
          </w:p>
        </w:tc>
        <w:tc>
          <w:tcPr>
            <w:tcW w:type="dxa" w:w="368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A 的资料对 B 已授权偏好的满足情况</w:t>
            </w:r>
          </w:p>
        </w:tc>
        <w:tc>
          <w:tcPr>
            <w:tcW w:type="dxa" w:w="345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两人必须得出同一个结论</w:t>
            </w:r>
          </w:p>
        </w:tc>
      </w:tr>
      <w:tr>
        <w:tc>
          <w:tcPr>
            <w:tcW w:type="dxa" w:w="17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一致点</w:t>
            </w:r>
          </w:p>
        </w:tc>
        <w:tc>
          <w:tcPr>
            <w:tcW w:type="dxa" w:w="368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双方都有已知且互相符合的项目</w:t>
            </w:r>
          </w:p>
        </w:tc>
        <w:tc>
          <w:tcPr>
            <w:tcW w:type="dxa" w:w="345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关系一定成功</w:t>
            </w:r>
          </w:p>
        </w:tc>
      </w:tr>
      <w:tr>
        <w:tc>
          <w:tcPr>
            <w:tcW w:type="dxa" w:w="17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差异</w:t>
            </w:r>
          </w:p>
        </w:tc>
        <w:tc>
          <w:tcPr>
            <w:tcW w:type="dxa" w:w="368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已填写信息与期待不同</w:t>
            </w:r>
          </w:p>
        </w:tc>
        <w:tc>
          <w:tcPr>
            <w:tcW w:type="dxa" w:w="345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任何一方价值较低</w:t>
            </w:r>
          </w:p>
        </w:tc>
      </w:tr>
      <w:tr>
        <w:tc>
          <w:tcPr>
            <w:tcW w:type="dxa" w:w="17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信息不足</w:t>
            </w:r>
          </w:p>
        </w:tc>
        <w:tc>
          <w:tcPr>
            <w:tcW w:type="dxa" w:w="368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至少一方未填写或没有明确答案</w:t>
            </w:r>
          </w:p>
        </w:tc>
        <w:tc>
          <w:tcPr>
            <w:tcW w:type="dxa" w:w="345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已经确定不合适</w:t>
            </w:r>
          </w:p>
        </w:tc>
      </w:tr>
      <w:tr>
        <w:tc>
          <w:tcPr>
            <w:tcW w:type="dxa" w:w="1701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边界冲突</w:t>
            </w:r>
          </w:p>
        </w:tc>
        <w:tc>
          <w:tcPr>
            <w:tcW w:type="dxa" w:w="3685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必须满足项出现明确差异</w:t>
            </w:r>
          </w:p>
        </w:tc>
        <w:tc>
          <w:tcPr>
            <w:tcW w:type="dxa" w:w="345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系统替用户作出最终决定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讨论建议</w:t>
      </w:r>
    </w:p>
    <w:p>
      <w:pPr>
        <w:spacing w:after="140" w:line="324" w:lineRule="auto"/>
      </w:pPr>
      <w:r>
        <w:rPr>
          <w:rFonts w:ascii="Microsoft YaHei" w:hAnsi="Microsoft YaHei" w:eastAsia="Microsoft YaHei"/>
          <w:color w:val="2F292C"/>
          <w:sz w:val="21"/>
        </w:rPr>
        <w:t>报告中的问题用于帮助双方进一步交流。例如，“你们对联系频率各自有什么期待，哪些部分可以调整？”用户可以使用问题展开真实沟通，但不应把问题或分数当作自动决策。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6B3F4A"/>
          <w:sz w:val="34"/>
        </w:rPr>
        <w:t xml:space="preserve">08  </w:t>
      </w:r>
      <w:r>
        <w:rPr>
          <w:rFonts w:ascii="Microsoft YaHei" w:hAnsi="Microsoft YaHei" w:eastAsia="Microsoft YaHei"/>
          <w:b/>
          <w:color w:val="000000"/>
          <w:sz w:val="34"/>
        </w:rPr>
        <w:t>数据与隐私逻辑</w:t>
      </w:r>
    </w:p>
    <w:p>
      <w:pPr>
        <w:spacing w:after="260" w:line="324" w:lineRule="auto"/>
      </w:pPr>
      <w:r>
        <w:rPr>
          <w:rFonts w:ascii="Microsoft YaHei" w:hAnsi="Microsoft YaHei" w:eastAsia="Microsoft YaHei"/>
          <w:color w:val="2F292C"/>
          <w:sz w:val="21"/>
        </w:rPr>
        <w:t>资料收集必须建立在清晰展示和主动授权之上。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71"/>
        <w:gridCol w:w="1871"/>
        <w:gridCol w:w="1871"/>
        <w:gridCol w:w="1871"/>
        <w:gridCol w:w="1871"/>
      </w:tblGrid>
      <w:tr>
        <w:trPr>
          <w:tblHeader w:val="true"/>
        </w:trPr>
        <w:tc>
          <w:tcPr>
            <w:tcW w:type="dxa" w:w="2268"/>
            <w:shd w:fill="6B3F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信息</w:t>
            </w:r>
          </w:p>
        </w:tc>
        <w:tc>
          <w:tcPr>
            <w:tcW w:type="dxa" w:w="1417"/>
            <w:shd w:fill="6B3F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本人</w:t>
            </w:r>
          </w:p>
        </w:tc>
        <w:tc>
          <w:tcPr>
            <w:tcW w:type="dxa" w:w="2098"/>
            <w:shd w:fill="6B3F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匹配对象</w:t>
            </w:r>
          </w:p>
        </w:tc>
        <w:tc>
          <w:tcPr>
            <w:tcW w:type="dxa" w:w="1474"/>
            <w:shd w:fill="6B3F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其他账号</w:t>
            </w:r>
          </w:p>
        </w:tc>
        <w:tc>
          <w:tcPr>
            <w:tcW w:type="dxa" w:w="1757"/>
            <w:shd w:fill="6B3F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AI 服务</w:t>
            </w:r>
          </w:p>
        </w:tc>
      </w:tr>
      <w:tr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邮箱和认证信息</w:t>
            </w:r>
          </w:p>
        </w:tc>
        <w:tc>
          <w:tcPr>
            <w:tcW w:type="dxa" w:w="141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可用于账号管理</w:t>
            </w:r>
          </w:p>
        </w:tc>
        <w:tc>
          <w:tcPr>
            <w:tcW w:type="dxa" w:w="209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不可见</w:t>
            </w:r>
          </w:p>
        </w:tc>
        <w:tc>
          <w:tcPr>
            <w:tcW w:type="dxa" w:w="147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不可见</w:t>
            </w:r>
          </w:p>
        </w:tc>
        <w:tc>
          <w:tcPr>
            <w:tcW w:type="dxa" w:w="175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不发送</w:t>
            </w:r>
          </w:p>
        </w:tc>
      </w:tr>
      <w:tr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未授权资料或偏好</w:t>
            </w:r>
          </w:p>
        </w:tc>
        <w:tc>
          <w:tcPr>
            <w:tcW w:type="dxa" w:w="141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可见</w:t>
            </w:r>
          </w:p>
        </w:tc>
        <w:tc>
          <w:tcPr>
            <w:tcW w:type="dxa" w:w="209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不可见</w:t>
            </w:r>
          </w:p>
        </w:tc>
        <w:tc>
          <w:tcPr>
            <w:tcW w:type="dxa" w:w="147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不可见</w:t>
            </w:r>
          </w:p>
        </w:tc>
        <w:tc>
          <w:tcPr>
            <w:tcW w:type="dxa" w:w="175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不发送</w:t>
            </w:r>
          </w:p>
        </w:tc>
      </w:tr>
      <w:tr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授权资料和偏好</w:t>
            </w:r>
          </w:p>
        </w:tc>
        <w:tc>
          <w:tcPr>
            <w:tcW w:type="dxa" w:w="141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可见</w:t>
            </w:r>
          </w:p>
        </w:tc>
        <w:tc>
          <w:tcPr>
            <w:tcW w:type="dxa" w:w="209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在有效报告中可见</w:t>
            </w:r>
          </w:p>
        </w:tc>
        <w:tc>
          <w:tcPr>
            <w:tcW w:type="dxa" w:w="147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不可见</w:t>
            </w:r>
          </w:p>
        </w:tc>
        <w:tc>
          <w:tcPr>
            <w:tcW w:type="dxa" w:w="175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不发送原始实际值</w:t>
            </w:r>
          </w:p>
        </w:tc>
      </w:tr>
      <w:tr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确定性匹配结果</w:t>
            </w:r>
          </w:p>
        </w:tc>
        <w:tc>
          <w:tcPr>
            <w:tcW w:type="dxa" w:w="141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可见</w:t>
            </w:r>
          </w:p>
        </w:tc>
        <w:tc>
          <w:tcPr>
            <w:tcW w:type="dxa" w:w="209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可见</w:t>
            </w:r>
          </w:p>
        </w:tc>
        <w:tc>
          <w:tcPr>
            <w:tcW w:type="dxa" w:w="147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不可见</w:t>
            </w:r>
          </w:p>
        </w:tc>
        <w:tc>
          <w:tcPr>
            <w:tcW w:type="dxa" w:w="175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双方同意时可发送最小结果</w:t>
            </w:r>
          </w:p>
        </w:tc>
      </w:tr>
      <w:tr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其他参与者资料</w:t>
            </w:r>
          </w:p>
        </w:tc>
        <w:tc>
          <w:tcPr>
            <w:tcW w:type="dxa" w:w="141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按独立邀请分别查看</w:t>
            </w:r>
          </w:p>
        </w:tc>
        <w:tc>
          <w:tcPr>
            <w:tcW w:type="dxa" w:w="209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不可见</w:t>
            </w:r>
          </w:p>
        </w:tc>
        <w:tc>
          <w:tcPr>
            <w:tcW w:type="dxa" w:w="1474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不可见</w:t>
            </w:r>
          </w:p>
        </w:tc>
        <w:tc>
          <w:tcPr>
            <w:tcW w:type="dxa" w:w="1757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不发送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撤回、导出和删除</w:t>
      </w:r>
    </w:p>
    <w:p>
      <w:pPr>
        <w:spacing w:after="140" w:line="324" w:lineRule="auto"/>
      </w:pPr>
      <w:r>
        <w:rPr>
          <w:rFonts w:ascii="Microsoft YaHei" w:hAnsi="Microsoft YaHei" w:eastAsia="Microsoft YaHei"/>
          <w:b/>
          <w:color w:val="2F292C"/>
          <w:sz w:val="21"/>
        </w:rPr>
        <w:t>撤回授权：</w:t>
      </w:r>
      <w:r>
        <w:rPr>
          <w:rFonts w:ascii="Microsoft YaHei" w:hAnsi="Microsoft YaHei" w:eastAsia="Microsoft YaHei"/>
          <w:color w:val="2F292C"/>
          <w:sz w:val="21"/>
        </w:rPr>
        <w:t>任意一方都可以撤销邀请或撤回授权。撤回后，后端立即拒绝双方继续访问共享报告；已经由对方截图、下载或手工保存的副本无法自动收回。</w:t>
      </w:r>
    </w:p>
    <w:p>
      <w:pPr>
        <w:spacing w:after="140" w:line="324" w:lineRule="auto"/>
      </w:pPr>
      <w:r>
        <w:rPr>
          <w:rFonts w:ascii="Microsoft YaHei" w:hAnsi="Microsoft YaHei" w:eastAsia="Microsoft YaHei"/>
          <w:b/>
          <w:color w:val="2F292C"/>
          <w:sz w:val="21"/>
        </w:rPr>
        <w:t>导出本人数据：</w:t>
      </w:r>
      <w:r>
        <w:rPr>
          <w:rFonts w:ascii="Microsoft YaHei" w:hAnsi="Microsoft YaHei" w:eastAsia="Microsoft YaHei"/>
          <w:color w:val="2F292C"/>
          <w:sz w:val="21"/>
        </w:rPr>
        <w:t>设置页可以导出自己的资料历史、偏好和授权快照，不会通过修改地址参数导出他人资料，也不包含对方私有字段。</w:t>
      </w:r>
    </w:p>
    <w:p>
      <w:pPr>
        <w:spacing w:after="140" w:line="324" w:lineRule="auto"/>
      </w:pPr>
      <w:r>
        <w:rPr>
          <w:rFonts w:ascii="Microsoft YaHei" w:hAnsi="Microsoft YaHei" w:eastAsia="Microsoft YaHei"/>
          <w:b/>
          <w:color w:val="2F292C"/>
          <w:sz w:val="21"/>
        </w:rPr>
        <w:t>删除报告：</w:t>
      </w:r>
      <w:r>
        <w:rPr>
          <w:rFonts w:ascii="Microsoft YaHei" w:hAnsi="Microsoft YaHei" w:eastAsia="Microsoft YaHei"/>
          <w:color w:val="2F292C"/>
          <w:sz w:val="21"/>
        </w:rPr>
        <w:t>删除共享报告会同时关闭该次邀请，防止重新生成同一轮报告。</w:t>
      </w:r>
    </w:p>
    <w:p>
      <w:pPr>
        <w:spacing w:after="140" w:line="324" w:lineRule="auto"/>
      </w:pPr>
      <w:r>
        <w:rPr>
          <w:rFonts w:ascii="Microsoft YaHei" w:hAnsi="Microsoft YaHei" w:eastAsia="Microsoft YaHei"/>
          <w:b/>
          <w:color w:val="2F292C"/>
          <w:sz w:val="21"/>
        </w:rPr>
        <w:t>删除账号：</w:t>
      </w:r>
      <w:r>
        <w:rPr>
          <w:rFonts w:ascii="Microsoft YaHei" w:hAnsi="Microsoft YaHei" w:eastAsia="Microsoft YaHei"/>
          <w:color w:val="2F292C"/>
          <w:sz w:val="21"/>
        </w:rPr>
        <w:t>账号、资料、偏好、会话、邀请及关联共享报告会被删除；另一位用户自己的账号和独立资料保留。生产备份还需要按照实际保留周期和恢复流程处理。</w:t>
      </w:r>
    </w:p>
    <w:p>
      <w:pPr>
        <w:pStyle w:val="Heading2"/>
        <w:keepNext/>
      </w:pPr>
      <w:r>
        <w:t>创建者获取资料的边界</w:t>
      </w:r>
    </w:p>
    <w:p>
      <w:pPr>
        <w:spacing w:after="140" w:line="324" w:lineRule="auto"/>
      </w:pPr>
      <w:r>
        <w:rPr>
          <w:rFonts w:ascii="Microsoft YaHei" w:hAnsi="Microsoft YaHei" w:eastAsia="Microsoft YaHei"/>
          <w:color w:val="2F292C"/>
          <w:sz w:val="21"/>
        </w:rPr>
        <w:t>创建者能够获取的是参与者主动授权给该次报告的资料和偏好，而不是参与者账号中的全部内容。产品不提供后台绕过授权查看隐私资料的能力。这个边界既保护参与者，也让创建者获得的信息具有明确来源。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6B3F4A"/>
          <w:sz w:val="34"/>
        </w:rPr>
        <w:t xml:space="preserve">09  </w:t>
      </w:r>
      <w:r>
        <w:rPr>
          <w:rFonts w:ascii="Microsoft YaHei" w:hAnsi="Microsoft YaHei" w:eastAsia="Microsoft YaHei"/>
          <w:b/>
          <w:color w:val="000000"/>
          <w:sz w:val="34"/>
        </w:rPr>
        <w:t>上线与使用状态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3118"/>
        <w:gridCol w:w="3118"/>
      </w:tblGrid>
      <w:tr>
        <w:trPr>
          <w:tblHeader w:val="true"/>
        </w:trPr>
        <w:tc>
          <w:tcPr>
            <w:tcW w:type="dxa" w:w="2268"/>
            <w:shd w:fill="6B3F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2268"/>
            <w:shd w:fill="6B3F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当前状态</w:t>
            </w:r>
          </w:p>
        </w:tc>
        <w:tc>
          <w:tcPr>
            <w:tcW w:type="dxa" w:w="4592"/>
            <w:shd w:fill="6B3F4A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账号与数据库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已实现并本地验证</w:t>
            </w:r>
          </w:p>
        </w:tc>
        <w:tc>
          <w:tcPr>
            <w:tcW w:type="dxa" w:w="4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真实账号、持久化、对象权限和密码恢复逻辑已测试</w:t>
            </w:r>
          </w:p>
        </w:tc>
      </w:tr>
      <w:tr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双向匹配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已实现并本地验证</w:t>
            </w:r>
          </w:p>
        </w:tc>
        <w:tc>
          <w:tcPr>
            <w:tcW w:type="dxa" w:w="4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未知、覆盖率、边界冲突和历史版本有代表性测试</w:t>
            </w:r>
          </w:p>
        </w:tc>
      </w:tr>
      <w:tr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手机与桌面页面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已实现并本地验证</w:t>
            </w:r>
          </w:p>
        </w:tc>
        <w:tc>
          <w:tcPr>
            <w:tcW w:type="dxa" w:w="4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完整手机流程和常见宽度已检查</w:t>
            </w:r>
          </w:p>
        </w:tc>
      </w:tr>
      <w:tr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GitHub 仓库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已上传</w:t>
            </w:r>
          </w:p>
        </w:tc>
        <w:tc>
          <w:tcPr>
            <w:tcW w:type="dxa" w:w="4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代码位于 winne-wang0505/tongpin-compass 私有仓库</w:t>
            </w:r>
          </w:p>
        </w:tc>
      </w:tr>
      <w:tr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公网网站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尚未部署</w:t>
            </w:r>
          </w:p>
        </w:tc>
        <w:tc>
          <w:tcPr>
            <w:tcW w:type="dxa" w:w="4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需要 Render 付费 Web Service、持久磁盘和 HTTPS 地址</w:t>
            </w:r>
          </w:p>
        </w:tc>
      </w:tr>
      <w:tr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真实邮件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尚未验证</w:t>
            </w:r>
          </w:p>
        </w:tc>
        <w:tc>
          <w:tcPr>
            <w:tcW w:type="dxa" w:w="4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8F6F4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上线需要 SMTP，用于验证邮箱和密码找回</w:t>
            </w:r>
          </w:p>
        </w:tc>
      </w:tr>
      <w:tr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真实 AI</w:t>
            </w:r>
          </w:p>
        </w:tc>
        <w:tc>
          <w:tcPr>
            <w:tcW w:type="dxa" w:w="226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尚未启用</w:t>
            </w:r>
          </w:p>
        </w:tc>
        <w:tc>
          <w:tcPr>
            <w:tcW w:type="dxa" w:w="459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 w:line="288" w:lineRule="auto"/>
            </w:pPr>
            <w:r>
              <w:rPr>
                <w:rFonts w:ascii="Microsoft YaHei" w:hAnsi="Microsoft YaHei" w:eastAsia="Microsoft YaHei"/>
                <w:color w:val="2F292C"/>
                <w:sz w:val="18"/>
              </w:rPr>
              <w:t>可保持关闭；确定性匹配不受影响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上线后他人如何访问</w:t>
      </w:r>
    </w:p>
    <w:p>
      <w:pPr>
        <w:spacing w:after="140" w:line="324" w:lineRule="auto"/>
      </w:pPr>
      <w:r>
        <w:rPr>
          <w:rFonts w:ascii="Microsoft YaHei" w:hAnsi="Microsoft YaHei" w:eastAsia="Microsoft YaHei"/>
          <w:color w:val="2F292C"/>
          <w:sz w:val="21"/>
        </w:rPr>
        <w:t>部署完成后会得到一个 HTTPS 网站地址。其他人不需要安装软件，只需使用自己的电脑或手机浏览器打开该网址。创建者登录后生成邀请链接，再将链接发送给对应参与者。</w:t>
      </w:r>
    </w:p>
    <w:p>
      <w:pPr>
        <w:pStyle w:val="Heading2"/>
        <w:keepNext/>
      </w:pPr>
      <w:r>
        <w:t>上线前必须完成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2F292C"/>
          <w:sz w:val="21"/>
        </w:rPr>
        <w:t>创建支持持久磁盘的付费 Web Service，不能使用会丢失本地文件的免费临时磁盘。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2F292C"/>
          <w:sz w:val="21"/>
        </w:rPr>
        <w:t>填写正式网站地址、随机认证密钥、SMTP 配置、真实运营主体、联系邮箱和部署地区。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2F292C"/>
          <w:sz w:val="21"/>
        </w:rPr>
        <w:t>验证 HTTPS、邮箱注册、密码恢复、双账号完整流程、第三账号权限和撤回访问。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2F292C"/>
          <w:sz w:val="21"/>
        </w:rPr>
        <w:t>配置一致性备份、备份轮换和实际恢复演练。</w:t>
      </w:r>
    </w:p>
    <w:p>
      <w:pPr>
        <w:pStyle w:val="ListBullet"/>
        <w:spacing w:after="80" w:line="300" w:lineRule="auto"/>
      </w:pPr>
      <w:r>
        <w:rPr>
          <w:rFonts w:ascii="Microsoft YaHei" w:hAnsi="Microsoft YaHei" w:eastAsia="Microsoft YaHei"/>
          <w:color w:val="2F292C"/>
          <w:sz w:val="21"/>
        </w:rPr>
        <w:t>根据实际运营地区审阅隐私说明和使用条款，不声称已自动满足所有法律要求。</w:t>
      </w:r>
    </w:p>
    <w:p>
      <w:r>
        <w:br w:type="page"/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6B3F4A"/>
          <w:sz w:val="34"/>
        </w:rPr>
        <w:t xml:space="preserve">10  </w:t>
      </w:r>
      <w:r>
        <w:rPr>
          <w:rFonts w:ascii="Microsoft YaHei" w:hAnsi="Microsoft YaHei" w:eastAsia="Microsoft YaHei"/>
          <w:b/>
          <w:color w:val="000000"/>
          <w:sz w:val="34"/>
        </w:rPr>
        <w:t>常见问题</w:t>
      </w:r>
    </w:p>
    <w:p>
      <w:pPr>
        <w:pStyle w:val="Heading2"/>
        <w:keepNext/>
        <w:spacing w:before="100" w:after="20"/>
      </w:pPr>
      <w:r>
        <w:rPr>
          <w:rFonts w:ascii="Microsoft YaHei" w:hAnsi="Microsoft YaHei" w:eastAsia="Microsoft YaHei"/>
          <w:b/>
          <w:color w:val="2F292C"/>
          <w:sz w:val="22"/>
        </w:rPr>
        <w:t>别人需要安装软件吗</w:t>
      </w:r>
    </w:p>
    <w:p>
      <w:pPr>
        <w:spacing w:after="60" w:line="283" w:lineRule="auto"/>
      </w:pPr>
      <w:r>
        <w:rPr>
          <w:rFonts w:ascii="Microsoft YaHei" w:hAnsi="Microsoft YaHei" w:eastAsia="Microsoft YaHei"/>
          <w:color w:val="2F292C"/>
          <w:sz w:val="21"/>
        </w:rPr>
        <w:t>不需要。公网部署完成后，参与者使用浏览器打开网站和邀请链接即可。</w:t>
      </w:r>
    </w:p>
    <w:p>
      <w:pPr>
        <w:pStyle w:val="Heading2"/>
        <w:keepNext/>
        <w:spacing w:before="100" w:after="20"/>
      </w:pPr>
      <w:r>
        <w:rPr>
          <w:rFonts w:ascii="Microsoft YaHei" w:hAnsi="Microsoft YaHei" w:eastAsia="Microsoft YaHei"/>
          <w:b/>
          <w:color w:val="2F292C"/>
          <w:sz w:val="22"/>
        </w:rPr>
        <w:t>我能看到对方填写的全部资料吗</w:t>
      </w:r>
    </w:p>
    <w:p>
      <w:pPr>
        <w:spacing w:after="60" w:line="283" w:lineRule="auto"/>
      </w:pPr>
      <w:r>
        <w:rPr>
          <w:rFonts w:ascii="Microsoft YaHei" w:hAnsi="Microsoft YaHei" w:eastAsia="Microsoft YaHei"/>
          <w:color w:val="2F292C"/>
          <w:sz w:val="21"/>
        </w:rPr>
        <w:t>不能。你只能看到对方在该次邀请中逐项勾选并确认授权的资料和偏好。</w:t>
      </w:r>
    </w:p>
    <w:p>
      <w:pPr>
        <w:pStyle w:val="Heading2"/>
        <w:keepNext/>
        <w:spacing w:before="100" w:after="20"/>
      </w:pPr>
      <w:r>
        <w:rPr>
          <w:rFonts w:ascii="Microsoft YaHei" w:hAnsi="Microsoft YaHei" w:eastAsia="Microsoft YaHei"/>
          <w:b/>
          <w:color w:val="2F292C"/>
          <w:sz w:val="22"/>
        </w:rPr>
        <w:t>一个链接可以发给很多人吗</w:t>
      </w:r>
    </w:p>
    <w:p>
      <w:pPr>
        <w:spacing w:after="60" w:line="283" w:lineRule="auto"/>
      </w:pPr>
      <w:r>
        <w:rPr>
          <w:rFonts w:ascii="Microsoft YaHei" w:hAnsi="Microsoft YaHei" w:eastAsia="Microsoft YaHei"/>
          <w:color w:val="2F292C"/>
          <w:sz w:val="21"/>
        </w:rPr>
        <w:t>不建议，也不支持多人共用。每份邀请只能绑定一个其他账号。需要为每位参与者创建独立链接。</w:t>
      </w:r>
    </w:p>
    <w:p>
      <w:pPr>
        <w:pStyle w:val="Heading2"/>
        <w:keepNext/>
        <w:spacing w:before="100" w:after="20"/>
      </w:pPr>
      <w:r>
        <w:rPr>
          <w:rFonts w:ascii="Microsoft YaHei" w:hAnsi="Microsoft YaHei" w:eastAsia="Microsoft YaHei"/>
          <w:b/>
          <w:color w:val="2F292C"/>
          <w:sz w:val="22"/>
        </w:rPr>
        <w:t>对方不填写某项，会不会算不匹配</w:t>
      </w:r>
    </w:p>
    <w:p>
      <w:pPr>
        <w:spacing w:after="60" w:line="283" w:lineRule="auto"/>
      </w:pPr>
      <w:r>
        <w:rPr>
          <w:rFonts w:ascii="Microsoft YaHei" w:hAnsi="Microsoft YaHei" w:eastAsia="Microsoft YaHei"/>
          <w:color w:val="2F292C"/>
          <w:sz w:val="21"/>
        </w:rPr>
        <w:t>不会。未填写内容被标为信息不足，不作为不匹配计算。</w:t>
      </w:r>
    </w:p>
    <w:p>
      <w:pPr>
        <w:pStyle w:val="Heading2"/>
        <w:keepNext/>
        <w:spacing w:before="100" w:after="20"/>
      </w:pPr>
      <w:r>
        <w:rPr>
          <w:rFonts w:ascii="Microsoft YaHei" w:hAnsi="Microsoft YaHei" w:eastAsia="Microsoft YaHei"/>
          <w:b/>
          <w:color w:val="2F292C"/>
          <w:sz w:val="22"/>
        </w:rPr>
        <w:t>为什么会有两个匹配方向</w:t>
      </w:r>
    </w:p>
    <w:p>
      <w:pPr>
        <w:spacing w:after="60" w:line="283" w:lineRule="auto"/>
      </w:pPr>
      <w:r>
        <w:rPr>
          <w:rFonts w:ascii="Microsoft YaHei" w:hAnsi="Microsoft YaHei" w:eastAsia="Microsoft YaHei"/>
          <w:color w:val="2F292C"/>
          <w:sz w:val="21"/>
        </w:rPr>
        <w:t>因为你的期待和对方的期待不同。A 符合 B，不意味着 B 一定符合 A。</w:t>
      </w:r>
    </w:p>
    <w:p>
      <w:pPr>
        <w:pStyle w:val="Heading2"/>
        <w:keepNext/>
        <w:spacing w:before="100" w:after="20"/>
      </w:pPr>
      <w:r>
        <w:rPr>
          <w:rFonts w:ascii="Microsoft YaHei" w:hAnsi="Microsoft YaHei" w:eastAsia="Microsoft YaHei"/>
          <w:b/>
          <w:color w:val="2F292C"/>
          <w:sz w:val="22"/>
        </w:rPr>
        <w:t>匹配百分比是不是成功率</w:t>
      </w:r>
    </w:p>
    <w:p>
      <w:pPr>
        <w:spacing w:after="60" w:line="283" w:lineRule="auto"/>
      </w:pPr>
      <w:r>
        <w:rPr>
          <w:rFonts w:ascii="Microsoft YaHei" w:hAnsi="Microsoft YaHei" w:eastAsia="Microsoft YaHei"/>
          <w:color w:val="2F292C"/>
          <w:sz w:val="21"/>
        </w:rPr>
        <w:t>不是。它只表示本次已知且已授权偏好的满足程度。</w:t>
      </w:r>
    </w:p>
    <w:p>
      <w:pPr>
        <w:pStyle w:val="Heading2"/>
        <w:keepNext/>
        <w:spacing w:before="100" w:after="20"/>
      </w:pPr>
      <w:r>
        <w:rPr>
          <w:rFonts w:ascii="Microsoft YaHei" w:hAnsi="Microsoft YaHei" w:eastAsia="Microsoft YaHei"/>
          <w:b/>
          <w:color w:val="2F292C"/>
          <w:sz w:val="22"/>
        </w:rPr>
        <w:t>对方撤回后我还能看吗</w:t>
      </w:r>
    </w:p>
    <w:p>
      <w:pPr>
        <w:spacing w:after="60" w:line="283" w:lineRule="auto"/>
      </w:pPr>
      <w:r>
        <w:rPr>
          <w:rFonts w:ascii="Microsoft YaHei" w:hAnsi="Microsoft YaHei" w:eastAsia="Microsoft YaHei"/>
          <w:color w:val="2F292C"/>
          <w:sz w:val="21"/>
        </w:rPr>
        <w:t>不能。撤回后应用接口会拒绝访问；已经保存到应用外的副本无法自动收回。</w:t>
      </w:r>
    </w:p>
    <w:p>
      <w:pPr>
        <w:pStyle w:val="Heading2"/>
        <w:keepNext/>
        <w:spacing w:before="100" w:after="20"/>
      </w:pPr>
      <w:r>
        <w:rPr>
          <w:rFonts w:ascii="Microsoft YaHei" w:hAnsi="Microsoft YaHei" w:eastAsia="Microsoft YaHei"/>
          <w:b/>
          <w:color w:val="2F292C"/>
          <w:sz w:val="22"/>
        </w:rPr>
        <w:t>没有 AI 密钥还能使用吗</w:t>
      </w:r>
    </w:p>
    <w:p>
      <w:pPr>
        <w:spacing w:after="60" w:line="283" w:lineRule="auto"/>
      </w:pPr>
      <w:r>
        <w:rPr>
          <w:rFonts w:ascii="Microsoft YaHei" w:hAnsi="Microsoft YaHei" w:eastAsia="Microsoft YaHei"/>
          <w:color w:val="2F292C"/>
          <w:sz w:val="21"/>
        </w:rPr>
        <w:t>可以。账号、邀请、授权和确定性匹配不依赖 AI。</w:t>
      </w:r>
    </w:p>
    <w:p>
      <w:pPr>
        <w:pStyle w:val="Heading2"/>
        <w:keepNext/>
        <w:spacing w:before="100" w:after="20"/>
      </w:pPr>
      <w:r>
        <w:rPr>
          <w:rFonts w:ascii="Microsoft YaHei" w:hAnsi="Microsoft YaHei" w:eastAsia="Microsoft YaHei"/>
          <w:b/>
          <w:color w:val="2F292C"/>
          <w:sz w:val="22"/>
        </w:rPr>
        <w:t>现在能直接发网址给别人吗</w:t>
      </w:r>
    </w:p>
    <w:p>
      <w:pPr>
        <w:spacing w:after="60" w:line="283" w:lineRule="auto"/>
      </w:pPr>
      <w:r>
        <w:rPr>
          <w:rFonts w:ascii="Microsoft YaHei" w:hAnsi="Microsoft YaHei" w:eastAsia="Microsoft YaHei"/>
          <w:color w:val="2F292C"/>
          <w:sz w:val="21"/>
        </w:rPr>
        <w:t>暂时不能。代码已经上传 GitHub，但公网服务器和邮件服务尚未完成配置。</w:t>
      </w:r>
    </w:p>
    <w:p>
      <w:pPr>
        <w:pStyle w:val="Heading2"/>
        <w:keepNext/>
        <w:spacing w:before="140" w:after="40"/>
      </w:pPr>
      <w:r>
        <w:t>使用建议</w:t>
      </w:r>
    </w:p>
    <w:p>
      <w:pPr>
        <w:spacing w:after="140" w:line="283" w:lineRule="auto"/>
      </w:pPr>
      <w:r>
        <w:rPr>
          <w:rFonts w:ascii="Microsoft YaHei" w:hAnsi="Microsoft YaHei" w:eastAsia="Microsoft YaHei"/>
          <w:color w:val="2F292C"/>
          <w:sz w:val="21"/>
        </w:rPr>
        <w:t>第一次实际邀请前，创建者应先使用两个虚构测试账号完成一次全流程，确认邮件、授权预览、报告内容和撤回行为符合预期。正式使用时，不在聊天或公开页面索要密码、验证码或未授权敏感资料。</w:t>
      </w:r>
    </w:p>
    <w:sectPr w:rsidR="00FC693F" w:rsidRPr="0006063C" w:rsidSect="00034616">
      <w:footerReference w:type="default" r:id="rId9"/>
      <w:pgSz w:w="11906" w:h="16838"/>
      <w:pgMar w:top="1219" w:right="1276" w:bottom="1020" w:left="1276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6F666A"/>
        <w:sz w:val="17"/>
      </w:rPr>
      <w:t xml:space="preserve">同频 Compass 产品说明书  |  </w:t>
    </w:r>
    <w:r>
      <w:rPr>
        <w:rFonts w:ascii="Microsoft YaHei" w:hAnsi="Microsoft YaHei" w:eastAsia="Microsoft YaHei"/>
        <w:color w:val="6F666A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140"/>
    </w:pPr>
    <w:rPr>
      <w:rFonts w:ascii="Microsoft YaHei" w:hAnsi="Microsoft YaHei" w:eastAsia="Microsoft YaHei"/>
      <w:color w:val="2F292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同频 Compass 产品说明书</dc:title>
  <dc:subject>创建背景 创建想法 使用逻辑 使用方法 数据隐私与上线说明</dc:subject>
  <dc:creator>同频 Compass 项目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