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60" w:lineRule="auto"/>
        <w:jc w:val="center"/>
      </w:pPr>
      <w:r>
        <w:rPr>
          <w:rFonts w:ascii="Times New Roman" w:hAnsi="Times New Roman" w:eastAsia="黑体" w:cs="Times New Roman"/>
          <w:b/>
          <w:color w:val="1A365D"/>
          <w:sz w:val="28"/>
        </w:rPr>
        <w:t>乐山师范学院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黑体" w:cs="Times New Roman"/>
          <w:b w:val="0"/>
          <w:sz w:val="24"/>
        </w:rPr>
        <w:t>「数智乐师」2026 年教职工「融合创新+」AIGC 大赛</w:t>
      </w:r>
    </w:p>
    <w:p>
      <w:pPr>
        <w:pStyle w:val="Subtitle"/>
        <w:spacing w:after="80" w:before="160" w:line="360" w:lineRule="auto"/>
        <w:ind w:firstLine="0"/>
        <w:jc w:val="center"/>
      </w:pPr>
      <w:r>
        <w:rPr>
          <w:rFonts w:ascii="Calibri" w:hAnsi="Calibri" w:eastAsia="黑体" w:cs="Calibri"/>
          <w:b/>
          <w:color w:val="1A365D"/>
          <w:sz w:val="32"/>
        </w:rPr>
        <w:t>赛道 4 作品方案</w:t>
      </w:r>
    </w:p>
    <w:p>
      <w:pPr>
        <w:pStyle w:val="Title"/>
        <w:spacing w:after="120" w:before="120" w:line="360" w:lineRule="auto"/>
        <w:ind w:firstLine="0"/>
        <w:jc w:val="center"/>
      </w:pPr>
      <w:r>
        <w:rPr>
          <w:rFonts w:ascii="Calibri" w:hAnsi="Calibri" w:eastAsia="黑体" w:cs="Calibri"/>
          <w:b/>
          <w:color w:val="1A365D"/>
          <w:sz w:val="44"/>
        </w:rPr>
        <w:t>乐师对外教学助手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黑体" w:cs="Times New Roman"/>
          <w:b w:val="0"/>
          <w:sz w:val="28"/>
        </w:rPr>
        <w:t>校本术语锁定 · 人机协同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A5568"/>
          <w:sz w:val="22"/>
        </w:rPr>
        <w:t>v2（按 2026-06-12 通知收口）　撰写日期 2026-08-13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作品名称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乐师对外教学助手（校本术语锁定）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赛道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赛道 4：AI 辅助编程与智能体开发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主题（通知原文）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融合创新+，智绘乐师新征程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载体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浏览器打开的网页（本地 Flask，无需安装）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截稿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 年 9 月 30 日，由所在分工会代投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本版相对原稿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由「多语言翻译软件」收口为可在 48 天内完成的助手</w:t>
            </w:r>
          </w:p>
        </w:tc>
      </w:tr>
    </w:tbl>
    <w:p>
      <w:pPr>
        <w:spacing w:after="120"/>
      </w:pP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写在前面：给参赛老师的三句话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做乐师自己的对外教学助手，不要做第四个翻译网站。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通知没有「落地价值 25%」这一档；那 25% 是思政价值与主题契合。党政文件、语音视频、四语全互译、小程序/桌面端，本版全部移出参赛范围。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赛道 4 必须留下「AI 帮写代码、老师改过」的截图。只在软件里调用翻译模型，不够。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本文件替代原稿《多语言翻译软件作品完整规划》。原稿方向可用（校本词库），但按产品路线图来写，且评分项与 2026 年 6 月 12 日通知不一致。本版按通知收口，保证 9 月 30 日前能交出可运行、可演示、材料齐全的作品。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一、对齐通知（以原文为准）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比赛名称：「数智乐师」2026 年教职工「融合创新+」AIGC 大赛。参加对象为校工会会员，个人或组队均可。比赛周期 2026 年 5–9 月；6 月动员，9 月由各分工会收件（每会不少于 5 件），9 月 30 日截稿；10 月中旬专家评审，10 月下旬公示。个人不得直投，材料不全视为无效。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赛道 4 官方示例偏「助手」而非「网站」：智慧教学类含学科教学智能体、师范生技能训练助手、虚拟问答；管理服务类含咨询助手、会议纪要、导航与可视化。本作品对标「对外教学助手 + 行政效能工具」，不自称通用翻译软件。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赛道 4 硬性要求：必须体现 AIGC 辅助编程（代码生成、界面生成、素材生成、逻辑辅助等）；作品可独立运行或提供可复现环境；演示视频 MP4、1080P、30 秒–3 分钟。AI 生成部分不超过作品总量 60%，须标注工具、使用场景与人工修改占比。创作过程体现「人主导、AI 辅助」。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官方四项评分与原稿对照如下。按错的表去堆功能，会拿不到思政那 25 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原稿写法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通知原文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本版对策</w:t>
            </w:r>
          </w:p>
        </w:tc>
      </w:tr>
      <w:tr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落地实用价值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思政价值与主题契合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25%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演示用留学生教案 / 校园简介，点题「讲好乐师故事」；不用党政文件。</w:t>
            </w:r>
          </w:p>
        </w:tc>
      </w:tr>
      <w:tr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创意独特性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创意独特性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25%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视频前 20 秒必须出现「通用译文 vs 校本锁词」对照。</w:t>
            </w:r>
          </w:p>
        </w:tc>
      </w:tr>
      <w:tr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技术融合度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应用能力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30%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两条线都要有：① 用 AIGC 写代码/界面 ② 运行时的助手四步。</w:t>
            </w:r>
          </w:p>
        </w:tc>
      </w:tr>
      <w:tr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作品呈现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艺术/技术表现力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20%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一个好看的单页：对照布局、黄标可点、乐师配色。材料齐不等于这项分。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通知还将评价框架挂在校内「一核两促三维四阶」标准上。请向分工会或教师发展中心要一页说明，在《创作过程文档》里用四句话对上。本批材料未附该标准正文。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二、作品一句话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面向乐师教职工的对外教学助手：粘贴或上传一页留学生教案、校园简介，识别文体后加载校本术语表，专名锁定，左右对照，人确认黄标词，导出中英对照 PDF。通用翻译引擎会把「沫若」「嘉阳小火车」、校本课程名译飘；本助手用老师审定的译法锁死，用来讲好乐师故事，而不是再做一个翻译网站。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三、做与不做</w:t>
      </w:r>
    </w:p>
    <w:p>
      <w:pPr>
        <w:pStyle w:val="Heading2"/>
        <w:spacing w:before="240" w:after="12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28"/>
        </w:rPr>
        <w:t>（一）本届只做这些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为什么留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网页单页 + 本地可启动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评委解压即开；通知允许网页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 API Key 也能看的对照演示包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 月专家评审不一定配环境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中英为主；日、法各展示 5 条审定词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证明多语种词库，不承诺全互译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80–150 条老师审定的校本术语表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作品灵魂，也是「人主导」证据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术语优先 + 锁词 + 黄标确认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智能体最小形态，打赢通用翻译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一页 Word 导入、一页中英 PDF 导出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够拍 2 分钟视频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编码/界面的提示词与前后截图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满足「必须体现 AIGC 辅助编程」</w:t>
            </w:r>
          </w:p>
        </w:tc>
      </w:tr>
    </w:tbl>
    <w:p>
      <w:pPr>
        <w:spacing w:after="120"/>
      </w:pPr>
    </w:p>
    <w:p>
      <w:pPr>
        <w:pStyle w:val="Heading2"/>
        <w:spacing w:before="240" w:after="12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28"/>
        </w:rPr>
        <w:t>（二）明确移出本届范围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不做</w:t>
            </w:r>
          </w:p>
        </w:tc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语音输入、音视频翻译 API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赛道 4 不加分，48 天做不完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微信小程序、桌面端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通知允许，时间不允许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中英日法全量互译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演示散，词库质量控不住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完整翻译历史/用户系统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CRUD 不在评分项里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党政文件、外事公函作演示语料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通知禁止涉及政治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学生众包上千条词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错译、抄袭、版权都管不住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 Midjourney 配图充当 AI 融合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赛道要的是辅助编程，不是配图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开放式「一键生成宣传稿」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易编造；改成 1 个乐师故事模板即可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术语表分三包，先 80 条、上限约 150 条，宁少勿滥。学生可以初录，必须由参赛老师审定。不要在思维图上标「已完成」——结构可写「已定」，完成留给真正审过的词条。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术语包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收什么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服务哪条叙事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师范/教学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校本课程名、学院名、教法术语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对外教案不被译飘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乐山文旅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乐山大佛、沫若、嘉阳小火车等审定译法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讲好乐师与乐山故事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校名职务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学校全称、学院、常见职务与抬头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不用党政文件作语料</w:t>
            </w:r>
          </w:p>
        </w:tc>
      </w:tr>
    </w:tbl>
    <w:p>
      <w:pPr>
        <w:spacing w:after="120"/>
      </w:pP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四、核心机制：术语优先（这就是作品）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原稿问「自己录入的译文能否优先使用」。能，而且必须作为演示核心。运行时三级覆盖：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精确命中（乐山大佛、沫若、课程名、学院名）：强制采用，后续润色不得改写。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近似句：界面标黄，人点一次确认或改译。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其余句子：调用翻译接口，再用大模型润色；提示词必须附带已锁定术语表。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「一键对外双语短稿」可以做，但收成固定模板：景点或课程名 + 三条老师审定的事实句 + 锁词译法 → 一页中英 PDF。不要开放主题生成，以免编造，也避免文化符号不规范。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五、智能体四步（对齐赛道 4，不上复杂框架）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程序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人</w:t>
            </w:r>
          </w:p>
        </w:tc>
        <w:tc>
          <w:tcPr>
            <w:tcW w:type="dxa" w:w="223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对应通知</w:t>
            </w:r>
          </w:p>
        </w:tc>
      </w:tr>
      <w:tr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1. 分流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按文本判断：教案 / 校园简介 / 文旅短句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选错了可手改类型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智能体路由</w:t>
            </w:r>
          </w:p>
        </w:tc>
      </w:tr>
      <w:tr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2. 装载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只加载对应术语包，不把全部词塞进提示词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维护三包词并署名审定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人主导数据</w:t>
            </w:r>
          </w:p>
        </w:tc>
      </w:tr>
      <w:tr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3. 锁定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精确命中强制采用；近似句标黄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点确认或改译</w:t>
            </w:r>
          </w:p>
        </w:tc>
        <w:tc>
          <w:tcPr>
            <w:tcW w:type="dxa" w:w="223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人机协同、AI 伦理</w:t>
            </w:r>
          </w:p>
        </w:tc>
      </w:tr>
      <w:tr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4. 交付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左右对照 + 导出一页 PDF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拍进演示视频</w:t>
            </w:r>
          </w:p>
        </w:tc>
        <w:tc>
          <w:tcPr>
            <w:tcW w:type="dxa" w:w="223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技术表现力</w:t>
            </w:r>
          </w:p>
        </w:tc>
      </w:tr>
    </w:tbl>
    <w:p>
      <w:pPr>
        <w:spacing w:after="120"/>
      </w:pP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六、人机分工（AI 不超过 60%）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60% 是上限，不是目标。不要并列罗列 GPT、豆包、CodeLlama、Midjourney。建议固定：1 个编码助手（写页面和接口初稿）+ 1 个润色模型（运行时）。两条线必须分开写进过程文档：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线 A（赛道强制）：怎么用 AIGC 把程序做出来——代码生成、界面生成、逻辑辅助，以及老师改过哪些。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线 B（产品能力）：程序运行时如何分流、锁词、润色。调用翻译模型不等于满足线 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谁主导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怎么举证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整体需求与范围冻结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人工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决定做/不做，对评分项负责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校本术语表（80–150 条）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人工审定（可让学生初录）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每条注明来源与审定人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锁词 / 黄标 / 对照页逻辑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出初稿，人工改到能演示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这是「辅助编程」的核心证据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页面骨架与样式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生成初稿，人工改成对照布局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留前后截图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调用翻译 API 的样板代码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生成，人工接上锁词层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不可直接粘贴上交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译文润色提示词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人工定稿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必须带「已锁定术语表，禁止改写」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 Key 演示数据包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人工准备 1 段教案对照结果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保证十月能看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过程文档、视频、承诺书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人工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按附件模板，手写签字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润色提示词定稿示例：「你是乐山师范学院对外文稿润色助手。必须逐字保留下列锁定术语的译文，不得改写或替换：{锁定表}。只润色未锁定部分，语体符合对外教学/校园简介。不得新增事实，不得改写人名、地名、课程名。」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七、技术选型（轻、可复现）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前端：单页 HTML/Vue，浏览器打开。不做小程序、不做桌面端。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后端：Python Flask，本地启动。运行说明控制在「解压、启动、打开浏览器」三步。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术语表：一份 JSON（可从 Excel 导入一次）。网页提供增删改，方便演示时加一条词立刻生效。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翻译底座：成熟翻译 API 可插拔；必须同时做无 Key 演示包（预置对照结果），避免专家电脑没有密钥。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导出：python-docx / 简单 PDF，只保证一页中英对照，不追求排版系统。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八、两分钟视频只拍这一条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打开网页 → 粘贴含「乐山大佛 / 沫若 / 某门校本课程名」的短教案或校园简介 → 先看通用译文错在哪 → 助手锁对专名、黄标点确认 → 导出双语 PDF。旁白点题：讲好乐师故事，服务对外教学，而不是「我们做了翻译软件」。不要再切外事公文、红色研学第二条线。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九、工期（自 2026-08-13 起，约 48 天）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窗口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只做这些</w:t>
            </w:r>
          </w:p>
        </w:tc>
        <w:tc>
          <w:tcPr>
            <w:tcW w:type="dxa" w:w="2986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完成标准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8.13–8.20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向分工会要附件 1/2/3 模板；冻结本方案范围；老师审定不少于 80 条词；单页跑通对照；准备无 Key 演示数据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同一段文本至少 5 处专名被纠正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8.21–9.05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黄标确认；一页 Word 进、一页 PDF 出；乐师配色；开始留编码过程截图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老师本人能不看稿点完一遍</w:t>
            </w:r>
          </w:p>
        </w:tc>
      </w:tr>
      <w:tr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9.06–9.18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录 2 分钟视频（只拍一条路径）；按模板填《创作过程文档》《创作步骤与关键截图》；写清各模块 AI/人工占比</w:t>
            </w:r>
          </w:p>
        </w:tc>
        <w:tc>
          <w:tcPr>
            <w:tcW w:type="dxa" w:w="2986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视频出现对照页；文档能指认人改了哪段代码、哪条词</w:t>
            </w:r>
          </w:p>
        </w:tc>
      </w:tr>
      <w:tr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9.19–9.28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运行说明写成「解压 → 启动 → 浏览器打开」；承诺书手写扫描；按文件夹规则交给本分工会，不要个人直投邮箱</w:t>
            </w:r>
          </w:p>
        </w:tc>
        <w:tc>
          <w:tcPr>
            <w:tcW w:type="dxa" w:w="2986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换一台电脑能跑或能看演示包；三件套不少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10 月中旬专家评审，现场不一定运行程序。视频是主战场；程序侧至少保证：按说明能启动，或无网也能打开对照演示。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十、提交材料（缺一不可）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4479"/>
            <w:shd w:fill="1A365D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/>
            <w:r>
              <w:rPr>
                <w:rFonts w:ascii="Calibri" w:hAnsi="Calibri" w:eastAsia="黑体" w:cs="Calibri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成品程序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源码、工程文件、术语表、素材、运行说明；建议附无 Key 演示包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演示视频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MP4，1080P，30 秒–3 分钟（本方案按约 2 分钟）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《创作过程文档》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PDF。创意思路、工具列表、提示词、各模块 AI/人工占比、迭代记录。用附件 1 模板。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《创作步骤与关键截图》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PDF。代码前后对比、锁词界面、对照页、术语表。用附件 2 模板。</w:t>
            </w:r>
          </w:p>
        </w:tc>
      </w:tr>
      <w:tr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《参赛承诺书》</w:t>
            </w:r>
          </w:p>
        </w:tc>
        <w:tc>
          <w:tcPr>
            <w:tcW w:type="dxa" w:w="4479"/>
            <w:shd w:fill="F7FAFC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手写签字后扫描为 PDF 或图片。用附件 3 模板。</w:t>
            </w:r>
          </w:p>
        </w:tc>
      </w:tr>
      <w:tr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封装</w:t>
            </w:r>
          </w:p>
        </w:tc>
        <w:tc>
          <w:tcPr>
            <w:tcW w:type="dxa" w:w="4479"/>
            <w:shd w:fill="FFFFFF" w:val="clea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 个 ZIP。交给本分工会。邮件目录：分工会名称——赛道分类——作品名称+姓名+学院/部门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本目录目前只有比赛通知，没有附件 1/2/3 模板。请立即向本分工会索取《创作过程文档》《创作步骤与关键截图》《参赛承诺书》模板，按模板填，不要自拟封面。投稿邮箱由分工会统一发送（通知载明联系人陈佳）。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十一、合规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内容符合法律法规与社会主义核心价值观；不演示党政文件、不涉及通知所禁的政治/色情/暴力等信息。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术语表原创整理并审定，不整段复制景区官网或第三方词库。红色研学如需使用，只用学校已公开表述并经老师审定。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AI 生成代码与配图全部经过人工修改，过程文档标注工具名称、使用场景、人工修改占比。</w:t>
      </w:r>
    </w:p>
    <w:p>
      <w:pPr>
        <w:spacing w:after="80" w:line="360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著作权归创作者；学校享有非商业性教学、宣传使用权。不涉及商用。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十二、思维图怎么改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原稿思维图「主词库」两支都标已完成，且含语音视频 API、党政文件、Excel 与网页双录入。请改成三包术语表（师范 / 文旅 / 校名职务），状态用「已定结构 / 审定中」。录入只保留网页；Excel 可作为一次性导入，不写进参赛范围。音视频、党政文件从竞赛范围删除。</w:t>
      </w:r>
    </w:p>
    <w:p>
      <w:pPr>
        <w:pStyle w:val="Heading1"/>
        <w:spacing w:before="320" w:after="160" w:line="360" w:lineRule="auto"/>
        <w:ind w:firstLine="0"/>
      </w:pPr>
      <w:r>
        <w:rPr>
          <w:rFonts w:ascii="Calibri" w:hAnsi="Calibri" w:eastAsia="黑体" w:cs="Calibri"/>
          <w:b/>
          <w:color w:val="1A365D"/>
          <w:sz w:val="32"/>
        </w:rPr>
        <w:t>附录：对照演示可用的短文本（示例）</w:t>
      </w:r>
    </w:p>
    <w:p>
      <w:pPr>
        <w:spacing w:after="160" w:before="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可把下面这段作为默认演示稿（老师可改成自己学院的真实课名）：「本课结合乐山师范学院校本课程《沫若与乐山文化》，组织留学生参观乐山大佛，并了解嘉阳小火车所承载的工业遗产。课后请用英文简述本次研学重点。」通用引擎常见问题：沫若被拆成普通词、嘉阳小火车译成普通 train、课程名被意译。助手应锁成审定译法，并在对照页标出 3–5 处差异。</w:t>
      </w:r>
    </w:p>
    <w:p>
      <w:pPr>
        <w:spacing w:after="160" w:before="0" w:line="360" w:lineRule="auto"/>
      </w:pPr>
      <w:r>
        <w:rPr>
          <w:rFonts w:ascii="Times New Roman" w:hAnsi="Times New Roman" w:eastAsia="宋体" w:cs="Times New Roman"/>
          <w:b w:val="0"/>
          <w:color w:val="718096"/>
          <w:sz w:val="21"/>
        </w:rPr>
        <w:t>（完）依据：乐山师范学院《关于举办「数智乐师」2026 年教职工「融合创新+」AIGC 大赛的通知》（2026 年 6 月 12 日）。本方案不替代附件模板。</w:t>
      </w:r>
    </w:p>
    <w:sectPr w:rsidR="00FC693F" w:rsidRPr="0006063C" w:rsidSect="00034616">
      <w:head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1A365D"/>
      </w:pBdr>
    </w:pPr>
    <w:r>
      <w:rPr>
        <w:rFonts w:ascii="Times New Roman" w:hAnsi="Times New Roman" w:eastAsia="宋体" w:cs="Times New Roman"/>
        <w:color w:val="1A365D"/>
        <w:sz w:val="20"/>
      </w:rPr>
      <w:t>乐师对外教学助手 · 赛道4参赛方案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乐师对外教学助手 · 赛道4参赛方案</dc:title>
  <dc:subject>「数智乐师」2026年教职工「融合创新+」AIGC大赛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