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97D"/>
          <w:sz w:val="44"/>
        </w:rPr>
        <w:t>独立站各推广渠道考核方案</w:t>
      </w:r>
    </w:p>
    <w:p>
      <w:pPr>
        <w:jc w:val="center"/>
      </w:pPr>
      <w:r>
        <w:rPr>
          <w:color w:val="707070"/>
          <w:sz w:val="20"/>
        </w:rPr>
        <w:t>制定部门：市场营销部　　文件版本：V1.0　　制定日期：2026年4月16日</w:t>
      </w:r>
    </w:p>
    <w:p/>
    <w:p>
      <w:pPr>
        <w:pStyle w:val="Heading1"/>
      </w:pPr>
      <w:r>
        <w:t>一、方案概述</w:t>
      </w:r>
    </w:p>
    <w:p>
      <w:r>
        <w:t>本方案旨在建立科学、量化的独立站多渠道推广考核体系，覆盖 SEO、SEM/Google Ads、社交媒体广告（Facebook/Instagram/TikTok）、KOL/网红营销、EDM 邮件营销及联盟营销六大渠道，通过统一的 KPI 框架与分级奖惩机制，提升整体 ROI，支撑独立站年度 GMV 目标达成。</w:t>
      </w:r>
    </w:p>
    <w:p>
      <w:pPr>
        <w:pStyle w:val="Heading1"/>
      </w:pPr>
      <w:r>
        <w:t>二、考核指标总览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核心 KPI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权重占比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目标基准</w:t>
            </w:r>
          </w:p>
        </w:tc>
      </w:tr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SEO 自然搜索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自然流量 / 关键词排名 / 转化率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20%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月均自然访客 ≥ 5 万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SEM / Google Ads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ROAS / CPC / CTR / 转化成本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25%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ROAS ≥ 3.5</w:t>
            </w:r>
          </w:p>
        </w:tc>
      </w:tr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社交媒体广告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CPM / CPC / CTR / 购买转化率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20%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CTR ≥ 1.5%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KOL / 网红营销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曝光量 / 互动率 / 带货 GMV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15%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单次合作 ROI ≥ 2</w:t>
            </w:r>
          </w:p>
        </w:tc>
      </w:tr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EDM 邮件营销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打开率 / 点击率 / 营收贡献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10%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打开率 ≥ 22%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联盟营销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订单量 / 联盟佣金率 / 新客占比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10%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月新增联盟订单 ≥ 300</w:t>
            </w:r>
          </w:p>
        </w:tc>
      </w:tr>
    </w:tbl>
    <w:p/>
    <w:p>
      <w:pPr>
        <w:pStyle w:val="Heading1"/>
      </w:pPr>
      <w:r>
        <w:t>三、各渠道详细考核方案</w:t>
      </w:r>
    </w:p>
    <w:p>
      <w:pPr>
        <w:pStyle w:val="Heading2"/>
      </w:pPr>
      <w:r>
        <w:t>3.1 SEO 自然搜索</w:t>
      </w:r>
    </w:p>
    <w:p>
      <w:r>
        <w:t>SEO 考核分为流量、排名与转化三个维度，每月对比上月数据，并以季度为周期进行综合复盘。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考核指标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计算方式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达成奖励</w:t>
            </w:r>
          </w:p>
        </w:tc>
      </w:tr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自然搜索访客数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月度 GA 数据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≥ 50,000 UV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达标奖金 ×1.0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核心关键词 Top3 数量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每月 SEMrush 导出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≥ 20 个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每增加 5 个 +5%</w:t>
            </w:r>
          </w:p>
        </w:tc>
      </w:tr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自然流量转化率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GA 目标转化 / 自然会话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≥ 2.5%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超出 0.5% 加权 +10%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页面平均加载速度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PageSpeed Insights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≤ 2.5s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未达标扣 5%</w:t>
            </w:r>
          </w:p>
        </w:tc>
      </w:tr>
    </w:tbl>
    <w:p/>
    <w:p>
      <w:pPr>
        <w:pStyle w:val="Heading2"/>
      </w:pPr>
      <w:r>
        <w:t>3.2 SEM / Google Ads</w:t>
      </w:r>
    </w:p>
    <w:p>
      <w:r>
        <w:t>Google Ads 以 ROAS 为核心考核指标，辅以 CPC、CTR 和转化成本，月度结算，季度绩效系数核定。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考核指标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计算方式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达成奖励</w:t>
            </w:r>
          </w:p>
        </w:tc>
      </w:tr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ROAS（广告回报率）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广告带来营收 / 广告花费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≥ 3.5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超出 0.5 加权 +8%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CPC（每次点击成本）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总花费 / 总点击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≤ $0.80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低于目标 10% +5%</w:t>
            </w:r>
          </w:p>
        </w:tc>
      </w:tr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CTR（点击率）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点击 / 展示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≥ 5%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超出 1% 加权 +5%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CPA（每次转化成本）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总花费 / 转化数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≤ $18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低于目标 20% +10%</w:t>
            </w:r>
          </w:p>
        </w:tc>
      </w:tr>
    </w:tbl>
    <w:p/>
    <w:p>
      <w:pPr>
        <w:pStyle w:val="Heading2"/>
      </w:pPr>
      <w:r>
        <w:t>3.3 社交媒体广告（Facebook / Instagram / TikTok）</w:t>
      </w:r>
    </w:p>
    <w:p>
      <w:r>
        <w:t>社交媒体广告按平台分别设置考核基准，统一上报汇总后计算综合得分。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CPM 目标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CTR 目标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购买转化率目标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ROAS 目标</w:t>
            </w:r>
          </w:p>
        </w:tc>
      </w:tr>
      <w:tr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Facebook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≤ $8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≥ 1.5%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≥ 2.0%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≥ 3.0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Instagram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≤ $9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≥ 1.2%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≥ 1.8%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≥ 2.8</w:t>
            </w:r>
          </w:p>
        </w:tc>
      </w:tr>
      <w:tr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TikTok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≤ $6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≥ 2.0%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≥ 1.5%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≥ 2.5</w:t>
            </w:r>
          </w:p>
        </w:tc>
      </w:tr>
    </w:tbl>
    <w:p/>
    <w:p>
      <w:pPr>
        <w:pStyle w:val="Heading2"/>
      </w:pPr>
      <w:r>
        <w:t>3.4 KOL / 网红营销</w:t>
      </w:r>
    </w:p>
    <w:p>
      <w:r>
        <w:t>KOL 合作采用"保底 + 佣金"模式，考核以单次合作 ROI 和品牌曝光为主。</w:t>
      </w:r>
    </w:p>
    <w:p>
      <w:pPr>
        <w:pStyle w:val="ListBullet"/>
      </w:pPr>
      <w:r>
        <w:rPr>
          <w:sz w:val="20"/>
        </w:rPr>
        <w:t>曝光量（Impression）：单次合作 ≥ 50 万次</w:t>
      </w:r>
    </w:p>
    <w:p>
      <w:pPr>
        <w:pStyle w:val="ListBullet"/>
      </w:pPr>
      <w:r>
        <w:rPr>
          <w:sz w:val="20"/>
        </w:rPr>
        <w:t>互动率（Engagement Rate）：≥ 3%（点赞 + 评论 + 分享 / 粉丝数）</w:t>
      </w:r>
    </w:p>
    <w:p>
      <w:pPr>
        <w:pStyle w:val="ListBullet"/>
      </w:pPr>
      <w:r>
        <w:rPr>
          <w:sz w:val="20"/>
        </w:rPr>
        <w:t>带货 GMV：单次合作 ≥ $5,000</w:t>
      </w:r>
    </w:p>
    <w:p>
      <w:pPr>
        <w:pStyle w:val="ListBullet"/>
      </w:pPr>
      <w:r>
        <w:rPr>
          <w:sz w:val="20"/>
        </w:rPr>
        <w:t>ROI：带货 GMV / 总合作费用 ≥ 2.0</w:t>
      </w:r>
    </w:p>
    <w:p>
      <w:pPr>
        <w:pStyle w:val="ListBullet"/>
      </w:pPr>
      <w:r>
        <w:rPr>
          <w:sz w:val="20"/>
        </w:rPr>
        <w:t>新客占比：通过 KOL 链接引流的新客 ≥ 60%</w:t>
      </w:r>
    </w:p>
    <w:p/>
    <w:p>
      <w:pPr>
        <w:pStyle w:val="Heading2"/>
      </w:pPr>
      <w:r>
        <w:t>3.5 EDM 邮件营销</w:t>
      </w:r>
    </w:p>
    <w:p>
      <w:r>
        <w:t>EDM 按月度发送效果及营收贡献进行双维度考核，重点优化列表质量与内容转化。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考核指标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邮件打开率</w:t>
            </w:r>
          </w:p>
        </w:tc>
        <w:tc>
          <w:tcPr>
            <w:tcW w:type="dxa" w:w="3024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≥ 22%</w:t>
            </w:r>
          </w:p>
        </w:tc>
        <w:tc>
          <w:tcPr>
            <w:tcW w:type="dxa" w:w="3024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行业均值约 18%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点击率 (CTR)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≥ 3.5%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点击 / 发送总量</w:t>
            </w:r>
          </w:p>
        </w:tc>
      </w:tr>
      <w:tr>
        <w:tc>
          <w:tcPr>
            <w:tcW w:type="dxa" w:w="3024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退订率</w:t>
            </w:r>
          </w:p>
        </w:tc>
        <w:tc>
          <w:tcPr>
            <w:tcW w:type="dxa" w:w="3024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≤ 0.3%</w:t>
            </w:r>
          </w:p>
        </w:tc>
        <w:tc>
          <w:tcPr>
            <w:tcW w:type="dxa" w:w="3024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超出扣除当月绩效系数 0.1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邮件带来营收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≥ $15,000/月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通过 UTM 追踪</w:t>
            </w:r>
          </w:p>
        </w:tc>
      </w:tr>
      <w:tr>
        <w:tc>
          <w:tcPr>
            <w:tcW w:type="dxa" w:w="3024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列表增长率</w:t>
            </w:r>
          </w:p>
        </w:tc>
        <w:tc>
          <w:tcPr>
            <w:tcW w:type="dxa" w:w="3024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≥ 5%/月</w:t>
            </w:r>
          </w:p>
        </w:tc>
        <w:tc>
          <w:tcPr>
            <w:tcW w:type="dxa" w:w="3024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净增有效订阅人数</w:t>
            </w:r>
          </w:p>
        </w:tc>
      </w:tr>
    </w:tbl>
    <w:p/>
    <w:p>
      <w:pPr>
        <w:pStyle w:val="Heading2"/>
      </w:pPr>
      <w:r>
        <w:t>3.6 联盟营销（Affiliate Marketing）</w:t>
      </w:r>
    </w:p>
    <w:p>
      <w:r>
        <w:t>联盟营销通过第三方联盟平台管理，以订单量、GMV 及联盟健康度为考核维度。</w:t>
      </w:r>
    </w:p>
    <w:p>
      <w:pPr>
        <w:pStyle w:val="ListBullet"/>
      </w:pPr>
      <w:r>
        <w:rPr>
          <w:sz w:val="20"/>
        </w:rPr>
        <w:t>月联盟订单量：≥ 300 单</w:t>
      </w:r>
    </w:p>
    <w:p>
      <w:pPr>
        <w:pStyle w:val="ListBullet"/>
      </w:pPr>
      <w:r>
        <w:rPr>
          <w:sz w:val="20"/>
        </w:rPr>
        <w:t>联盟 GMV：≥ $30,000 / 月</w:t>
      </w:r>
    </w:p>
    <w:p>
      <w:pPr>
        <w:pStyle w:val="ListBullet"/>
      </w:pPr>
      <w:r>
        <w:rPr>
          <w:sz w:val="20"/>
        </w:rPr>
        <w:t>新客占比：≥ 70%</w:t>
      </w:r>
    </w:p>
    <w:p>
      <w:pPr>
        <w:pStyle w:val="ListBullet"/>
      </w:pPr>
      <w:r>
        <w:rPr>
          <w:sz w:val="20"/>
        </w:rPr>
        <w:t>联盟商数量（活跃）：≥ 50 个</w:t>
      </w:r>
    </w:p>
    <w:p>
      <w:pPr>
        <w:pStyle w:val="ListBullet"/>
      </w:pPr>
      <w:r>
        <w:rPr>
          <w:sz w:val="20"/>
        </w:rPr>
        <w:t>平均佣金率：控制在 8%–12% 之间</w:t>
      </w:r>
    </w:p>
    <w:p/>
    <w:p>
      <w:pPr>
        <w:pStyle w:val="Heading1"/>
      </w:pPr>
      <w:r>
        <w:t>四、绩效评级与奖惩机制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评级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综合完成率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绩效系数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奖惩说明</w:t>
            </w:r>
          </w:p>
        </w:tc>
      </w:tr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S（卓越）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≥ 120%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×1.3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额外季度奖金 +20%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A（优秀）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100%–119%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×1.1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正常发放 + 优秀激励</w:t>
            </w:r>
          </w:p>
        </w:tc>
      </w:tr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B（良好）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85%–99%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×1.0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正常发放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C（待改进）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70%–84%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×0.85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sz w:val="19"/>
              </w:rPr>
              <w:t>绩效谈话 + 改进计划</w:t>
            </w:r>
          </w:p>
        </w:tc>
      </w:tr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D（不达标）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&lt; 70%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×0.7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sz w:val="19"/>
              </w:rPr>
              <w:t>末位警告 / 绩效辅导</w:t>
            </w:r>
          </w:p>
        </w:tc>
      </w:tr>
    </w:tbl>
    <w:p/>
    <w:p>
      <w:pPr>
        <w:pStyle w:val="Heading1"/>
      </w:pPr>
      <w:r>
        <w:t>五、数据报告与复盘周期</w:t>
      </w:r>
    </w:p>
    <w:p>
      <w:pPr>
        <w:pStyle w:val="ListBullet"/>
      </w:pPr>
      <w:r>
        <w:rPr>
          <w:sz w:val="20"/>
        </w:rPr>
        <w:t>日报：SEM / 社交媒体广告核心指标（花费、转化、ROAS），次日 10:00 前提交。</w:t>
      </w:r>
    </w:p>
    <w:p>
      <w:pPr>
        <w:pStyle w:val="ListBullet"/>
      </w:pPr>
      <w:r>
        <w:rPr>
          <w:sz w:val="20"/>
        </w:rPr>
        <w:t>周报：各渠道数据汇总 + 异常分析，每周一 12:00 前提交。</w:t>
      </w:r>
    </w:p>
    <w:p>
      <w:pPr>
        <w:pStyle w:val="ListBullet"/>
      </w:pPr>
      <w:r>
        <w:rPr>
          <w:sz w:val="20"/>
        </w:rPr>
        <w:t>月报：完整 KPI 达成情况 + 下月优化方向，每月 3 日前提交。</w:t>
      </w:r>
    </w:p>
    <w:p>
      <w:pPr>
        <w:pStyle w:val="ListBullet"/>
      </w:pPr>
      <w:r>
        <w:rPr>
          <w:sz w:val="20"/>
        </w:rPr>
        <w:t>季度复盘：渠道预算重新分配 + 年度目标校准，每季末最后一周完成。</w:t>
      </w:r>
    </w:p>
    <w:p/>
    <w:p>
      <w:pPr>
        <w:pStyle w:val="Heading1"/>
      </w:pPr>
      <w:r>
        <w:t>六、附则</w:t>
      </w:r>
    </w:p>
    <w:p>
      <w:r>
        <w:t>本方案自 2026 年 5 月 1 日起执行，由市场营销部负责解释与修订，如遇市场重大变化（如汇率波动 ≥10%、平台政策调整等），可经管理层审批后临时调整考核基准，调整结果在当月月报中注明。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