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</w:t>
      </w:r>
      <w:r>
        <w:t xml:space="preserve"> </w:t>
      </w:r>
      <w:r>
        <w:t xml:space="preserve">раздел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Безопасность</w:t>
      </w:r>
      <w:r>
        <w:t xml:space="preserve"> </w:t>
      </w:r>
      <w:r>
        <w:t xml:space="preserve">в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Шуплецов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безопасности в сети.</w:t>
      </w:r>
    </w:p>
    <w:bookmarkEnd w:id="20"/>
    <w:bookmarkStart w:id="65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Единственным протоколом прикладного уровня из списка является протокол HTTPS.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3000375"/>
            <wp:effectExtent b="0" l="0" r="0" t="0"/>
            <wp:docPr descr="Figure 1: первое задание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первое задание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Протокол TCP работает на транспортном уровне.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Figure 2: второе задани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второе задание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 8 битах 256 разных значений, но нумерация идет с нуля и как итог, допустимые значения в IP адресе - с 0 до 255.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Figure 3: третье задани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третье задание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Основная задача DNS-сервера - это сопоставить название, то есть доменное имя, с корректным IP-адресом, с тем, где лежит этот сервер, этот сайт.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3000375"/>
            <wp:effectExtent b="0" l="0" r="0" t="0"/>
            <wp:docPr descr="Figure 4: четвертое задани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четвертое задание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Корректная последовательность протоколов в модели TCP/IP: прикладной-транспортный-сетевой-канальный.</w:t>
      </w:r>
    </w:p>
    <w:bookmarkStart w:id="0" w:name="fig:001"/>
    <w:p>
      <w:pPr>
        <w:pStyle w:val="CaptionedFigure"/>
      </w:pPr>
      <w:bookmarkStart w:id="30" w:name="fig:001"/>
      <w:r>
        <w:drawing>
          <wp:inline>
            <wp:extent cx="5334000" cy="3000375"/>
            <wp:effectExtent b="0" l="0" r="0" t="0"/>
            <wp:docPr descr="Figure 5: пятое задани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пятое задание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Протокол http, в отличие от протокола https, предполагает передачу данных между клиентом и сервером в открытом виде.</w:t>
      </w:r>
    </w:p>
    <w:bookmarkStart w:id="0" w:name="fig:001"/>
    <w:p>
      <w:pPr>
        <w:pStyle w:val="CaptionedFigure"/>
      </w:pPr>
      <w:bookmarkStart w:id="32" w:name="fig:001"/>
      <w:r>
        <w:drawing>
          <wp:inline>
            <wp:extent cx="5334000" cy="3000375"/>
            <wp:effectExtent b="0" l="0" r="0" t="0"/>
            <wp:docPr descr="Figure 6: шестое задани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шестое задание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Протокол https состоит из двух фаз: рукопожатия (handshake) и передачи данных.</w:t>
      </w:r>
    </w:p>
    <w:bookmarkStart w:id="0" w:name="fig:001"/>
    <w:p>
      <w:pPr>
        <w:pStyle w:val="CaptionedFigure"/>
      </w:pPr>
      <w:bookmarkStart w:id="34" w:name="fig:001"/>
      <w:r>
        <w:drawing>
          <wp:inline>
            <wp:extent cx="5334000" cy="3000375"/>
            <wp:effectExtent b="0" l="0" r="0" t="0"/>
            <wp:docPr descr="Figure 7: седьмое задани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седьмое задание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Версия протокола TLS определяется и клиентом, и сервером в процессе</w:t>
      </w:r>
      <w:r>
        <w:t xml:space="preserve"> </w:t>
      </w:r>
      <w:r>
        <w:t xml:space="preserve">“</w:t>
      </w:r>
      <w:r>
        <w:t xml:space="preserve">переговоров</w:t>
      </w:r>
      <w:r>
        <w:t xml:space="preserve">”</w:t>
      </w:r>
      <w:r>
        <w:t xml:space="preserve">.</w:t>
      </w:r>
    </w:p>
    <w:bookmarkStart w:id="0" w:name="fig:001"/>
    <w:p>
      <w:pPr>
        <w:pStyle w:val="CaptionedFigure"/>
      </w:pPr>
      <w:bookmarkStart w:id="36" w:name="fig:001"/>
      <w:r>
        <w:drawing>
          <wp:inline>
            <wp:extent cx="5334000" cy="3000375"/>
            <wp:effectExtent b="0" l="0" r="0" t="0"/>
            <wp:docPr descr="Figure 8: восьмое задание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восьмое задание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 фазе рукопожатия не предусмотрено шифрование данных, так как эта фаза является вводной перед защищенной передачей данных.</w:t>
      </w:r>
    </w:p>
    <w:bookmarkStart w:id="0" w:name="fig:001"/>
    <w:p>
      <w:pPr>
        <w:pStyle w:val="CaptionedFigure"/>
      </w:pPr>
      <w:bookmarkStart w:id="38" w:name="fig:001"/>
      <w:r>
        <w:drawing>
          <wp:inline>
            <wp:extent cx="5334000" cy="3000375"/>
            <wp:effectExtent b="0" l="0" r="0" t="0"/>
            <wp:docPr descr="Figure 9: девятое задани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девятое задание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Куки хранят id сессии, идентификатор пользователя, пароль и IP адрес они не хранят.</w:t>
      </w:r>
    </w:p>
    <w:bookmarkStart w:id="0" w:name="fig:001"/>
    <w:p>
      <w:pPr>
        <w:pStyle w:val="CaptionedFigure"/>
      </w:pPr>
      <w:bookmarkStart w:id="40" w:name="fig:001"/>
      <w:r>
        <w:drawing>
          <wp:inline>
            <wp:extent cx="5334000" cy="3000375"/>
            <wp:effectExtent b="0" l="0" r="0" t="0"/>
            <wp:docPr descr="Figure 10: десятое задани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десятое задание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Куки не используются для улучшения надежности соединения, они с соединением пользователя никак не связаны.</w:t>
      </w:r>
    </w:p>
    <w:bookmarkStart w:id="0" w:name="fig:001"/>
    <w:p>
      <w:pPr>
        <w:pStyle w:val="CaptionedFigure"/>
      </w:pPr>
      <w:bookmarkStart w:id="42" w:name="fig:001"/>
      <w:r>
        <w:drawing>
          <wp:inline>
            <wp:extent cx="5334000" cy="3000375"/>
            <wp:effectExtent b="0" l="0" r="0" t="0"/>
            <wp:docPr descr="Figure 11: один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одиннадцатое задание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Куки генерируются сервером для клиента.</w:t>
      </w:r>
    </w:p>
    <w:bookmarkStart w:id="0" w:name="fig:001"/>
    <w:p>
      <w:pPr>
        <w:pStyle w:val="CaptionedFigure"/>
      </w:pPr>
      <w:bookmarkStart w:id="44" w:name="fig:001"/>
      <w:r>
        <w:drawing>
          <wp:inline>
            <wp:extent cx="5334000" cy="3000375"/>
            <wp:effectExtent b="0" l="0" r="0" t="0"/>
            <wp:docPr descr="Figure 12: две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двенадцатое задание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Сессионные куки хранятся в браузере до конца сессии, то есть на время пользования веб-сайтом.</w:t>
      </w:r>
    </w:p>
    <w:bookmarkStart w:id="0" w:name="fig:001"/>
    <w:p>
      <w:pPr>
        <w:pStyle w:val="CaptionedFigure"/>
      </w:pPr>
      <w:bookmarkStart w:id="46" w:name="fig:001"/>
      <w:r>
        <w:drawing>
          <wp:inline>
            <wp:extent cx="5334000" cy="3000375"/>
            <wp:effectExtent b="0" l="0" r="0" t="0"/>
            <wp:docPr descr="Figure 13: три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13: тринадцатое задание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 луковой сети TOR 3 промежуточных узла: охранный, промежуточный и выходной.</w:t>
      </w:r>
    </w:p>
    <w:bookmarkStart w:id="0" w:name="fig:001"/>
    <w:p>
      <w:pPr>
        <w:pStyle w:val="CaptionedFigure"/>
      </w:pPr>
      <w:bookmarkStart w:id="48" w:name="fig:001"/>
      <w:r>
        <w:drawing>
          <wp:inline>
            <wp:extent cx="5334000" cy="3000375"/>
            <wp:effectExtent b="0" l="0" r="0" t="0"/>
            <wp:docPr descr="Figure 14: четыр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14: четырнадцатое задание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В TOR IP-адрес получателя известен лишь отправителю и выходному узлу, это одна из причин почему TOR считается конфиденциальной сетью.</w:t>
      </w:r>
    </w:p>
    <w:bookmarkStart w:id="0" w:name="fig:001"/>
    <w:p>
      <w:pPr>
        <w:pStyle w:val="CaptionedFigure"/>
      </w:pPr>
      <w:bookmarkStart w:id="50" w:name="fig:001"/>
      <w:r>
        <w:drawing>
          <wp:inline>
            <wp:extent cx="5334000" cy="3000375"/>
            <wp:effectExtent b="0" l="0" r="0" t="0"/>
            <wp:docPr descr="Figure 15: пят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15: пятнадцатое задание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Отправитель генерирует общий секретный ключ со всеми тремя узлами: с охранным, с промежуточным, с выходным. Этот процесс делает передачу данных крайне защищенной.</w:t>
      </w:r>
    </w:p>
    <w:bookmarkStart w:id="0" w:name="fig:001"/>
    <w:p>
      <w:pPr>
        <w:pStyle w:val="CaptionedFigure"/>
      </w:pPr>
      <w:bookmarkStart w:id="52" w:name="fig:001"/>
      <w:r>
        <w:drawing>
          <wp:inline>
            <wp:extent cx="5334000" cy="3000375"/>
            <wp:effectExtent b="0" l="0" r="0" t="0"/>
            <wp:docPr descr="Figure 16: шест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16: шестнадцатое задание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Для получения пакетов через луковую маршрутизацию необязательно использовать браузер, основанный на луковой маршрутизации, это обязательно для отправителя пакетов.</w:t>
      </w:r>
    </w:p>
    <w:bookmarkStart w:id="0" w:name="fig:001"/>
    <w:p>
      <w:pPr>
        <w:pStyle w:val="CaptionedFigure"/>
      </w:pPr>
      <w:bookmarkStart w:id="54" w:name="fig:001"/>
      <w:r>
        <w:drawing>
          <wp:inline>
            <wp:extent cx="5334000" cy="3000375"/>
            <wp:effectExtent b="0" l="0" r="0" t="0"/>
            <wp:docPr descr="Figure 17: сем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17: семнадцатое задание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Согласно определению, Wi-Fi - это технология беспроводной локальной сети, работающая в соответствии со стандартом IEEE 802.11.</w:t>
      </w:r>
    </w:p>
    <w:bookmarkStart w:id="0" w:name="fig:001"/>
    <w:p>
      <w:pPr>
        <w:pStyle w:val="CaptionedFigure"/>
      </w:pPr>
      <w:bookmarkStart w:id="56" w:name="fig:001"/>
      <w:r>
        <w:drawing>
          <wp:inline>
            <wp:extent cx="5334000" cy="3000375"/>
            <wp:effectExtent b="0" l="0" r="0" t="0"/>
            <wp:docPr descr="Figure 18: восем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18: восемнадцатое задание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Протокол Wifi работает на самом нижнем, канальном уровне.</w:t>
      </w:r>
    </w:p>
    <w:bookmarkStart w:id="0" w:name="fig:001"/>
    <w:p>
      <w:pPr>
        <w:pStyle w:val="CaptionedFigure"/>
      </w:pPr>
      <w:bookmarkStart w:id="58" w:name="fig:001"/>
      <w:r>
        <w:drawing>
          <wp:inline>
            <wp:extent cx="5334000" cy="3000375"/>
            <wp:effectExtent b="0" l="0" r="0" t="0"/>
            <wp:docPr descr="Figure 19: девят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19: девятнадцатое задание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Небезопасным методом обеспечения шифрования и аутентификации в сети Wifi является WEP, так как он устарел, в частности, потому, что использовал малую длину ключа: так, например, он использовал длину ключа в 40 бит, это довольно мало на сегодняшний день, он может быть легко взломан.</w:t>
      </w:r>
    </w:p>
    <w:bookmarkStart w:id="0" w:name="fig:001"/>
    <w:p>
      <w:pPr>
        <w:pStyle w:val="CaptionedFigure"/>
      </w:pPr>
      <w:bookmarkStart w:id="60" w:name="fig:001"/>
      <w:r>
        <w:drawing>
          <wp:inline>
            <wp:extent cx="5334000" cy="3000375"/>
            <wp:effectExtent b="0" l="0" r="0" t="0"/>
            <wp:docPr descr="Figure 20: дв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20: двадцатое задание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Данные между хостом сети (компьютером или смартфоном) и роутером передаются в зашифрованном виде после аутентификации устройств.</w:t>
      </w:r>
    </w:p>
    <w:bookmarkStart w:id="0" w:name="fig:001"/>
    <w:p>
      <w:pPr>
        <w:pStyle w:val="CaptionedFigure"/>
      </w:pPr>
      <w:bookmarkStart w:id="62" w:name="fig:001"/>
      <w:r>
        <w:drawing>
          <wp:inline>
            <wp:extent cx="5334000" cy="3000375"/>
            <wp:effectExtent b="0" l="0" r="0" t="0"/>
            <wp:docPr descr="Figure 21: двадцать первое задание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21: двадцать первое задание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Для домашней сети для аутентификации обычно используется метод WPA2 Personal, WPA2 Enterprise используется для корпоративных сетей.</w:t>
      </w:r>
    </w:p>
    <w:bookmarkStart w:id="0" w:name="fig:001"/>
    <w:p>
      <w:pPr>
        <w:pStyle w:val="CaptionedFigure"/>
      </w:pPr>
      <w:bookmarkStart w:id="64" w:name="fig:001"/>
      <w:r>
        <w:drawing>
          <wp:inline>
            <wp:extent cx="5334000" cy="3000375"/>
            <wp:effectExtent b="0" l="0" r="0" t="0"/>
            <wp:docPr descr="Figure 22: двадцать второе зада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22: двадцать второе задание</w:t>
      </w:r>
    </w:p>
    <w:bookmarkEnd w:id="0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основы безопасности в сети.</w:t>
      </w:r>
    </w:p>
    <w:bookmarkEnd w:id="66"/>
    <w:bookmarkStart w:id="67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Конспекты к лекциям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  <w:r>
        <w:t xml:space="preserve">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 раздел 1</dc:title>
  <dc:creator>Александр Андреевич Шуплецов</dc:creator>
  <dc:language>ru-RU</dc:language>
  <cp:keywords/>
  <dcterms:created xsi:type="dcterms:W3CDTF">2024-05-05T15:39:07Z</dcterms:created>
  <dcterms:modified xsi:type="dcterms:W3CDTF">2024-05-05T15:39:07Z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Безопасность в сети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