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раздел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Защита</w:t>
      </w:r>
      <w:r>
        <w:t xml:space="preserve"> </w:t>
      </w:r>
      <w:r>
        <w:t xml:space="preserve">ПК/телефона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Шуплецов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защиты данных ПК/телефона.</w:t>
      </w:r>
    </w:p>
    <w:bookmarkEnd w:id="20"/>
    <w:bookmarkStart w:id="51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Загрузочный сектор диска, как и другие сектора диска, можно зашифровать.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Figure 1: первое задани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первое задание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Шифрование диска основано на симметричном шифровании, как правило на алгоритме AES.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2: второе задан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второе задание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VeraCrypt и BitLocker - примеры программ, с помощью которых можно зашифровать жесткий диск.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 3: третье зад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третье задание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К стойким паролям обычно относят пароли, содержащие большие и маленькие буквы алфавита, цифры, специальные символы, не имеющие реальной смысловой нагрузки, выберем такой пароль из списка.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3000375"/>
            <wp:effectExtent b="0" l="0" r="0" t="0"/>
            <wp:docPr descr="Figure 4: четвертое зада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четвертое задание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Менеджеры паролей являются самым безопасным методом хранения паролей.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3000375"/>
            <wp:effectExtent b="0" l="0" r="0" t="0"/>
            <wp:docPr descr="Figure 5: пятое зада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пятое задание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Капча нужна для защиты от автоматизированных атак, направленных на получение несанкционированного доступа, она не используется для замены паролей, защиты кук пользователя, безопасного хранения паролей на сервере.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3000375"/>
            <wp:effectExtent b="0" l="0" r="0" t="0"/>
            <wp:docPr descr="Figure 6: шестое зада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шестое задание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Хэширование паролей нужно для того, чтобы не хранить пароли на сервере в открытом виде, для конфиденциальности паролей пользователей.</w:t>
      </w:r>
    </w:p>
    <w:bookmarkStart w:id="0" w:name="fig:001"/>
    <w:p>
      <w:pPr>
        <w:pStyle w:val="CaptionedFigure"/>
      </w:pPr>
      <w:bookmarkStart w:id="34" w:name="fig:001"/>
      <w:r>
        <w:drawing>
          <wp:inline>
            <wp:extent cx="5334000" cy="3000375"/>
            <wp:effectExtent b="0" l="0" r="0" t="0"/>
            <wp:docPr descr="Figure 7: седьмое зада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седьмое задание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Соль для улучшения стойкости паролей не поможет, если злоумышленник получил доступ к серверу, так как она хранится на сервере.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3000375"/>
            <wp:effectExtent b="0" l="0" r="0" t="0"/>
            <wp:docPr descr="Figure 8: восьмое задани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восьмое задание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Разные пароли на всех сайтах, периодическая смена паролей, сложные пароли, капча защищают от утечек данных атакой перебором.</w:t>
      </w:r>
    </w:p>
    <w:bookmarkStart w:id="0" w:name="fig:001"/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Figure 9: девятое зада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девятое задание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Среди представленных ссылок, ссылка для входа в сбербанк и для входа в яндекс являются фишинговыми, так как не имеют никакого отношения к сбербанку и яндексу соответственно.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3000375"/>
            <wp:effectExtent b="0" l="0" r="0" t="0"/>
            <wp:docPr descr="Figure 10: десятое задан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десятое задание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Фишинговый имейл может прийти от знакомого адреса, этот вид фишинга называется спуфинг.</w:t>
      </w:r>
    </w:p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3000375"/>
            <wp:effectExtent b="0" l="0" r="0" t="0"/>
            <wp:docPr descr="Figure 11: один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одиннадцатое задание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Спуфинг - это подмена адреса отправителя в имейлах, вид фишинга.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3000375"/>
            <wp:effectExtent b="0" l="0" r="0" t="0"/>
            <wp:docPr descr="Figure 12: две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двенадцатое задание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Вирус-троян маскируется под легитимную программу, при этом содержа в себе вредоносное ПО.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3000375"/>
            <wp:effectExtent b="0" l="0" r="0" t="0"/>
            <wp:docPr descr="Figure 13: три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тринадцатое задание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 протоколе мессенджеров Signal ключ шифрования формируется при генерации первого сообщения стороной-отправителем.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3000375"/>
            <wp:effectExtent b="0" l="0" r="0" t="0"/>
            <wp:docPr descr="Figure 14: четыр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четырнадцатое задание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Суть сквозного шифрования состоит в том, что сообщения передаются по узлам связи (серверам) в зашифрованном виде.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3000375"/>
            <wp:effectExtent b="0" l="0" r="0" t="0"/>
            <wp:docPr descr="Figure 15: пя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пятнадцатое задание</w:t>
      </w:r>
    </w:p>
    <w:bookmarkEnd w:id="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основы защиты данных ПК/телефона.</w:t>
      </w:r>
    </w:p>
    <w:bookmarkEnd w:id="52"/>
    <w:bookmarkStart w:id="53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Конспекты к лекциям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раздел 2</dc:title>
  <dc:creator>Александр Андреевич Шуплецов</dc:creator>
  <dc:language>ru-RU</dc:language>
  <cp:keywords/>
  <dcterms:created xsi:type="dcterms:W3CDTF">2024-05-05T16:56:01Z</dcterms:created>
  <dcterms:modified xsi:type="dcterms:W3CDTF">2024-05-05T16:56:01Z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Защита ПК/телефона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