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</w:t>
      </w:r>
      <w:r>
        <w:t xml:space="preserve"> </w:t>
      </w:r>
      <w:r>
        <w:t xml:space="preserve">раздел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Криптография</w:t>
      </w:r>
      <w:r>
        <w:t xml:space="preserve"> </w:t>
      </w:r>
      <w:r>
        <w:t xml:space="preserve">на</w:t>
      </w:r>
      <w:r>
        <w:t xml:space="preserve"> </w:t>
      </w:r>
      <w:r>
        <w:t xml:space="preserve">практике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Шуплецов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криптографии.</w:t>
      </w:r>
    </w:p>
    <w:bookmarkEnd w:id="20"/>
    <w:bookmarkStart w:id="53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numPr>
          <w:ilvl w:val="0"/>
          <w:numId w:val="1001"/>
        </w:numPr>
        <w:pStyle w:val="Compact"/>
      </w:pPr>
      <w:r>
        <w:t xml:space="preserve">В асимметричных криптографических примитивах обе стороны имеют пару ключей - публичный и секретный.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3000375"/>
            <wp:effectExtent b="0" l="0" r="0" t="0"/>
            <wp:docPr descr="Figure 1: первое задание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первое задание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Криптографическая хэш-функция, в отличие от обычной хэш-функции, не обеспечивает конфиденциальность захэшированных данных, но она стойкая к коллизиям, эффективно вычисляется, дает на выходе фиксированное число бит независимо от объема входных данных.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Figure 2: второе задани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второе задание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К алгоритмам цифровой подписи относятся зарубежные RSA и ECDSA, российский ГОСТ Р 34.10-2012.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Figure 3: третье задание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третье задание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Код аутентификации сообщения относится к симметричным примитивам.</w:t>
      </w:r>
    </w:p>
    <w:bookmarkStart w:id="0" w:name="fig:001"/>
    <w:p>
      <w:pPr>
        <w:pStyle w:val="CaptionedFigure"/>
      </w:pPr>
      <w:bookmarkStart w:id="28" w:name="fig:001"/>
      <w:r>
        <w:drawing>
          <wp:inline>
            <wp:extent cx="5334000" cy="3000375"/>
            <wp:effectExtent b="0" l="0" r="0" t="0"/>
            <wp:docPr descr="Figure 4: четвертое задани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четвертое задание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Обмен ключами Диффи-Хэллмана - это асимметричный примитив генерации общего секретного ключа.</w:t>
      </w:r>
    </w:p>
    <w:bookmarkStart w:id="0" w:name="fig:001"/>
    <w:p>
      <w:pPr>
        <w:pStyle w:val="CaptionedFigure"/>
      </w:pPr>
      <w:bookmarkStart w:id="30" w:name="fig:001"/>
      <w:r>
        <w:drawing>
          <wp:inline>
            <wp:extent cx="5334000" cy="3000375"/>
            <wp:effectExtent b="0" l="0" r="0" t="0"/>
            <wp:docPr descr="Figure 5: пятое задание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пятое задание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Протокол электронной цифровой подписи относится к протоколам с публичным ключом.</w:t>
      </w:r>
    </w:p>
    <w:bookmarkStart w:id="0" w:name="fig:001"/>
    <w:p>
      <w:pPr>
        <w:pStyle w:val="CaptionedFigure"/>
      </w:pPr>
      <w:bookmarkStart w:id="32" w:name="fig:001"/>
      <w:r>
        <w:drawing>
          <wp:inline>
            <wp:extent cx="5334000" cy="3000375"/>
            <wp:effectExtent b="0" l="0" r="0" t="0"/>
            <wp:docPr descr="Figure 6: шестое задани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шестое задание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Алгоритм верификации электронной цифровой подписи требует на вход подпись, открытый ключ, сообщение.</w:t>
      </w:r>
    </w:p>
    <w:bookmarkStart w:id="0" w:name="fig:001"/>
    <w:p>
      <w:pPr>
        <w:pStyle w:val="CaptionedFigure"/>
      </w:pPr>
      <w:bookmarkStart w:id="34" w:name="fig:001"/>
      <w:r>
        <w:drawing>
          <wp:inline>
            <wp:extent cx="5334000" cy="3000375"/>
            <wp:effectExtent b="0" l="0" r="0" t="0"/>
            <wp:docPr descr="Figure 7: седьмое задание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седьмое задание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Электронная цифровая подпись не обеспечивает конфиденциальность.</w:t>
      </w:r>
    </w:p>
    <w:bookmarkStart w:id="0" w:name="fig:001"/>
    <w:p>
      <w:pPr>
        <w:pStyle w:val="CaptionedFigure"/>
      </w:pPr>
      <w:bookmarkStart w:id="36" w:name="fig:001"/>
      <w:r>
        <w:drawing>
          <wp:inline>
            <wp:extent cx="5334000" cy="3000375"/>
            <wp:effectExtent b="0" l="0" r="0" t="0"/>
            <wp:docPr descr="Figure 8: восьмое задание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8: восьмое задание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Для отправки налоговой отчетности в ФНС понадобится самый сильный тип сертификата электронной подписи - усиленная квалификационная.</w:t>
      </w:r>
    </w:p>
    <w:bookmarkStart w:id="0" w:name="fig:001"/>
    <w:p>
      <w:pPr>
        <w:pStyle w:val="CaptionedFigure"/>
      </w:pPr>
      <w:bookmarkStart w:id="38" w:name="fig:001"/>
      <w:r>
        <w:drawing>
          <wp:inline>
            <wp:extent cx="5334000" cy="3000375"/>
            <wp:effectExtent b="0" l="0" r="0" t="0"/>
            <wp:docPr descr="Figure 9: девятое задание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9: девятое задание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Квалифицированный сертификат ключа проверки электронной подписи можно получить в удостоверяющем (сертификационном) центре.</w:t>
      </w:r>
    </w:p>
    <w:bookmarkStart w:id="0" w:name="fig:001"/>
    <w:p>
      <w:pPr>
        <w:pStyle w:val="CaptionedFigure"/>
      </w:pPr>
      <w:bookmarkStart w:id="40" w:name="fig:001"/>
      <w:r>
        <w:drawing>
          <wp:inline>
            <wp:extent cx="5334000" cy="3000375"/>
            <wp:effectExtent b="0" l="0" r="0" t="0"/>
            <wp:docPr descr="Figure 10: десятое задание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10: десятое задание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MasterCard и МИР являются платежными системами в предоставленном в задании списке.</w:t>
      </w:r>
    </w:p>
    <w:bookmarkStart w:id="0" w:name="fig:001"/>
    <w:p>
      <w:pPr>
        <w:pStyle w:val="CaptionedFigure"/>
      </w:pPr>
      <w:bookmarkStart w:id="42" w:name="fig:001"/>
      <w:r>
        <w:drawing>
          <wp:inline>
            <wp:extent cx="5334000" cy="3000375"/>
            <wp:effectExtent b="0" l="0" r="0" t="0"/>
            <wp:docPr descr="Figure 11: один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11: одиннадцатое задание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Примерами многофакторной аутентификации являются комбинация проверка пароля + код в sms сообщении, комбинация код в sms сообщении + отпечаток пальца, капча с паролем и пароль с пин кодом не являются примерами многофакторной аутентификации.</w:t>
      </w:r>
    </w:p>
    <w:bookmarkStart w:id="0" w:name="fig:001"/>
    <w:p>
      <w:pPr>
        <w:pStyle w:val="CaptionedFigure"/>
      </w:pPr>
      <w:bookmarkStart w:id="44" w:name="fig:001"/>
      <w:r>
        <w:drawing>
          <wp:inline>
            <wp:extent cx="5334000" cy="3000375"/>
            <wp:effectExtent b="0" l="0" r="0" t="0"/>
            <wp:docPr descr="Figure 12: две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12: двенадцатое задание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При онлайн платежах сегодня используется многофакторная аутентификация покупателя перед банком-эмитентом - банком, на счете которого покупатель хранит денежные средства.</w:t>
      </w:r>
    </w:p>
    <w:bookmarkStart w:id="0" w:name="fig:001"/>
    <w:p>
      <w:pPr>
        <w:pStyle w:val="CaptionedFigure"/>
      </w:pPr>
      <w:bookmarkStart w:id="46" w:name="fig:001"/>
      <w:r>
        <w:drawing>
          <wp:inline>
            <wp:extent cx="5334000" cy="3000375"/>
            <wp:effectExtent b="0" l="0" r="0" t="0"/>
            <wp:docPr descr="Figure 13: три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13: тринадцатое задание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Сложность нахождения прообраза как свойство криптографической хэш-функции используется в доказательстве работы майнера.</w:t>
      </w:r>
    </w:p>
    <w:bookmarkStart w:id="0" w:name="fig:001"/>
    <w:p>
      <w:pPr>
        <w:pStyle w:val="CaptionedFigure"/>
      </w:pPr>
      <w:bookmarkStart w:id="48" w:name="fig:001"/>
      <w:r>
        <w:drawing>
          <wp:inline>
            <wp:extent cx="5334000" cy="3000375"/>
            <wp:effectExtent b="0" l="0" r="0" t="0"/>
            <wp:docPr descr="Figure 14: четыр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14: четырнадцатое задание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Консенсус в некоторых системах блокчейн обладает свойствами: открытость, живучесть, постоянство.</w:t>
      </w:r>
    </w:p>
    <w:bookmarkStart w:id="0" w:name="fig:001"/>
    <w:p>
      <w:pPr>
        <w:pStyle w:val="CaptionedFigure"/>
      </w:pPr>
      <w:bookmarkStart w:id="50" w:name="fig:001"/>
      <w:r>
        <w:drawing>
          <wp:inline>
            <wp:extent cx="5334000" cy="3000375"/>
            <wp:effectExtent b="0" l="0" r="0" t="0"/>
            <wp:docPr descr="Figure 15: пят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15: пятнадцатое задание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Цифровая подпись используется в качестве криптографического примитива в блокчейне.</w:t>
      </w:r>
    </w:p>
    <w:bookmarkStart w:id="0" w:name="fig:001"/>
    <w:p>
      <w:pPr>
        <w:pStyle w:val="CaptionedFigure"/>
      </w:pPr>
      <w:bookmarkStart w:id="52" w:name="fig:001"/>
      <w:r>
        <w:drawing>
          <wp:inline>
            <wp:extent cx="5334000" cy="3000375"/>
            <wp:effectExtent b="0" l="0" r="0" t="0"/>
            <wp:docPr descr="Figure 16: шест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16: шестнадцатое задание</w:t>
      </w:r>
    </w:p>
    <w:bookmarkEnd w:id="0"/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основы криптографии.</w:t>
      </w:r>
    </w:p>
    <w:bookmarkEnd w:id="54"/>
    <w:bookmarkStart w:id="55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Конспекты к лекциям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  <w:r>
        <w:t xml:space="preserve">.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 раздел 3</dc:title>
  <dc:creator>Александр Андреевич Шуплецов</dc:creator>
  <dc:language>ru-RU</dc:language>
  <cp:keywords/>
  <dcterms:created xsi:type="dcterms:W3CDTF">2024-05-05T17:36:30Z</dcterms:created>
  <dcterms:modified xsi:type="dcterms:W3CDTF">2024-05-05T17:36:30Z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Криптография на практике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