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w:r>
        <w:t xml:space="preserve">M|M|1</w:t>
      </w:r>
    </w:p>
    <w:p>
      <w:pPr>
        <w:pStyle w:val="Author"/>
      </w:pPr>
      <w:r>
        <w:t xml:space="preserve">Шуплецов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и задачи</w:t>
      </w:r>
    </w:p>
    <w:p>
      <w:pPr>
        <w:pStyle w:val="FirstParagraph"/>
      </w:pPr>
      <w:r>
        <w:t xml:space="preserve">Реализовать в CPN Tools модель системы массового обслуживания M|M|1.</w:t>
      </w:r>
    </w:p>
    <w:bookmarkEnd w:id="20"/>
    <w:bookmarkStart w:id="29" w:name="X67eb748932f88f3200a58ee98c8ee8b581b3629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Реализация модели системы массового обслуживания M|M|1 в CPN Tools</w:t>
      </w:r>
    </w:p>
    <w:p>
      <w:pPr>
        <w:pStyle w:val="FirstParagraph"/>
      </w:pPr>
      <w:r>
        <w:t xml:space="preserve">Зададим декларации системы(рис.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  <w:r>
        <w:t xml:space="preserve"> </w:t>
      </w:r>
      <w:r>
        <w:t xml:space="preserve">Определим множества цветов системы (colorset):</w:t>
      </w:r>
      <w:r>
        <w:t xml:space="preserve"> </w:t>
      </w:r>
      <w:r>
        <w:t xml:space="preserve">- фишки типа UNIT определяют моменты времени;</w:t>
      </w:r>
      <w:r>
        <w:t xml:space="preserve"> </w:t>
      </w:r>
      <w:r>
        <w:t xml:space="preserve">- фишки типа INT определяют моменты поступления заявок в систему.</w:t>
      </w:r>
      <w:r>
        <w:t xml:space="preserve"> </w:t>
      </w:r>
      <w:r>
        <w:t xml:space="preserve">- фишки типа JobType определяют 2 типа заявок — A и B;</w:t>
      </w:r>
      <w:r>
        <w:t xml:space="preserve"> </w:t>
      </w:r>
      <w:r>
        <w:t xml:space="preserve">- кортеж Job имеет 2 поля: jobType определяет тип работы, соответственно имеет тип JobType, поле AT имеет тип INT и используется для хранения времени нахождения заявки в системе;</w:t>
      </w:r>
      <w:r>
        <w:t xml:space="preserve"> </w:t>
      </w:r>
      <w:r>
        <w:t xml:space="preserve">- фишки Jobs — список заявок;</w:t>
      </w:r>
      <w:r>
        <w:t xml:space="preserve"> </w:t>
      </w:r>
      <w:r>
        <w:t xml:space="preserve">- фишки типа ServerxJob — определяют состояние сервера, занятого обработкой заявок.</w:t>
      </w:r>
      <w:r>
        <w:t xml:space="preserve"> </w:t>
      </w:r>
      <w:r>
        <w:t xml:space="preserve">Переменные модели:</w:t>
      </w:r>
      <w:r>
        <w:t xml:space="preserve"> </w:t>
      </w:r>
      <w:r>
        <w:t xml:space="preserve">- proctime — определяет время обработки заявки;</w:t>
      </w:r>
      <w:r>
        <w:t xml:space="preserve"> </w:t>
      </w:r>
      <w:r>
        <w:t xml:space="preserve">- job — определяет тип заявки;</w:t>
      </w:r>
      <w:r>
        <w:t xml:space="preserve"> </w:t>
      </w:r>
      <w:r>
        <w:t xml:space="preserve">- jobs — определяет поступление заявок в очередь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087738"/>
            <wp:effectExtent b="0" l="0" r="0" t="0"/>
            <wp:docPr descr="Figure 1: Декларации модели СМО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Декларации модели СМО</w:t>
      </w:r>
    </w:p>
    <w:bookmarkEnd w:id="0"/>
    <w:p>
      <w:pPr>
        <w:pStyle w:val="BodyText"/>
      </w:pPr>
      <w:r>
        <w:t xml:space="preserve">Модель состоит из трех отдельных листов: на первом листе опишем граф системы(рис.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]):, на втором — генератор заявок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]):, на третьем — сервер обработки заявок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p>
      <w:pPr>
        <w:pStyle w:val="BodyText"/>
      </w:pPr>
      <w:r>
        <w:t xml:space="preserve">Сеть имеет 2 позиции (очередь — Queue, обслуженные заявки — Complited) и два перехода (генерировать заявку — Arrivals, передать заявку на обработку серверу – Server). Переходы имеют сложную иерархическую структуру, задаваемую на отдельных листах модели (с помощью соответствующего инструмента меню – Hierarchy).</w:t>
      </w:r>
    </w:p>
    <w:p>
      <w:pPr>
        <w:pStyle w:val="BodyText"/>
      </w:pPr>
      <w:r>
        <w:t xml:space="preserve">Между переходом Arrivals и позицией Queue, а также между позицией Queue и переходом Server установлена дуплексная связь. Между переходом Server и позицией Complited — односторонняя связь.</w:t>
      </w:r>
    </w:p>
    <w:p>
      <w:pPr>
        <w:pStyle w:val="BodyText"/>
      </w:pPr>
      <w:r>
        <w:t xml:space="preserve">Граф генератора заявок имеет 3 позиции (текущая заявка — Init, следующая заявка — Next, очередь — Queue из листа System) и 2 перехода (Init — определяет распределение поступления заявок по экспоненциальному закону с интенсивностью 100 заявок в единицу времени, Arrive — определяет поступление заявок в очередь).</w:t>
      </w:r>
    </w:p>
    <w:p>
      <w:pPr>
        <w:pStyle w:val="BodyText"/>
      </w:pPr>
      <w:r>
        <w:t xml:space="preserve">Граф процесса обработки заявок на сервере имеет 4 позиции (Busy — сервер занят, Idle — сервер в режиме ожидания, Queue и Complited из листа System) и 2 перехода (Start — начать обработку заявки, Stop — закончить обработку заявки).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710831"/>
            <wp:effectExtent b="0" l="0" r="0" t="0"/>
            <wp:docPr descr="Figure 2: Граф и параметры сети системы обработки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Граф и параметры сети системы обработки заявок в очереди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710831"/>
            <wp:effectExtent b="0" l="0" r="0" t="0"/>
            <wp:docPr descr="Figure 3: Граф и параметры генератора заявок систе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Граф и параметры генератора заявок системы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710831"/>
            <wp:effectExtent b="0" l="0" r="0" t="0"/>
            <wp:docPr descr="Figure 4: Граф и параметры процесса обработки заявок на сервере систе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Граф и параметры процесса обработки заявок на сервере системы</w:t>
      </w:r>
    </w:p>
    <w:bookmarkEnd w:id="0"/>
    <w:bookmarkEnd w:id="29"/>
    <w:bookmarkStart w:id="42" w:name="X064ddc7dd2d7c16b1ffbb5b3d20df092cd9b74b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 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функции примут вид(рис.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]):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741208"/>
            <wp:effectExtent b="0" l="0" r="0" t="0"/>
            <wp:docPr descr="Figure 5: Функция Predicate монитора Ostanovka и функция Observer монитора Queue Delay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Функция Predicate монитора Ostanovka и функция Observer монитора Queue Delay</w:t>
      </w:r>
    </w:p>
    <w:bookmarkEnd w:id="0"/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Queue_Delay.log, содержащий в первой колонке — значение задержки очереди, во второй — счётчик, в третьей — шаг, в четвёртой — время. С помощью gnuplot можно построить график значений задержки в очереди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выбрав 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"Queue_Delay.log" using ($4):($1) with lines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599597"/>
            <wp:effectExtent b="0" l="0" r="0" t="0"/>
            <wp:docPr descr="Figure 6: График изменения задержки в очеред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График изменения задержки в очереди</w:t>
      </w:r>
    </w:p>
    <w:bookmarkEnd w:id="0"/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274278"/>
            <wp:effectExtent b="0" l="0" r="0" t="0"/>
            <wp:docPr descr="Figure 7: Функция Observer монитора Queue Delay Real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Функция Observer монитора Queue Delay Real</w:t>
      </w:r>
    </w:p>
    <w:bookmarkEnd w:id="0"/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]):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4644321"/>
            <wp:effectExtent b="0" l="0" r="0" t="0"/>
            <wp:docPr descr="Figure 8: Содержимое Queue_Delay_Real.log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Содержимое Queue_Delay_Real.log</w:t>
      </w:r>
    </w:p>
    <w:bookmarkEnd w:id="0"/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]):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274278"/>
            <wp:effectExtent b="0" l="0" r="0" t="0"/>
            <wp:docPr descr="Figure 9: Функция Observer монитора Long Delay Time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Функция Observer монитора Long Delay Time</w:t>
      </w:r>
    </w:p>
    <w:bookmarkEnd w:id="0"/>
    <w:p>
      <w:pPr>
        <w:pStyle w:val="BodyText"/>
      </w:pPr>
      <w:r>
        <w:t xml:space="preserve">С помощью gnuplot можно построить график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217230"/>
            <wp:effectExtent b="0" l="0" r="0" t="0"/>
            <wp:docPr descr="Figure 10: Периоды времени, когда значения задержки в очереди превышали заданное значени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Периоды времени, когда значения задержки в очереди превышали заданное значение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реализовал в CPN Tools модель системы массового обслуживания M|M|1.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Шуплецов Александр Андреевич</dc:creator>
  <dc:language>ru-RU</dc:language>
  <cp:keywords/>
  <dcterms:created xsi:type="dcterms:W3CDTF">2025-04-19T17:21:34Z</dcterms:created>
  <dcterms:modified xsi:type="dcterms:W3CDTF">2025-04-19T17:21:34Z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системы массового обслуживания M|M|1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