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9FC" w:rsidRPr="009B49FC" w:rsidRDefault="009B49FC" w:rsidP="009B49FC">
      <w:pPr>
        <w:widowControl/>
        <w:autoSpaceDE/>
        <w:autoSpaceDN/>
        <w:spacing w:before="100" w:beforeAutospacing="1" w:after="100" w:afterAutospacing="1"/>
        <w:outlineLvl w:val="2"/>
        <w:rPr>
          <w:b/>
          <w:bCs/>
          <w:sz w:val="27"/>
          <w:szCs w:val="27"/>
          <w:lang w:val="en-US"/>
        </w:rPr>
      </w:pPr>
      <w:r w:rsidRPr="009B49FC">
        <w:rPr>
          <w:b/>
          <w:bCs/>
          <w:sz w:val="27"/>
          <w:szCs w:val="27"/>
          <w:lang w:val="en-US"/>
        </w:rPr>
        <w:t>Công Thức Magnet Loss</w:t>
      </w:r>
    </w:p>
    <w:p w:rsidR="009B49FC" w:rsidRDefault="009B49FC" w:rsidP="009B49FC">
      <w:pPr>
        <w:widowControl/>
        <w:autoSpaceDE/>
        <w:autoSpaceDN/>
        <w:spacing w:before="100" w:beforeAutospacing="1" w:after="100" w:afterAutospacing="1"/>
        <w:rPr>
          <w:sz w:val="24"/>
          <w:szCs w:val="24"/>
          <w:lang w:val="en-US"/>
        </w:rPr>
      </w:pPr>
      <w:r w:rsidRPr="009B49FC">
        <w:rPr>
          <w:sz w:val="24"/>
          <w:szCs w:val="24"/>
          <w:lang w:val="en-US"/>
        </w:rPr>
        <w:t>Công thức tổng quát của Magnet Loss được mô tả như sau:</w:t>
      </w:r>
    </w:p>
    <w:p w:rsidR="00BD32D9" w:rsidRPr="009B49FC" w:rsidRDefault="00BD32D9" w:rsidP="009B49FC">
      <w:pPr>
        <w:widowControl/>
        <w:autoSpaceDE/>
        <w:autoSpaceDN/>
        <w:spacing w:before="100" w:beforeAutospacing="1" w:after="100" w:afterAutospacing="1"/>
        <w:rPr>
          <w:sz w:val="24"/>
          <w:szCs w:val="24"/>
          <w:lang w:val="en-US"/>
        </w:rPr>
      </w:pPr>
      <w:r w:rsidRPr="00BD32D9">
        <w:rPr>
          <w:sz w:val="24"/>
          <w:szCs w:val="24"/>
          <w:lang w:val="en-US"/>
        </w:rPr>
        <w:drawing>
          <wp:inline distT="0" distB="0" distL="0" distR="0" wp14:anchorId="482F1811" wp14:editId="151BF2DE">
            <wp:extent cx="5658141" cy="5524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8141" cy="552478"/>
                    </a:xfrm>
                    <a:prstGeom prst="rect">
                      <a:avLst/>
                    </a:prstGeom>
                  </pic:spPr>
                </pic:pic>
              </a:graphicData>
            </a:graphic>
          </wp:inline>
        </w:drawing>
      </w:r>
      <w:bookmarkStart w:id="0" w:name="_GoBack"/>
      <w:bookmarkEnd w:id="0"/>
    </w:p>
    <w:p w:rsidR="009B49FC" w:rsidRPr="009B49FC" w:rsidRDefault="009B49FC" w:rsidP="009B49FC">
      <w:pPr>
        <w:widowControl/>
        <w:autoSpaceDE/>
        <w:autoSpaceDN/>
        <w:spacing w:before="100" w:beforeAutospacing="1" w:after="100" w:afterAutospacing="1"/>
        <w:outlineLvl w:val="2"/>
        <w:rPr>
          <w:b/>
          <w:bCs/>
          <w:sz w:val="27"/>
          <w:szCs w:val="27"/>
          <w:lang w:val="en-US"/>
        </w:rPr>
      </w:pPr>
      <w:r w:rsidRPr="009B49FC">
        <w:rPr>
          <w:b/>
          <w:bCs/>
          <w:sz w:val="27"/>
          <w:szCs w:val="27"/>
          <w:lang w:val="en-US"/>
        </w:rPr>
        <w:t>Giải Thích Các Thành Phần</w:t>
      </w:r>
    </w:p>
    <w:p w:rsidR="009B49FC" w:rsidRPr="009B49FC" w:rsidRDefault="009B49FC" w:rsidP="009B49FC">
      <w:pPr>
        <w:widowControl/>
        <w:numPr>
          <w:ilvl w:val="0"/>
          <w:numId w:val="3"/>
        </w:numPr>
        <w:autoSpaceDE/>
        <w:autoSpaceDN/>
        <w:spacing w:before="100" w:beforeAutospacing="1" w:after="100" w:afterAutospacing="1"/>
        <w:rPr>
          <w:sz w:val="24"/>
          <w:szCs w:val="24"/>
          <w:lang w:val="en-US"/>
        </w:rPr>
      </w:pPr>
      <w:r w:rsidRPr="009B49FC">
        <w:rPr>
          <w:b/>
          <w:bCs/>
          <w:sz w:val="24"/>
          <w:szCs w:val="24"/>
          <w:lang w:val="en-US"/>
        </w:rPr>
        <w:t>Embedding f(xi)f(x_i)f(xi​)</w:t>
      </w:r>
      <w:r w:rsidRPr="009B49FC">
        <w:rPr>
          <w:sz w:val="24"/>
          <w:szCs w:val="24"/>
          <w:lang w:val="en-US"/>
        </w:rPr>
        <w:t>: Đây là vector đại diện cho mẫu dữ liệu xix_ixi​ được tạo bởi mô hình.</w:t>
      </w:r>
    </w:p>
    <w:p w:rsidR="009B49FC" w:rsidRPr="009B49FC" w:rsidRDefault="009B49FC" w:rsidP="009B49FC">
      <w:pPr>
        <w:widowControl/>
        <w:numPr>
          <w:ilvl w:val="0"/>
          <w:numId w:val="3"/>
        </w:numPr>
        <w:autoSpaceDE/>
        <w:autoSpaceDN/>
        <w:spacing w:before="100" w:beforeAutospacing="1" w:after="100" w:afterAutospacing="1"/>
        <w:rPr>
          <w:sz w:val="24"/>
          <w:szCs w:val="24"/>
          <w:lang w:val="en-US"/>
        </w:rPr>
      </w:pPr>
      <w:r w:rsidRPr="009B49FC">
        <w:rPr>
          <w:b/>
          <w:bCs/>
          <w:sz w:val="24"/>
          <w:szCs w:val="24"/>
          <w:lang w:val="en-US"/>
        </w:rPr>
        <w:t>Cluster Means μk\mu_kμk​</w:t>
      </w:r>
      <w:r w:rsidRPr="009B49FC">
        <w:rPr>
          <w:sz w:val="24"/>
          <w:szCs w:val="24"/>
          <w:lang w:val="en-US"/>
        </w:rPr>
        <w:t>: Đây là vector trung bình của các embedding trong cluster thứ kkk.</w:t>
      </w:r>
    </w:p>
    <w:p w:rsidR="009B49FC" w:rsidRPr="009B49FC" w:rsidRDefault="009B49FC" w:rsidP="009B49FC">
      <w:pPr>
        <w:widowControl/>
        <w:numPr>
          <w:ilvl w:val="0"/>
          <w:numId w:val="3"/>
        </w:numPr>
        <w:autoSpaceDE/>
        <w:autoSpaceDN/>
        <w:spacing w:before="100" w:beforeAutospacing="1" w:after="100" w:afterAutospacing="1"/>
        <w:rPr>
          <w:sz w:val="24"/>
          <w:szCs w:val="24"/>
          <w:lang w:val="en-US"/>
        </w:rPr>
      </w:pPr>
      <w:r w:rsidRPr="009B49FC">
        <w:rPr>
          <w:b/>
          <w:bCs/>
          <w:sz w:val="24"/>
          <w:szCs w:val="24"/>
          <w:lang w:val="en-US"/>
        </w:rPr>
        <w:t>Cluster Assignment cic_ici​</w:t>
      </w:r>
      <w:r w:rsidRPr="009B49FC">
        <w:rPr>
          <w:sz w:val="24"/>
          <w:szCs w:val="24"/>
          <w:lang w:val="en-US"/>
        </w:rPr>
        <w:t>: Đây là chỉ số của cluster mà mẫu dữ liệu xix_ixi​ thuộc về.</w:t>
      </w:r>
    </w:p>
    <w:p w:rsidR="009B49FC" w:rsidRPr="009B49FC" w:rsidRDefault="009B49FC" w:rsidP="009B49FC">
      <w:pPr>
        <w:widowControl/>
        <w:numPr>
          <w:ilvl w:val="0"/>
          <w:numId w:val="3"/>
        </w:numPr>
        <w:autoSpaceDE/>
        <w:autoSpaceDN/>
        <w:spacing w:before="100" w:beforeAutospacing="1" w:after="100" w:afterAutospacing="1"/>
        <w:rPr>
          <w:sz w:val="24"/>
          <w:szCs w:val="24"/>
          <w:lang w:val="en-US"/>
        </w:rPr>
      </w:pPr>
      <w:r w:rsidRPr="009B49FC">
        <w:rPr>
          <w:b/>
          <w:bCs/>
          <w:sz w:val="24"/>
          <w:szCs w:val="24"/>
          <w:lang w:val="en-US"/>
        </w:rPr>
        <w:t>Alpha α\alphaα</w:t>
      </w:r>
      <w:r w:rsidRPr="009B49FC">
        <w:rPr>
          <w:sz w:val="24"/>
          <w:szCs w:val="24"/>
          <w:lang w:val="en-US"/>
        </w:rPr>
        <w:t>: Đây là một tham số điều chỉnh, thường được đặt bằng 7.18 theo bài báo gốc. Nó giúp điều chỉnh biên độ giữa các cluster.</w:t>
      </w:r>
    </w:p>
    <w:p w:rsidR="009B49FC" w:rsidRPr="009B49FC" w:rsidRDefault="009B49FC" w:rsidP="009B49FC">
      <w:pPr>
        <w:widowControl/>
        <w:numPr>
          <w:ilvl w:val="0"/>
          <w:numId w:val="3"/>
        </w:numPr>
        <w:autoSpaceDE/>
        <w:autoSpaceDN/>
        <w:spacing w:before="100" w:beforeAutospacing="1" w:after="100" w:afterAutospacing="1"/>
        <w:rPr>
          <w:sz w:val="24"/>
          <w:szCs w:val="24"/>
          <w:lang w:val="en-US"/>
        </w:rPr>
      </w:pPr>
      <w:r w:rsidRPr="009B49FC">
        <w:rPr>
          <w:b/>
          <w:bCs/>
          <w:sz w:val="24"/>
          <w:szCs w:val="24"/>
          <w:lang w:val="en-US"/>
        </w:rPr>
        <w:t>Sigma σ\sigmaσ</w:t>
      </w:r>
      <w:r w:rsidRPr="009B49FC">
        <w:rPr>
          <w:sz w:val="24"/>
          <w:szCs w:val="24"/>
          <w:lang w:val="en-US"/>
        </w:rPr>
        <w:t>: Đây là độ lệch chuẩn của các khoảng cách trong không gian đặc trưng. Nó được tính dựa trên các khoảng cách giữa các embedding và trung bình của cluster tương ứng.</w:t>
      </w:r>
    </w:p>
    <w:p w:rsidR="009B49FC" w:rsidRPr="009B49FC" w:rsidRDefault="009B49FC" w:rsidP="009B49FC">
      <w:pPr>
        <w:widowControl/>
        <w:numPr>
          <w:ilvl w:val="0"/>
          <w:numId w:val="3"/>
        </w:numPr>
        <w:autoSpaceDE/>
        <w:autoSpaceDN/>
        <w:spacing w:before="100" w:beforeAutospacing="1" w:after="100" w:afterAutospacing="1"/>
        <w:rPr>
          <w:sz w:val="24"/>
          <w:szCs w:val="24"/>
          <w:lang w:val="en-US"/>
        </w:rPr>
      </w:pPr>
      <w:r w:rsidRPr="009B49FC">
        <w:rPr>
          <w:b/>
          <w:bCs/>
          <w:sz w:val="24"/>
          <w:szCs w:val="24"/>
          <w:lang w:val="en-US"/>
        </w:rPr>
        <w:t>Loss Calculation</w:t>
      </w:r>
      <w:r w:rsidRPr="009B49FC">
        <w:rPr>
          <w:sz w:val="24"/>
          <w:szCs w:val="24"/>
          <w:lang w:val="en-US"/>
        </w:rPr>
        <w:t>:</w:t>
      </w:r>
    </w:p>
    <w:p w:rsidR="00BD32D9" w:rsidRPr="00BD32D9" w:rsidRDefault="009B49FC" w:rsidP="00BD32D9">
      <w:pPr>
        <w:widowControl/>
        <w:numPr>
          <w:ilvl w:val="1"/>
          <w:numId w:val="3"/>
        </w:numPr>
        <w:autoSpaceDE/>
        <w:autoSpaceDN/>
        <w:spacing w:before="100" w:beforeAutospacing="1" w:after="100" w:afterAutospacing="1"/>
        <w:rPr>
          <w:sz w:val="24"/>
          <w:szCs w:val="24"/>
          <w:lang w:val="en-US"/>
        </w:rPr>
      </w:pPr>
      <w:r w:rsidRPr="009B49FC">
        <w:rPr>
          <w:b/>
          <w:bCs/>
          <w:sz w:val="24"/>
          <w:szCs w:val="24"/>
          <w:lang w:val="en-US"/>
        </w:rPr>
        <w:t>Term 1</w:t>
      </w:r>
      <w:r w:rsidRPr="009B49FC">
        <w:rPr>
          <w:sz w:val="24"/>
          <w:szCs w:val="24"/>
          <w:lang w:val="en-US"/>
        </w:rPr>
        <w:t xml:space="preserve">: </w:t>
      </w:r>
    </w:p>
    <w:p w:rsidR="009B49FC" w:rsidRDefault="00BD32D9" w:rsidP="00BD32D9">
      <w:pPr>
        <w:widowControl/>
        <w:autoSpaceDE/>
        <w:autoSpaceDN/>
        <w:spacing w:before="100" w:beforeAutospacing="1" w:after="100" w:afterAutospacing="1"/>
        <w:ind w:left="1440"/>
        <w:rPr>
          <w:sz w:val="24"/>
          <w:szCs w:val="24"/>
          <w:lang w:val="en-US"/>
        </w:rPr>
      </w:pPr>
      <w:r w:rsidRPr="00BD32D9">
        <w:rPr>
          <w:sz w:val="24"/>
          <w:szCs w:val="24"/>
          <w:lang w:val="en-US"/>
        </w:rPr>
        <w:drawing>
          <wp:inline distT="0" distB="0" distL="0" distR="0" wp14:anchorId="6DAF7E32" wp14:editId="2ACC0468">
            <wp:extent cx="3054507" cy="4254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4507" cy="425472"/>
                    </a:xfrm>
                    <a:prstGeom prst="rect">
                      <a:avLst/>
                    </a:prstGeom>
                  </pic:spPr>
                </pic:pic>
              </a:graphicData>
            </a:graphic>
          </wp:inline>
        </w:drawing>
      </w:r>
    </w:p>
    <w:p w:rsidR="00BD32D9" w:rsidRPr="009B49FC" w:rsidRDefault="00BD32D9" w:rsidP="00BD32D9">
      <w:pPr>
        <w:widowControl/>
        <w:autoSpaceDE/>
        <w:autoSpaceDN/>
        <w:spacing w:before="100" w:beforeAutospacing="1" w:after="100" w:afterAutospacing="1"/>
        <w:ind w:left="1440"/>
        <w:rPr>
          <w:sz w:val="24"/>
          <w:szCs w:val="24"/>
          <w:lang w:val="en-US"/>
        </w:rPr>
      </w:pPr>
      <w:r>
        <w:t xml:space="preserve">Thành phần này tính toán mức độ tách biệt của embedding </w:t>
      </w:r>
      <w:r>
        <w:rPr>
          <w:rStyle w:val="katex-mathml"/>
          <w:rFonts w:eastAsiaTheme="majorEastAsia"/>
        </w:rPr>
        <w:t>f(xi)f(x_i)</w:t>
      </w:r>
      <w:r>
        <w:rPr>
          <w:rStyle w:val="mord"/>
        </w:rPr>
        <w:t>f</w:t>
      </w:r>
      <w:r>
        <w:rPr>
          <w:rStyle w:val="mopen"/>
        </w:rPr>
        <w:t>(</w:t>
      </w:r>
      <w:r>
        <w:rPr>
          <w:rStyle w:val="mord"/>
        </w:rPr>
        <w:t>xi</w:t>
      </w:r>
      <w:r>
        <w:rPr>
          <w:rStyle w:val="vlist-s"/>
        </w:rPr>
        <w:t>​</w:t>
      </w:r>
      <w:r>
        <w:rPr>
          <w:rStyle w:val="mclose"/>
        </w:rPr>
        <w:t>)</w:t>
      </w:r>
      <w:r>
        <w:t xml:space="preserve"> so với các trung bình của các cluster khác (</w:t>
      </w:r>
      <w:r>
        <w:rPr>
          <w:rStyle w:val="katex-mathml"/>
          <w:rFonts w:eastAsiaTheme="majorEastAsia"/>
        </w:rPr>
        <w:t>μk\mu_k</w:t>
      </w:r>
      <w:r>
        <w:rPr>
          <w:rStyle w:val="mord"/>
        </w:rPr>
        <w:t>μk</w:t>
      </w:r>
      <w:r>
        <w:rPr>
          <w:rStyle w:val="vlist-s"/>
        </w:rPr>
        <w:t>​</w:t>
      </w:r>
      <w:r>
        <w:t xml:space="preserve">) và đảm bảo rằng khoảng cách này lớn hơn một ngưỡng xác định bởi </w:t>
      </w:r>
      <w:r>
        <w:rPr>
          <w:rStyle w:val="katex-mathml"/>
          <w:rFonts w:eastAsiaTheme="majorEastAsia"/>
        </w:rPr>
        <w:t>α\alpha</w:t>
      </w:r>
      <w:r>
        <w:rPr>
          <w:rStyle w:val="mord"/>
        </w:rPr>
        <w:t>α</w:t>
      </w:r>
      <w:r>
        <w:t xml:space="preserve"> và </w:t>
      </w:r>
      <w:r>
        <w:rPr>
          <w:rStyle w:val="katex-mathml"/>
          <w:rFonts w:eastAsiaTheme="majorEastAsia"/>
        </w:rPr>
        <w:t>σ\sigma</w:t>
      </w:r>
      <w:r>
        <w:rPr>
          <w:rStyle w:val="mord"/>
        </w:rPr>
        <w:t>σ</w:t>
      </w:r>
      <w:r>
        <w:t>.</w:t>
      </w:r>
    </w:p>
    <w:p w:rsidR="00BD32D9" w:rsidRDefault="009B49FC" w:rsidP="009B49FC">
      <w:pPr>
        <w:widowControl/>
        <w:numPr>
          <w:ilvl w:val="1"/>
          <w:numId w:val="3"/>
        </w:numPr>
        <w:autoSpaceDE/>
        <w:autoSpaceDN/>
        <w:spacing w:before="100" w:beforeAutospacing="1" w:after="100" w:afterAutospacing="1"/>
        <w:rPr>
          <w:sz w:val="24"/>
          <w:szCs w:val="24"/>
          <w:lang w:val="en-US"/>
        </w:rPr>
      </w:pPr>
      <w:r w:rsidRPr="009B49FC">
        <w:rPr>
          <w:b/>
          <w:bCs/>
          <w:sz w:val="24"/>
          <w:szCs w:val="24"/>
          <w:lang w:val="en-US"/>
        </w:rPr>
        <w:t>Term 2</w:t>
      </w:r>
      <w:r w:rsidR="00BD32D9">
        <w:rPr>
          <w:sz w:val="24"/>
          <w:szCs w:val="24"/>
          <w:lang w:val="en-US"/>
        </w:rPr>
        <w:t>:</w:t>
      </w:r>
    </w:p>
    <w:p w:rsidR="00BD32D9" w:rsidRDefault="00BD32D9" w:rsidP="00BD32D9">
      <w:pPr>
        <w:widowControl/>
        <w:autoSpaceDE/>
        <w:autoSpaceDN/>
        <w:spacing w:before="100" w:beforeAutospacing="1" w:after="100" w:afterAutospacing="1"/>
        <w:ind w:left="1440"/>
        <w:rPr>
          <w:sz w:val="24"/>
          <w:szCs w:val="24"/>
          <w:lang w:val="en-US"/>
        </w:rPr>
      </w:pPr>
      <w:r w:rsidRPr="00BD32D9">
        <w:rPr>
          <w:sz w:val="24"/>
          <w:szCs w:val="24"/>
          <w:lang w:val="en-US"/>
        </w:rPr>
        <w:drawing>
          <wp:inline distT="0" distB="0" distL="0" distR="0" wp14:anchorId="7E57A92A" wp14:editId="4CF5D1FB">
            <wp:extent cx="1333569" cy="4254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33569" cy="425472"/>
                    </a:xfrm>
                    <a:prstGeom prst="rect">
                      <a:avLst/>
                    </a:prstGeom>
                  </pic:spPr>
                </pic:pic>
              </a:graphicData>
            </a:graphic>
          </wp:inline>
        </w:drawing>
      </w:r>
    </w:p>
    <w:p w:rsidR="009B49FC" w:rsidRPr="009B49FC" w:rsidRDefault="009B49FC" w:rsidP="009B49FC">
      <w:pPr>
        <w:widowControl/>
        <w:numPr>
          <w:ilvl w:val="1"/>
          <w:numId w:val="3"/>
        </w:numPr>
        <w:autoSpaceDE/>
        <w:autoSpaceDN/>
        <w:spacing w:before="100" w:beforeAutospacing="1" w:after="100" w:afterAutospacing="1"/>
        <w:rPr>
          <w:sz w:val="24"/>
          <w:szCs w:val="24"/>
          <w:lang w:val="en-US"/>
        </w:rPr>
      </w:pPr>
      <w:r w:rsidRPr="009B49FC">
        <w:rPr>
          <w:sz w:val="24"/>
          <w:szCs w:val="24"/>
          <w:lang w:val="en-US"/>
        </w:rPr>
        <w:t>Thành phần này tính toán khoảng cách giữa embedding f(xi)f(x_i)f(xi​) và trung bình của cluster mà nó thuộc về (μci\mu_{c_i}μci​​). Khoảng cách này phải nhỏ hơn một ngưỡng xác định bởi α\alphaα và σ\sigmaσ.</w:t>
      </w:r>
    </w:p>
    <w:p w:rsidR="009B49FC" w:rsidRPr="009B49FC" w:rsidRDefault="009B49FC" w:rsidP="009B49FC">
      <w:pPr>
        <w:widowControl/>
        <w:autoSpaceDE/>
        <w:autoSpaceDN/>
        <w:spacing w:before="100" w:beforeAutospacing="1" w:after="100" w:afterAutospacing="1"/>
        <w:outlineLvl w:val="2"/>
        <w:rPr>
          <w:b/>
          <w:bCs/>
          <w:sz w:val="27"/>
          <w:szCs w:val="27"/>
          <w:lang w:val="en-US"/>
        </w:rPr>
      </w:pPr>
      <w:r w:rsidRPr="009B49FC">
        <w:rPr>
          <w:b/>
          <w:bCs/>
          <w:sz w:val="27"/>
          <w:szCs w:val="27"/>
          <w:lang w:val="en-US"/>
        </w:rPr>
        <w:t>Quy Trình Tính Toán</w:t>
      </w:r>
    </w:p>
    <w:p w:rsidR="009B49FC" w:rsidRPr="009B49FC" w:rsidRDefault="009B49FC" w:rsidP="009B49FC">
      <w:pPr>
        <w:widowControl/>
        <w:numPr>
          <w:ilvl w:val="0"/>
          <w:numId w:val="4"/>
        </w:numPr>
        <w:autoSpaceDE/>
        <w:autoSpaceDN/>
        <w:spacing w:before="100" w:beforeAutospacing="1" w:after="100" w:afterAutospacing="1"/>
        <w:rPr>
          <w:sz w:val="24"/>
          <w:szCs w:val="24"/>
          <w:lang w:val="en-US"/>
        </w:rPr>
      </w:pPr>
      <w:r w:rsidRPr="009B49FC">
        <w:rPr>
          <w:b/>
          <w:bCs/>
          <w:sz w:val="24"/>
          <w:szCs w:val="24"/>
          <w:lang w:val="en-US"/>
        </w:rPr>
        <w:t>Cluster Assignment</w:t>
      </w:r>
      <w:r w:rsidRPr="009B49FC">
        <w:rPr>
          <w:sz w:val="24"/>
          <w:szCs w:val="24"/>
          <w:lang w:val="en-US"/>
        </w:rPr>
        <w:t>: Gán mỗi embedding vào một cluster cụ thể.</w:t>
      </w:r>
    </w:p>
    <w:p w:rsidR="009B49FC" w:rsidRPr="009B49FC" w:rsidRDefault="009B49FC" w:rsidP="009B49FC">
      <w:pPr>
        <w:widowControl/>
        <w:numPr>
          <w:ilvl w:val="0"/>
          <w:numId w:val="4"/>
        </w:numPr>
        <w:autoSpaceDE/>
        <w:autoSpaceDN/>
        <w:spacing w:before="100" w:beforeAutospacing="1" w:after="100" w:afterAutospacing="1"/>
        <w:rPr>
          <w:sz w:val="24"/>
          <w:szCs w:val="24"/>
          <w:lang w:val="en-US"/>
        </w:rPr>
      </w:pPr>
      <w:r w:rsidRPr="009B49FC">
        <w:rPr>
          <w:b/>
          <w:bCs/>
          <w:sz w:val="24"/>
          <w:szCs w:val="24"/>
          <w:lang w:val="en-US"/>
        </w:rPr>
        <w:t>Mean Calculation</w:t>
      </w:r>
      <w:r w:rsidRPr="009B49FC">
        <w:rPr>
          <w:sz w:val="24"/>
          <w:szCs w:val="24"/>
          <w:lang w:val="en-US"/>
        </w:rPr>
        <w:t>: Tính trung bình của các embedding trong mỗi cluster.</w:t>
      </w:r>
    </w:p>
    <w:p w:rsidR="009B49FC" w:rsidRPr="009B49FC" w:rsidRDefault="009B49FC" w:rsidP="009B49FC">
      <w:pPr>
        <w:widowControl/>
        <w:numPr>
          <w:ilvl w:val="0"/>
          <w:numId w:val="4"/>
        </w:numPr>
        <w:autoSpaceDE/>
        <w:autoSpaceDN/>
        <w:spacing w:before="100" w:beforeAutospacing="1" w:after="100" w:afterAutospacing="1"/>
        <w:rPr>
          <w:sz w:val="24"/>
          <w:szCs w:val="24"/>
          <w:lang w:val="en-US"/>
        </w:rPr>
      </w:pPr>
      <w:r w:rsidRPr="009B49FC">
        <w:rPr>
          <w:b/>
          <w:bCs/>
          <w:sz w:val="24"/>
          <w:szCs w:val="24"/>
          <w:lang w:val="en-US"/>
        </w:rPr>
        <w:t>Standard Deviation Calculation</w:t>
      </w:r>
      <w:r w:rsidRPr="009B49FC">
        <w:rPr>
          <w:sz w:val="24"/>
          <w:szCs w:val="24"/>
          <w:lang w:val="en-US"/>
        </w:rPr>
        <w:t>: Tính độ lệch chuẩn của các khoảng cách giữa các embedding và trung bình của cluster tương ứng.</w:t>
      </w:r>
    </w:p>
    <w:p w:rsidR="009B49FC" w:rsidRPr="009B49FC" w:rsidRDefault="009B49FC" w:rsidP="009B49FC">
      <w:pPr>
        <w:widowControl/>
        <w:numPr>
          <w:ilvl w:val="0"/>
          <w:numId w:val="4"/>
        </w:numPr>
        <w:autoSpaceDE/>
        <w:autoSpaceDN/>
        <w:spacing w:before="100" w:beforeAutospacing="1" w:after="100" w:afterAutospacing="1"/>
        <w:rPr>
          <w:sz w:val="24"/>
          <w:szCs w:val="24"/>
          <w:lang w:val="en-US"/>
        </w:rPr>
      </w:pPr>
      <w:r w:rsidRPr="009B49FC">
        <w:rPr>
          <w:b/>
          <w:bCs/>
          <w:sz w:val="24"/>
          <w:szCs w:val="24"/>
          <w:lang w:val="en-US"/>
        </w:rPr>
        <w:lastRenderedPageBreak/>
        <w:t>Loss Calculation</w:t>
      </w:r>
      <w:r w:rsidRPr="009B49FC">
        <w:rPr>
          <w:sz w:val="24"/>
          <w:szCs w:val="24"/>
          <w:lang w:val="en-US"/>
        </w:rPr>
        <w:t>: Tính toán loss cho mỗi embedding dựa trên khoảng cách giữa embedding đó và các trung bình của các cluster khác nhau, sau đó lấy trung bình của toàn bộ loss.</w:t>
      </w:r>
    </w:p>
    <w:p w:rsidR="009B49FC" w:rsidRPr="009B49FC" w:rsidRDefault="009B49FC" w:rsidP="009B49FC">
      <w:pPr>
        <w:widowControl/>
        <w:autoSpaceDE/>
        <w:autoSpaceDN/>
        <w:spacing w:before="100" w:beforeAutospacing="1" w:after="100" w:afterAutospacing="1"/>
        <w:outlineLvl w:val="2"/>
        <w:rPr>
          <w:b/>
          <w:bCs/>
          <w:sz w:val="27"/>
          <w:szCs w:val="27"/>
          <w:lang w:val="en-US"/>
        </w:rPr>
      </w:pPr>
      <w:r w:rsidRPr="009B49FC">
        <w:rPr>
          <w:b/>
          <w:bCs/>
          <w:sz w:val="27"/>
          <w:szCs w:val="27"/>
          <w:lang w:val="en-US"/>
        </w:rPr>
        <w:t>Cách Hoạt Động Trong Thực Tế</w:t>
      </w:r>
    </w:p>
    <w:p w:rsidR="009B49FC" w:rsidRPr="009B49FC" w:rsidRDefault="009B49FC" w:rsidP="009B49FC">
      <w:pPr>
        <w:widowControl/>
        <w:numPr>
          <w:ilvl w:val="0"/>
          <w:numId w:val="5"/>
        </w:numPr>
        <w:autoSpaceDE/>
        <w:autoSpaceDN/>
        <w:spacing w:before="100" w:beforeAutospacing="1" w:after="100" w:afterAutospacing="1"/>
        <w:rPr>
          <w:sz w:val="24"/>
          <w:szCs w:val="24"/>
          <w:lang w:val="en-US"/>
        </w:rPr>
      </w:pPr>
      <w:r w:rsidRPr="009B49FC">
        <w:rPr>
          <w:b/>
          <w:bCs/>
          <w:sz w:val="24"/>
          <w:szCs w:val="24"/>
          <w:lang w:val="en-US"/>
        </w:rPr>
        <w:t>Training</w:t>
      </w:r>
      <w:r w:rsidRPr="009B49FC">
        <w:rPr>
          <w:sz w:val="24"/>
          <w:szCs w:val="24"/>
          <w:lang w:val="en-US"/>
        </w:rPr>
        <w:t>: Khi huấn luyện mô hình, Magnet Loss giúp cải thiện việc phân cụm các embedding bằng cách điều chỉnh các trọng số của mô hình sao cho các embedding của cùng một cluster gần nhau hơn, trong khi các embedding của các cluster khác nhau được tách biệt rõ ràng.</w:t>
      </w:r>
    </w:p>
    <w:p w:rsidR="009B49FC" w:rsidRPr="009B49FC" w:rsidRDefault="009B49FC" w:rsidP="009B49FC">
      <w:pPr>
        <w:widowControl/>
        <w:numPr>
          <w:ilvl w:val="0"/>
          <w:numId w:val="5"/>
        </w:numPr>
        <w:autoSpaceDE/>
        <w:autoSpaceDN/>
        <w:spacing w:before="100" w:beforeAutospacing="1" w:after="100" w:afterAutospacing="1"/>
        <w:rPr>
          <w:sz w:val="24"/>
          <w:szCs w:val="24"/>
          <w:lang w:val="en-US"/>
        </w:rPr>
      </w:pPr>
      <w:r w:rsidRPr="009B49FC">
        <w:rPr>
          <w:b/>
          <w:bCs/>
          <w:sz w:val="24"/>
          <w:szCs w:val="24"/>
          <w:lang w:val="en-US"/>
        </w:rPr>
        <w:t>Inference</w:t>
      </w:r>
      <w:r w:rsidRPr="009B49FC">
        <w:rPr>
          <w:sz w:val="24"/>
          <w:szCs w:val="24"/>
          <w:lang w:val="en-US"/>
        </w:rPr>
        <w:t>: Trong quá trình suy luận, mô hình sẽ tạo ra các embedding được phân cụm tốt hơn, giúp cải thiện</w:t>
      </w:r>
    </w:p>
    <w:p w:rsidR="00EC1440" w:rsidRDefault="00EC1440"/>
    <w:sectPr w:rsidR="00EC1440" w:rsidSect="00A96E82">
      <w:pgSz w:w="11906" w:h="16838" w:code="9"/>
      <w:pgMar w:top="1418" w:right="850" w:bottom="1134" w:left="1985" w:header="0"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D69E8"/>
    <w:multiLevelType w:val="multilevel"/>
    <w:tmpl w:val="89423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CC34FB"/>
    <w:multiLevelType w:val="multilevel"/>
    <w:tmpl w:val="798A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E2743E"/>
    <w:multiLevelType w:val="hybridMultilevel"/>
    <w:tmpl w:val="E02CB572"/>
    <w:lvl w:ilvl="0" w:tplc="4D8C42D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0817DB"/>
    <w:multiLevelType w:val="multilevel"/>
    <w:tmpl w:val="A7784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997304"/>
    <w:multiLevelType w:val="multilevel"/>
    <w:tmpl w:val="4FF6F4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DD9"/>
    <w:rsid w:val="00190DD9"/>
    <w:rsid w:val="001F4421"/>
    <w:rsid w:val="00231D22"/>
    <w:rsid w:val="00287621"/>
    <w:rsid w:val="00597DC5"/>
    <w:rsid w:val="00621A93"/>
    <w:rsid w:val="009B0521"/>
    <w:rsid w:val="009B49FC"/>
    <w:rsid w:val="00A96E82"/>
    <w:rsid w:val="00BD32D9"/>
    <w:rsid w:val="00E56E94"/>
    <w:rsid w:val="00EC1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BB34"/>
  <w15:chartTrackingRefBased/>
  <w15:docId w15:val="{35032280-2C01-428C-A2CA-62D6FBE83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96E82"/>
    <w:pPr>
      <w:widowControl w:val="0"/>
      <w:autoSpaceDE w:val="0"/>
      <w:autoSpaceDN w:val="0"/>
      <w:spacing w:after="0" w:line="240" w:lineRule="auto"/>
    </w:pPr>
    <w:rPr>
      <w:szCs w:val="22"/>
      <w:lang w:val="vi"/>
    </w:rPr>
  </w:style>
  <w:style w:type="paragraph" w:styleId="Heading1">
    <w:name w:val="heading 1"/>
    <w:basedOn w:val="Normal"/>
    <w:next w:val="Normal"/>
    <w:link w:val="Heading1Char"/>
    <w:qFormat/>
    <w:rsid w:val="00287621"/>
    <w:pPr>
      <w:keepNext/>
      <w:spacing w:before="40" w:after="40" w:line="312" w:lineRule="auto"/>
      <w:jc w:val="center"/>
      <w:outlineLvl w:val="0"/>
    </w:pPr>
    <w:rPr>
      <w:b/>
      <w:snapToGrid w:val="0"/>
    </w:rPr>
  </w:style>
  <w:style w:type="paragraph" w:styleId="Heading2">
    <w:name w:val="heading 2"/>
    <w:basedOn w:val="Normal"/>
    <w:next w:val="Normal"/>
    <w:link w:val="Heading2Char"/>
    <w:autoRedefine/>
    <w:uiPriority w:val="9"/>
    <w:unhideWhenUsed/>
    <w:qFormat/>
    <w:rsid w:val="00A96E82"/>
    <w:pPr>
      <w:keepNext/>
      <w:keepLines/>
      <w:widowControl/>
      <w:autoSpaceDE/>
      <w:autoSpaceDN/>
      <w:spacing w:before="40" w:line="259" w:lineRule="auto"/>
      <w:outlineLvl w:val="1"/>
    </w:pPr>
    <w:rPr>
      <w:rFonts w:eastAsiaTheme="majorEastAsia" w:cstheme="majorBidi"/>
      <w:b/>
      <w:szCs w:val="26"/>
      <w:lang w:val="en-US"/>
    </w:rPr>
  </w:style>
  <w:style w:type="paragraph" w:styleId="Heading3">
    <w:name w:val="heading 3"/>
    <w:basedOn w:val="Normal"/>
    <w:next w:val="Normal"/>
    <w:link w:val="Heading3Char"/>
    <w:uiPriority w:val="9"/>
    <w:unhideWhenUsed/>
    <w:qFormat/>
    <w:rsid w:val="001F4421"/>
    <w:pPr>
      <w:keepNext/>
      <w:keepLines/>
      <w:spacing w:before="40"/>
      <w:outlineLvl w:val="2"/>
    </w:pPr>
    <w:rPr>
      <w:rFonts w:eastAsiaTheme="majorEastAsia" w:cstheme="majorBidi"/>
      <w:b/>
      <w:szCs w:val="24"/>
    </w:rPr>
  </w:style>
  <w:style w:type="paragraph" w:styleId="Heading4">
    <w:name w:val="heading 4"/>
    <w:basedOn w:val="Normal"/>
    <w:next w:val="Normal"/>
    <w:link w:val="Heading4Char"/>
    <w:autoRedefine/>
    <w:uiPriority w:val="9"/>
    <w:semiHidden/>
    <w:unhideWhenUsed/>
    <w:qFormat/>
    <w:rsid w:val="00231D22"/>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7621"/>
    <w:rPr>
      <w:b/>
      <w:snapToGrid w:val="0"/>
    </w:rPr>
  </w:style>
  <w:style w:type="character" w:customStyle="1" w:styleId="Heading2Char">
    <w:name w:val="Heading 2 Char"/>
    <w:basedOn w:val="DefaultParagraphFont"/>
    <w:link w:val="Heading2"/>
    <w:uiPriority w:val="9"/>
    <w:rsid w:val="00A96E82"/>
    <w:rPr>
      <w:rFonts w:eastAsiaTheme="majorEastAsia" w:cstheme="majorBidi"/>
      <w:b/>
      <w:szCs w:val="26"/>
    </w:rPr>
  </w:style>
  <w:style w:type="character" w:customStyle="1" w:styleId="Heading3Char">
    <w:name w:val="Heading 3 Char"/>
    <w:basedOn w:val="DefaultParagraphFont"/>
    <w:link w:val="Heading3"/>
    <w:uiPriority w:val="9"/>
    <w:rsid w:val="001F4421"/>
    <w:rPr>
      <w:rFonts w:eastAsiaTheme="majorEastAsia" w:cstheme="majorBidi"/>
      <w:b/>
      <w:szCs w:val="24"/>
    </w:rPr>
  </w:style>
  <w:style w:type="character" w:customStyle="1" w:styleId="Heading4Char">
    <w:name w:val="Heading 4 Char"/>
    <w:basedOn w:val="DefaultParagraphFont"/>
    <w:link w:val="Heading4"/>
    <w:uiPriority w:val="9"/>
    <w:semiHidden/>
    <w:rsid w:val="00231D22"/>
    <w:rPr>
      <w:rFonts w:eastAsiaTheme="majorEastAsia" w:cstheme="majorBidi"/>
      <w:b/>
      <w:iCs/>
      <w:szCs w:val="22"/>
      <w:lang w:val="vi"/>
    </w:rPr>
  </w:style>
  <w:style w:type="paragraph" w:styleId="NormalWeb">
    <w:name w:val="Normal (Web)"/>
    <w:basedOn w:val="Normal"/>
    <w:uiPriority w:val="99"/>
    <w:semiHidden/>
    <w:unhideWhenUsed/>
    <w:rsid w:val="009B49FC"/>
    <w:pPr>
      <w:widowControl/>
      <w:autoSpaceDE/>
      <w:autoSpaceDN/>
      <w:spacing w:before="100" w:beforeAutospacing="1" w:after="100" w:afterAutospacing="1"/>
    </w:pPr>
    <w:rPr>
      <w:sz w:val="24"/>
      <w:szCs w:val="24"/>
      <w:lang w:val="en-US"/>
    </w:rPr>
  </w:style>
  <w:style w:type="character" w:customStyle="1" w:styleId="katex-mathml">
    <w:name w:val="katex-mathml"/>
    <w:basedOn w:val="DefaultParagraphFont"/>
    <w:rsid w:val="009B49FC"/>
  </w:style>
  <w:style w:type="character" w:customStyle="1" w:styleId="mord">
    <w:name w:val="mord"/>
    <w:basedOn w:val="DefaultParagraphFont"/>
    <w:rsid w:val="009B49FC"/>
  </w:style>
  <w:style w:type="character" w:customStyle="1" w:styleId="mrel">
    <w:name w:val="mrel"/>
    <w:basedOn w:val="DefaultParagraphFont"/>
    <w:rsid w:val="009B49FC"/>
  </w:style>
  <w:style w:type="character" w:customStyle="1" w:styleId="mopen">
    <w:name w:val="mopen"/>
    <w:basedOn w:val="DefaultParagraphFont"/>
    <w:rsid w:val="009B49FC"/>
  </w:style>
  <w:style w:type="character" w:customStyle="1" w:styleId="vlist-s">
    <w:name w:val="vlist-s"/>
    <w:basedOn w:val="DefaultParagraphFont"/>
    <w:rsid w:val="009B49FC"/>
  </w:style>
  <w:style w:type="character" w:customStyle="1" w:styleId="mclose">
    <w:name w:val="mclose"/>
    <w:basedOn w:val="DefaultParagraphFont"/>
    <w:rsid w:val="009B49FC"/>
  </w:style>
  <w:style w:type="character" w:customStyle="1" w:styleId="mop">
    <w:name w:val="mop"/>
    <w:basedOn w:val="DefaultParagraphFont"/>
    <w:rsid w:val="009B49FC"/>
  </w:style>
  <w:style w:type="character" w:customStyle="1" w:styleId="delimsizing">
    <w:name w:val="delimsizing"/>
    <w:basedOn w:val="DefaultParagraphFont"/>
    <w:rsid w:val="009B49FC"/>
  </w:style>
  <w:style w:type="character" w:customStyle="1" w:styleId="mbin">
    <w:name w:val="mbin"/>
    <w:basedOn w:val="DefaultParagraphFont"/>
    <w:rsid w:val="009B49FC"/>
  </w:style>
  <w:style w:type="character" w:styleId="Strong">
    <w:name w:val="Strong"/>
    <w:basedOn w:val="DefaultParagraphFont"/>
    <w:uiPriority w:val="22"/>
    <w:qFormat/>
    <w:rsid w:val="009B49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48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4</cp:revision>
  <dcterms:created xsi:type="dcterms:W3CDTF">2024-08-06T13:57:00Z</dcterms:created>
  <dcterms:modified xsi:type="dcterms:W3CDTF">2024-08-06T13:59:00Z</dcterms:modified>
</cp:coreProperties>
</file>