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Insights Report</w:t>
      </w:r>
    </w:p>
    <w:p>
      <w:pPr>
        <w:pStyle w:val="Heading1"/>
      </w:pPr>
      <w:r>
        <w:t>Sales Insights Report</w:t>
      </w:r>
    </w:p>
    <w:p>
      <w:pPr>
        <w:pStyle w:val="Heading2"/>
      </w:pPr>
      <w:r>
        <w:t>Key Findings</w:t>
      </w:r>
    </w:p>
    <w:p>
      <w:pPr>
        <w:pStyle w:val="ListBullet"/>
      </w:pPr>
      <w:r>
        <w:t>Sydney and Melbourne are the top performing cities, with consistent growth over the 2-year period.</w:t>
      </w:r>
    </w:p>
    <w:p>
      <w:pPr>
        <w:pStyle w:val="ListBullet"/>
      </w:pPr>
      <w:r>
        <w:t>Brisbane, Perth, and Adelaide show moderate growth, with some seasonal variations.</w:t>
      </w:r>
    </w:p>
    <w:p>
      <w:pPr>
        <w:pStyle w:val="ListBullet"/>
      </w:pPr>
      <w:r>
        <w:t>Hobart and Darwin have the lowest sales, but are also seeing steady increases year-over-year.</w:t>
      </w:r>
    </w:p>
    <w:p>
      <w:pPr>
        <w:pStyle w:val="Heading2"/>
      </w:pPr>
      <w:r>
        <w:t>Detailed Analysis</w:t>
      </w:r>
    </w:p>
    <w:p>
      <w:pPr>
        <w:pStyle w:val="Heading3"/>
      </w:pPr>
      <w:r>
        <w:t>Sydney</w:t>
      </w:r>
    </w:p>
    <w:p>
      <w:pPr>
        <w:pStyle w:val="ListBullet"/>
      </w:pPr>
      <w:r>
        <w:t>Sydney has the highest sales across all months, reaching over 2,200 in December 2023.</w:t>
      </w:r>
    </w:p>
    <w:p>
      <w:pPr>
        <w:pStyle w:val="ListBullet"/>
      </w:pPr>
      <w:r>
        <w:t>Sales grew by 83% from January 2022 to December 2023.</w:t>
      </w:r>
    </w:p>
    <w:p>
      <w:pPr>
        <w:pStyle w:val="ListBullet"/>
      </w:pPr>
      <w:r>
        <w:t>Strong performance in Q4 each year, likely due to holiday shopping season.</w:t>
      </w:r>
    </w:p>
    <w:p>
      <w:pPr>
        <w:pStyle w:val="Heading3"/>
      </w:pPr>
      <w:r>
        <w:t>Melbourne</w:t>
      </w:r>
    </w:p>
    <w:p>
      <w:pPr>
        <w:pStyle w:val="ListBullet"/>
      </w:pPr>
      <w:r>
        <w:t>Melbourne is the second highest performer, with sales reaching 2,000 in December 2023.</w:t>
      </w:r>
    </w:p>
    <w:p>
      <w:pPr>
        <w:pStyle w:val="ListBullet"/>
      </w:pPr>
      <w:r>
        <w:t>Sales grew by 100% from January 2022 to December 2023.</w:t>
      </w:r>
    </w:p>
    <w:p>
      <w:pPr>
        <w:pStyle w:val="ListBullet"/>
      </w:pPr>
      <w:r>
        <w:t>Follows a similar seasonal pattern to Sydney, with Q4 being the strongest quarter.</w:t>
      </w:r>
    </w:p>
    <w:p>
      <w:pPr>
        <w:pStyle w:val="Heading3"/>
      </w:pPr>
      <w:r>
        <w:t>Other Cities</w:t>
      </w:r>
    </w:p>
    <w:p>
      <w:pPr>
        <w:pStyle w:val="ListBullet"/>
      </w:pPr>
      <w:r>
        <w:t>Brisbane, Perth, and Adelaide show more moderate growth, with sales ranging from 800 to 1,600.</w:t>
      </w:r>
    </w:p>
    <w:p>
      <w:pPr>
        <w:pStyle w:val="ListBullet"/>
      </w:pPr>
      <w:r>
        <w:t>Hobart and Darwin have the lowest sales, but are still seeing steady year-over-year increases.</w:t>
      </w:r>
    </w:p>
    <w:p>
      <w:pPr>
        <w:pStyle w:val="ListBullet"/>
      </w:pPr>
      <w:r>
        <w:t>All cities exhibit some seasonality, with Q4 being the peak period.</w:t>
      </w:r>
    </w:p>
    <w:p>
      <w:pPr>
        <w:pStyle w:val="Heading2"/>
      </w:pPr>
      <w:r>
        <w:t>Recommendations</w:t>
      </w:r>
    </w:p>
    <w:p>
      <w:pPr>
        <w:pStyle w:val="ListBullet"/>
      </w:pPr>
      <w:r>
        <w:t>Focus marketing and sales efforts on Sydney and Melbourne to capitalize on the higher demand.</w:t>
      </w:r>
    </w:p>
    <w:p>
      <w:pPr>
        <w:pStyle w:val="ListBullet"/>
      </w:pPr>
      <w:r>
        <w:t>Investigate opportunities to boost sales in the other cities, especially during the off-peak seasons.</w:t>
      </w:r>
    </w:p>
    <w:p>
      <w:pPr>
        <w:pStyle w:val="ListBullet"/>
      </w:pPr>
      <w:r>
        <w:t>Monitor the data closely to identify any shifts in regional performance or emerging trends.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