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</w:p>
    <w:p>
      <w:pPr>
        <w:jc w:val="center"/>
      </w:pPr>
      <w:r>
        <w:rPr>
          <w:b/>
          <w:color w:val="1F3A5F"/>
          <w:sz w:val="60"/>
        </w:rPr>
        <w:t>授信風險初評 AI 助理</w:t>
      </w:r>
    </w:p>
    <w:p>
      <w:pPr>
        <w:jc w:val="center"/>
      </w:pPr>
      <w:r>
        <w:rPr>
          <w:color w:val="0E6E6E"/>
          <w:sz w:val="30"/>
        </w:rPr>
        <w:t>以知識庫檢索增強技術(RAG)驅動的智慧授信風險評估解決方案</w:t>
      </w:r>
    </w:p>
    <w:p>
      <w:pPr>
        <w:spacing w:before="120"/>
        <w:jc w:val="center"/>
      </w:pPr>
      <w:r>
        <w:rPr>
          <w:color w:val="595959"/>
          <w:sz w:val="26"/>
        </w:rPr>
        <w:t>Demo 展示說明文件</w:t>
      </w:r>
    </w:p>
    <w:p>
      <w:pPr>
        <w:spacing w:before="800"/>
      </w:pPr>
    </w:p>
    <w:p>
      <w:pPr>
        <w:jc w:val="center"/>
      </w:pPr>
      <w:r>
        <w:rPr>
          <w:i/>
          <w:color w:val="595959"/>
          <w:sz w:val="20"/>
        </w:rPr>
        <w:t>本文件用於補充說明 Demo 影片中可能未能完整呈現的技術原理與功能設計,</w:t>
        <w:br/>
        <w:t>文件內所引用之公司名稱、統一編號、財務數字、案件內容,均為系統展示用之虛構資料,</w:t>
        <w:br/>
        <w:t>不代表任何真實企業、個人或金融機構,亦不構成任何授信決策依據。</w:t>
      </w:r>
    </w:p>
    <w:p>
      <w:r>
        <w:br w:type="page"/>
      </w:r>
    </w:p>
    <w:p>
      <w:pPr>
        <w:pStyle w:val="Heading1"/>
        <w:spacing w:before="360" w:after="200"/>
      </w:pPr>
      <w:r>
        <w:rPr>
          <w:color w:val="1F3A5F"/>
          <w:sz w:val="40"/>
        </w:rPr>
        <w:t>一、專案背景與情境</w:t>
      </w:r>
    </w:p>
    <w:p>
      <w:pPr>
        <w:spacing w:after="160"/>
      </w:pPr>
      <w:r>
        <w:rPr>
          <w:sz w:val="22"/>
        </w:rPr>
        <w:t>銀行授信人員在受理中小企業授信案件時,需要同時參考大量文件——授信申請書、近三年財務報表、聯徵中心查詢紀錄、擔保品估價資料、實地查核報告——並對照內部授信準則(量化門檻、行業風險分級、否決條款等),才能完成初步風險等級研判。傳統上這個過程高度仰賴人工翻閱與經驗判斷,不僅耗時,不同承辦人員之間的判斷尺度也容易產生落差。</w:t>
      </w:r>
    </w:p>
    <w:p>
      <w:pPr>
        <w:spacing w:after="160"/>
      </w:pPr>
      <w:r>
        <w:rPr>
          <w:sz w:val="22"/>
        </w:rPr>
        <w:t>本 Demo 展示如何運用大型語言模型(LLM)搭配檢索增強生成技術(RAG),讓授信人員能以自然語言對話的方式,快速取得「有憑有據、可追溯來源」的初步風險評估建議,作為正式審核流程前的輔助工具——不取代人工決策,而是協助授信人員更快掌握案件全貌、更有效率地聚焦在真正需要人工覆核的風險點上。</w:t>
      </w:r>
    </w:p>
    <w:p>
      <w:pPr>
        <w:pStyle w:val="Heading1"/>
        <w:spacing w:before="360" w:after="200"/>
      </w:pPr>
      <w:r>
        <w:rPr>
          <w:color w:val="1F3A5F"/>
          <w:sz w:val="40"/>
        </w:rPr>
        <w:t>二、什麼是 RAG(檢索增強生成)</w:t>
      </w:r>
    </w:p>
    <w:p>
      <w:pPr>
        <w:pStyle w:val="Heading2"/>
        <w:spacing w:before="240" w:after="120"/>
      </w:pPr>
      <w:r>
        <w:rPr>
          <w:color w:val="0E6E6E"/>
          <w:sz w:val="28"/>
        </w:rPr>
        <w:t>為什麼一般 AI 模型不能直接拿來用</w:t>
      </w:r>
    </w:p>
    <w:p>
      <w:pPr>
        <w:spacing w:after="160"/>
      </w:pPr>
      <w:r>
        <w:rPr>
          <w:sz w:val="22"/>
        </w:rPr>
        <w:t>一般的大型語言模型並不知道貴行內部的授信準則,也不會知道特定客戶的財務資料與聯徵紀錄。如果直接向模型提問,它可能會依據訓練時記憶的模糊知識「憑印象作答」,甚至編造出看似合理、但實際上並不存在的數字或規則——這種現象稱為「幻覺」(Hallucination),在授信這種高風險決策情境中是絕對不能接受的。</w:t>
      </w:r>
    </w:p>
    <w:p>
      <w:pPr>
        <w:pStyle w:val="Heading2"/>
        <w:spacing w:before="240" w:after="120"/>
      </w:pPr>
      <w:r>
        <w:rPr>
          <w:color w:val="0E6E6E"/>
          <w:sz w:val="28"/>
        </w:rPr>
        <w:t>RAG 如何解決這個問題</w:t>
      </w:r>
    </w:p>
    <w:p>
      <w:pPr>
        <w:spacing w:after="160"/>
      </w:pPr>
      <w:r>
        <w:rPr>
          <w:sz w:val="22"/>
        </w:rPr>
        <w:t>RAG(Retrieval-Augmented Generation,檢索增強生成)的做法是:在 AI 回答問題之前,先從企業自己的知識庫中「檢索」出與問題最相關的文件片段,再把這些真實存在的資料交給語言模型,要求它「只能根據這些檢索到的內容作答」。這樣一來,AI 的每一個回答都能對應到具體的來源文件,可以被人工逐條核對,大幅降低編造答案的風險。</w:t>
      </w:r>
    </w:p>
    <w:p>
      <w:pPr>
        <w:pStyle w:val="Heading2"/>
        <w:spacing w:before="240" w:after="120"/>
      </w:pPr>
      <w:r>
        <w:rPr>
          <w:color w:val="0E6E6E"/>
          <w:sz w:val="28"/>
        </w:rPr>
        <w:t>本 Demo 中的知識庫設計:準則層 + 案件層</w:t>
      </w:r>
    </w:p>
    <w:p>
      <w:pPr>
        <w:spacing w:after="160"/>
      </w:pPr>
      <w:r>
        <w:rPr>
          <w:sz w:val="22"/>
        </w:rPr>
        <w:t>我們刻意把知識庫內容分成兩層,這是確保 AI 判斷品質的關鍵設計:</w:t>
      </w:r>
    </w:p>
    <w:p>
      <w:pPr>
        <w:pStyle w:val="ListBullet"/>
        <w:spacing w:after="80"/>
      </w:pPr>
      <w:r>
        <w:rPr>
          <w:sz w:val="22"/>
        </w:rPr>
        <w:t>「授信準則層」:全行共用的風險等級評估準則、財務比率量化門檻、否決條款、行業別風險分類表、擔保品估價成數表、歷史案例——這是 AI 用來判斷的「尺」。</w:t>
      </w:r>
    </w:p>
    <w:p>
      <w:pPr>
        <w:pStyle w:val="ListBullet"/>
        <w:spacing w:after="80"/>
      </w:pPr>
      <w:r>
        <w:rPr>
          <w:sz w:val="22"/>
        </w:rPr>
        <w:t>「案件資料層」:個別借款戶的授信申請書、近三年財務報表、聯徵中心查詢摘要、銀行往來紀錄、擔保品明細、徵信訪談暨實地查核報告——這是 AI 要評估的「對象」。</w:t>
      </w:r>
    </w:p>
    <w:p>
      <w:pPr>
        <w:spacing w:after="160"/>
      </w:pPr>
      <w:r>
        <w:rPr>
          <w:sz w:val="22"/>
        </w:rPr>
        <w:t>每一次對話,系統都會同時檢索這兩層資料,確保 AI 既看得到「判斷的準則依據」,也看得到「要判斷的客戶事實」,兩者缺一不可,才能做出有所本、可解釋的風險評估,而不是黑盒子式的評分。</w:t>
      </w:r>
    </w:p>
    <w:p>
      <w:pPr>
        <w:pStyle w:val="Heading1"/>
        <w:spacing w:before="360" w:after="200"/>
      </w:pPr>
      <w:r>
        <w:rPr>
          <w:color w:val="1F3A5F"/>
          <w:sz w:val="40"/>
        </w:rPr>
        <w:t>三、Workflow(對話流程)架構說明</w:t>
      </w:r>
    </w:p>
    <w:p>
      <w:pPr>
        <w:spacing w:after="160"/>
      </w:pPr>
      <w:r>
        <w:rPr>
          <w:sz w:val="22"/>
        </w:rPr>
        <w:t>本 Demo 採用工作流程(Workflow/Chatflow)的方式串接多個 AI 與檢索節點,而不是單一次的問答,目的是讓每一個環節都可以被獨立設計、獨立優化,並確保最終交給 AI 判斷的資訊是完整且經過篩選的。整體流程如下: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2551"/>
        <w:gridCol w:w="6009"/>
      </w:tblGrid>
      <w:tr>
        <w:tc>
          <w:tcPr>
            <w:tcW w:type="dxa" w:w="2880"/>
            <w:shd w:val="clear" w:color="auto" w:fill="0E6E6E"/>
          </w:tcPr>
          <w:p>
            <w:r/>
            <w:r>
              <w:rPr>
                <w:b/>
                <w:color w:val="FFFFFF"/>
                <w:sz w:val="22"/>
              </w:rPr>
              <w:t>步驟</w:t>
            </w:r>
          </w:p>
        </w:tc>
        <w:tc>
          <w:tcPr>
            <w:tcW w:type="dxa" w:w="2880"/>
            <w:shd w:val="clear" w:color="auto" w:fill="0E6E6E"/>
          </w:tcPr>
          <w:p>
            <w:r/>
            <w:r>
              <w:rPr>
                <w:b/>
                <w:color w:val="FFFFFF"/>
                <w:sz w:val="22"/>
              </w:rPr>
              <w:t>節點/元件</w:t>
            </w:r>
          </w:p>
        </w:tc>
        <w:tc>
          <w:tcPr>
            <w:tcW w:type="dxa" w:w="2880"/>
            <w:shd w:val="clear" w:color="auto" w:fill="0E6E6E"/>
          </w:tcPr>
          <w:p>
            <w:r/>
            <w:r>
              <w:rPr>
                <w:b/>
                <w:color w:val="FFFFFF"/>
                <w:sz w:val="22"/>
              </w:rPr>
              <w:t>功能說明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0E6E6E"/>
                <w:sz w:val="21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1"/>
              </w:rPr>
              <w:t>使用者輸入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1"/>
              </w:rPr>
              <w:t>授信人員以自然語言提問,例如「昇陽營造的風險評估」,或延續前一輪對話的追問「幫我分析」。</w:t>
            </w:r>
          </w:p>
        </w:tc>
      </w:tr>
      <w:tr>
        <w:tc>
          <w:tcPr>
            <w:tcW w:type="dxa" w:w="2880"/>
            <w:shd w:val="clear" w:color="auto" w:fill="EDF2F7"/>
          </w:tcPr>
          <w:p>
            <w:r/>
            <w:r>
              <w:rPr>
                <w:b/>
                <w:color w:val="0E6E6E"/>
                <w:sz w:val="21"/>
              </w:rPr>
              <w:t>2</w:t>
            </w:r>
          </w:p>
        </w:tc>
        <w:tc>
          <w:tcPr>
            <w:tcW w:type="dxa" w:w="2880"/>
            <w:shd w:val="clear" w:color="auto" w:fill="EDF2F7"/>
          </w:tcPr>
          <w:p>
            <w:r/>
            <w:r>
              <w:rPr>
                <w:b/>
                <w:sz w:val="21"/>
              </w:rPr>
              <w:t>案件識別節點</w:t>
            </w:r>
          </w:p>
        </w:tc>
        <w:tc>
          <w:tcPr>
            <w:tcW w:type="dxa" w:w="2880"/>
            <w:shd w:val="clear" w:color="auto" w:fill="EDF2F7"/>
          </w:tcPr>
          <w:p>
            <w:r/>
            <w:r>
              <w:rPr>
                <w:b w:val="0"/>
                <w:sz w:val="21"/>
              </w:rPr>
              <w:t>讀取完整對話紀錄,判斷使用者這一輪實際在詢問哪一位借款戶,即使使用者沒有再次點名公司,也能正確延續前一輪確認過的對象,避免每次都要重複輸入完整公司名稱。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0E6E6E"/>
                <w:sz w:val="21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1"/>
              </w:rPr>
              <w:t>雙軌並行檢索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1"/>
              </w:rPr>
              <w:t>同時執行兩條獨立的知識庫檢索:一條專門檢索「授信準則」,確保準則永遠會被找到;另一條依剛剛識別出的借款戶,只檢索「該戶」的案件資料,確保不同客戶的資料不會互相污染。</w:t>
            </w:r>
          </w:p>
        </w:tc>
      </w:tr>
      <w:tr>
        <w:tc>
          <w:tcPr>
            <w:tcW w:type="dxa" w:w="2880"/>
            <w:shd w:val="clear" w:color="auto" w:fill="EDF2F7"/>
          </w:tcPr>
          <w:p>
            <w:r/>
            <w:r>
              <w:rPr>
                <w:b/>
                <w:color w:val="0E6E6E"/>
                <w:sz w:val="21"/>
              </w:rPr>
              <w:t>4</w:t>
            </w:r>
          </w:p>
        </w:tc>
        <w:tc>
          <w:tcPr>
            <w:tcW w:type="dxa" w:w="2880"/>
            <w:shd w:val="clear" w:color="auto" w:fill="EDF2F7"/>
          </w:tcPr>
          <w:p>
            <w:r/>
            <w:r>
              <w:rPr>
                <w:b/>
                <w:sz w:val="21"/>
              </w:rPr>
              <w:t>AI 風險評估</w:t>
            </w:r>
          </w:p>
        </w:tc>
        <w:tc>
          <w:tcPr>
            <w:tcW w:type="dxa" w:w="2880"/>
            <w:shd w:val="clear" w:color="auto" w:fill="EDF2F7"/>
          </w:tcPr>
          <w:p>
            <w:r/>
            <w:r>
              <w:rPr>
                <w:b w:val="0"/>
                <w:sz w:val="21"/>
              </w:rPr>
              <w:t>語言模型依「先找準則條文、再代入客戶實際數字與事實、最後才能得出結論」的邏輯進行推理,並依固定格式輸出結構化結果。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0E6E6E"/>
                <w:sz w:val="21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1"/>
              </w:rPr>
              <w:t>回覆使用者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1"/>
              </w:rPr>
              <w:t>以風險等級、評等依據、風險因子、建議補件、資料缺口、來源文件等結構化區塊回覆,並附上初評聲明,提醒使用者這僅為輔助參考。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6F4F1"/>
          </w:tcPr>
          <w:p>
            <w:pPr>
              <w:spacing w:after="80"/>
            </w:pPr>
            <w:r/>
            <w:r>
              <w:rPr>
                <w:b/>
                <w:color w:val="0E6E6E"/>
                <w:sz w:val="22"/>
              </w:rPr>
              <w:t>實際案例(取自本次 Demo 實測結果)</w:t>
            </w:r>
          </w:p>
          <w:p>
            <w:pPr>
              <w:spacing w:after="80"/>
            </w:pPr>
            <w:r>
              <w:rPr>
                <w:sz w:val="21"/>
              </w:rPr>
              <w:t>以一家虛構的營造業借款戶為例,系統檢索到「最近一次退票紀錄發生於2026年1月,尚未辦理清償註記」這項事實後,自動比對授信準則中的否決條款「退票紀錄未滿一年」,判斷已直接觸犯否決條款,依準則規定不論其餘構面表現如何,逕列為高風險,不需要再進行五構面加權計分。系統同時列出既有額度動用率100%、無實體擔保品、客戶集中度過高等其餘風險因子,並列出查無遲延繳款紀錄等正面因子,最後完整列出本次引用的8份來源文件,授信人員可以逐條回頭核對。整個回覆在數十秒內產出,遠快於人工逐份翻閱文件比對準則的時間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color w:val="1F3A5F"/>
          <w:sz w:val="40"/>
        </w:rPr>
        <w:t>四、資料隔離與資料完整性設計</w:t>
      </w:r>
    </w:p>
    <w:p>
      <w:pPr>
        <w:spacing w:after="160"/>
      </w:pPr>
      <w:r>
        <w:rPr>
          <w:sz w:val="22"/>
        </w:rPr>
        <w:t>在多客戶共用同一個知識庫的情境下,「檢索結果不小心混進其他客戶的資料」是這類系統最容易出錯、也最不容易被察覺的風險。本 Demo 透過在每份文件上標註結構化的中繼資料(例如借款戶統一編號、案件編號),並在檢索時依這些欄位精準過濾,確保:</w:t>
      </w:r>
    </w:p>
    <w:p>
      <w:pPr>
        <w:pStyle w:val="ListBullet"/>
        <w:spacing w:after="80"/>
      </w:pPr>
      <w:r>
        <w:rPr>
          <w:sz w:val="22"/>
        </w:rPr>
        <w:t>查詢某一借款戶時,只會撈到「該戶」的案件文件,不會混入其他客戶的財務數字或聯徵紀錄。</w:t>
      </w:r>
    </w:p>
    <w:p>
      <w:pPr>
        <w:pStyle w:val="ListBullet"/>
        <w:spacing w:after="80"/>
      </w:pPr>
      <w:r>
        <w:rPr>
          <w:sz w:val="22"/>
        </w:rPr>
        <w:t>查詢任何案件時,全行共用的授信準則一定會被一併撈到,不會因為篩選條件而被排除,確保 AI 永遠有「判斷的尺」可以依循。</w:t>
      </w:r>
    </w:p>
    <w:p>
      <w:pPr>
        <w:spacing w:after="160"/>
      </w:pPr>
      <w:r>
        <w:rPr>
          <w:sz w:val="22"/>
        </w:rPr>
        <w:t>這個設計讓系統在資料量持續擴充(新增更多客戶案件)之後,依然能維持判斷的準確性與資料的區隔性,是實際導入多客戶場景時不可或缺的基礎架構設計。</w:t>
      </w:r>
    </w:p>
    <w:p>
      <w:pPr>
        <w:pStyle w:val="Heading1"/>
        <w:spacing w:before="360" w:after="200"/>
      </w:pPr>
      <w:r>
        <w:rPr>
          <w:color w:val="1F3A5F"/>
          <w:sz w:val="40"/>
        </w:rPr>
        <w:t>五、本方案的優勢功能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7087"/>
      </w:tblGrid>
      <w:tr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功能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1F3A5F"/>
                <w:sz w:val="21"/>
              </w:rPr>
              <w:t>判斷有憑有據,全程可追溯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1"/>
              </w:rPr>
              <w:t>每一個風險等級判斷都必須明確引用準則條文與來源文件,不是黑盒子評分,方便授信人員逐項核對與留存查核軌跡。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/>
            <w:r>
              <w:rPr>
                <w:b/>
                <w:color w:val="1F3A5F"/>
                <w:sz w:val="21"/>
              </w:rPr>
              <w:t>否決條款自動辨識</w:t>
            </w:r>
          </w:p>
        </w:tc>
        <w:tc>
          <w:tcPr>
            <w:tcW w:type="dxa" w:w="4320"/>
            <w:shd w:val="clear" w:color="auto" w:fill="EDF2F7"/>
          </w:tcPr>
          <w:p>
            <w:r/>
            <w:r>
              <w:rPr>
                <w:b w:val="0"/>
                <w:sz w:val="21"/>
              </w:rPr>
              <w:t>系統能主動辨識足以「一票否決」的重大負面事件(如退票未清償、連續虧損侵蝕淨值等),不會被其他正面因子稀釋掉關鍵風險訊號,判斷邏輯與銀行實務審核思維一致。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1F3A5F"/>
                <w:sz w:val="21"/>
              </w:rPr>
              <w:t>智慧案件識別,支援自然語言追問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1"/>
              </w:rPr>
              <w:t>使用者不需要每次重複輸入完整公司名稱,系統會自動理解對話上下文,判斷目前討論的是哪一位借款戶。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/>
            <w:r>
              <w:rPr>
                <w:b/>
                <w:color w:val="1F3A5F"/>
                <w:sz w:val="21"/>
              </w:rPr>
              <w:t>嚴謹的客戶資料隔離機制</w:t>
            </w:r>
          </w:p>
        </w:tc>
        <w:tc>
          <w:tcPr>
            <w:tcW w:type="dxa" w:w="4320"/>
            <w:shd w:val="clear" w:color="auto" w:fill="EDF2F7"/>
          </w:tcPr>
          <w:p>
            <w:r/>
            <w:r>
              <w:rPr>
                <w:b w:val="0"/>
                <w:sz w:val="21"/>
              </w:rPr>
              <w:t>透過結構化中繼資料精準區隔不同借款戶的檢索範圍,確保評估結果的準確性,同時保證判斷準則不會被誤篩掉。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1F3A5F"/>
                <w:sz w:val="21"/>
              </w:rPr>
              <w:t>誠實面對資料不足,拒絕臆測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1"/>
              </w:rPr>
              <w:t>當檢索不到足夠資料時,系統會明確告知「資料不足以完整評估」並列出缺口,而不是憑空編造答案或套用其他客戶的資料。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/>
            <w:r>
              <w:rPr>
                <w:b/>
                <w:color w:val="1F3A5F"/>
                <w:sz w:val="21"/>
              </w:rPr>
              <w:t>標準化結構化輸出</w:t>
            </w:r>
          </w:p>
        </w:tc>
        <w:tc>
          <w:tcPr>
            <w:tcW w:type="dxa" w:w="4320"/>
            <w:shd w:val="clear" w:color="auto" w:fill="EDF2F7"/>
          </w:tcPr>
          <w:p>
            <w:r/>
            <w:r>
              <w:rPr>
                <w:b w:val="0"/>
                <w:sz w:val="21"/>
              </w:rPr>
              <w:t>每次評估結果都依固定格式產出(風險等級、評等依據、主要風險因子、正面因子、建議補件、資料缺口、來源文件),便於後續系統整合、留存紀錄或人工複核。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1F3A5F"/>
                <w:sz w:val="21"/>
              </w:rPr>
              <w:t>明確的角色邊界與合規意識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1"/>
              </w:rPr>
              <w:t>系統明確定位為「初評輔助」工具,不做最終核貸/婉拒決策,每次回覆均提醒使用者本結果僅供參考,符合金融業對 AI 工具使用範圍的合規要求。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/>
            <w:r>
              <w:rPr>
                <w:b/>
                <w:color w:val="1F3A5F"/>
                <w:sz w:val="21"/>
              </w:rPr>
              <w:t>知識庫可持續擴充,不需重新開發</w:t>
            </w:r>
          </w:p>
        </w:tc>
        <w:tc>
          <w:tcPr>
            <w:tcW w:type="dxa" w:w="4320"/>
            <w:shd w:val="clear" w:color="auto" w:fill="EDF2F7"/>
          </w:tcPr>
          <w:p>
            <w:r/>
            <w:r>
              <w:rPr>
                <w:b w:val="0"/>
                <w:sz w:val="21"/>
              </w:rPr>
              <w:t>新增客戶案件或更新授信準則,只需要匯入對應文件即可生效,不需要修改系統邏輯或重新訓練模型,維運成本低。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1F3A5F"/>
                <w:sz w:val="21"/>
              </w:rPr>
              <w:t>部署彈性高,支援本地化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1"/>
              </w:rPr>
              <w:t>檢索(Embedding)、排序(Rerank)甚至語言模型本身,都可以視需求替換為企業自架或本地部署的服務,機敏資料可完全留在企業內部環境,降低外流疑慮。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color w:val="1F3A5F"/>
          <w:sz w:val="40"/>
        </w:rPr>
        <w:t>六、目前階段說明</w:t>
      </w:r>
    </w:p>
    <w:p>
      <w:pPr>
        <w:spacing w:after="160"/>
      </w:pPr>
      <w:r>
        <w:rPr>
          <w:sz w:val="22"/>
        </w:rPr>
        <w:t>本文件說明之系統為概念驗證(Proof of Concept)展示,所使用之公司名稱、統一編號、財務數字與案件內容均為系統模擬之虛構資料,尚未串接任何真實核心銀行系統或正式資料來源。</w:t>
      </w:r>
    </w:p>
    <w:p>
      <w:pPr>
        <w:spacing w:after="160"/>
      </w:pPr>
      <w:r>
        <w:rPr>
          <w:sz w:val="22"/>
        </w:rPr>
        <w:t>若進入正式導入評估階段,建議可進一步強化的方向包括:</w:t>
      </w:r>
    </w:p>
    <w:p>
      <w:pPr>
        <w:pStyle w:val="ListBullet"/>
        <w:spacing w:after="80"/>
      </w:pPr>
      <w:r>
        <w:rPr>
          <w:sz w:val="22"/>
        </w:rPr>
        <w:t>依實際資料量與使用情境,持續調校檢索精準度(如檢索筆數、分段策略、排序模型)。</w:t>
      </w:r>
    </w:p>
    <w:p>
      <w:pPr>
        <w:pStyle w:val="ListBullet"/>
        <w:spacing w:after="80"/>
      </w:pPr>
      <w:r>
        <w:rPr>
          <w:sz w:val="22"/>
        </w:rPr>
        <w:t>與核心銀行系統整合,自動取得客戶徵信資料,減少人工上傳作業。</w:t>
      </w:r>
    </w:p>
    <w:p>
      <w:pPr>
        <w:pStyle w:val="ListBullet"/>
        <w:spacing w:after="80"/>
      </w:pPr>
      <w:r>
        <w:rPr>
          <w:sz w:val="22"/>
        </w:rPr>
        <w:t>建立正式的評估紀錄留存與稽核軌跡,符合金融業法規遵循要求。</w:t>
      </w:r>
    </w:p>
    <w:p>
      <w:pPr>
        <w:pStyle w:val="ListBullet"/>
        <w:spacing w:after="80"/>
      </w:pPr>
      <w:r>
        <w:rPr>
          <w:sz w:val="22"/>
        </w:rPr>
        <w:t>視需求擴充使用者權限控管、多分行/多角色的存取範圍區隔。</w:t>
      </w:r>
    </w:p>
    <w:p>
      <w:pPr>
        <w:pStyle w:val="ListBullet"/>
        <w:spacing w:after="80"/>
      </w:pPr>
      <w:r>
        <w:rPr>
          <w:sz w:val="22"/>
        </w:rPr>
        <w:t>支援授信人員直接上傳臨時案件文件,不需事先建置進知識庫即可獲得初評建議。</w:t>
      </w:r>
    </w:p>
    <w:p>
      <w:pPr>
        <w:pStyle w:val="Heading1"/>
        <w:spacing w:before="360" w:after="200"/>
      </w:pPr>
      <w:r>
        <w:rPr>
          <w:color w:val="1F3A5F"/>
          <w:sz w:val="40"/>
        </w:rPr>
        <w:t>七、結語</w:t>
      </w:r>
    </w:p>
    <w:p>
      <w:pPr>
        <w:spacing w:after="160"/>
      </w:pPr>
      <w:r>
        <w:rPr>
          <w:sz w:val="22"/>
        </w:rPr>
        <w:t>本 Demo 展示了如何運用檢索增強生成技術與大型語言模型,將授信人員原本需要花費大量時間翻閱文件、比對準則的初評作業,轉化為一段可追溯、可解釋、有明確依據的自然語言對話。這不僅是效率的提升,更重要的是,每一個判斷背後都有清楚的準則引用與資料來源,讓 AI 輔助決策的過程本身也符合金融業對透明度與可稽核性的要求。</w:t>
      </w:r>
    </w:p>
    <w:p>
      <w:pPr>
        <w:spacing w:after="80"/>
      </w:pPr>
      <w:r>
        <w:rPr>
          <w:sz w:val="22"/>
        </w:rPr>
        <w:t>歡迎針對本 Demo 的任何細節進一步討論,我們可以依貴行實際的授信作業流程、資料格式與合規要求,規劃後續正式導入的具體方案。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