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E22AFD">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DZSS项目施工组织设计方案</w:t>
      </w:r>
    </w:p>
    <w:p w14:paraId="68CF4887">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一、工程概况</w:t>
      </w:r>
    </w:p>
    <w:p w14:paraId="22C3980E">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DZSS项目位于海南地区，总建筑面积约12万平方米，包含8栋高层住宅及配套商业设施。结构形式为框架-剪力墙结构，基础形式为桩基+筏板基础。</w:t>
      </w:r>
    </w:p>
    <w:p w14:paraId="6092C03D">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项目采用EPC总承包模式，由东南大学建筑设计研究院负责设计。合同工期24个月，计划于2026年3月1日开工，2028年2月28日竣工。</w:t>
      </w:r>
    </w:p>
    <w:p w14:paraId="7D94A31B">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二、施工总平面布置</w:t>
      </w:r>
    </w:p>
    <w:p w14:paraId="52B22CD8">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施工总平面布置遵循功能分区明确、物流通道畅通、临建设施集中布置的原则。主要包括施工区、办公区、生活区、材料加工及堆放区四大功能板块。</w:t>
      </w:r>
    </w:p>
    <w:p w14:paraId="45AF5066">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2.1 总平面布置图</w:t>
      </w:r>
    </w:p>
    <w:p w14:paraId="5DA39D45">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i w:val="0"/>
          <w:iCs w:val="0"/>
          <w:caps w:val="0"/>
          <w:color w:val="0F1115"/>
          <w:spacing w:val="0"/>
          <w:sz w:val="24"/>
          <w:szCs w:val="24"/>
          <w:shd w:val="clear" w:fill="FFFFFF"/>
        </w:rPr>
        <w:t>该图系统展示了施工区的整体功能分区与空间组织关系，内容涵盖施工区、办公区、生活区、材料堆场、钢筋加工区、施工大门及临时道路等主要设施，布局完整、分区明确、流线合理。各功能区域之间通过临时道路有效连接，便于施工组织与安全管理。图中所有构件及区域均附有清晰的图例与标注，图纸比例准确，尺寸关系协调，能够满足施工现场布置、调度管理及文明施工要求，具备较强的指导性和可实施性。</w:t>
      </w:r>
    </w:p>
    <w:p w14:paraId="530BFFE0">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3543300" cy="5010785"/>
            <wp:effectExtent l="0" t="0" r="0" b="184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3543300" cy="5010785"/>
                    </a:xfrm>
                    <a:prstGeom prst="rect">
                      <a:avLst/>
                    </a:prstGeom>
                  </pic:spPr>
                </pic:pic>
              </a:graphicData>
            </a:graphic>
          </wp:inline>
        </w:drawing>
      </w:r>
    </w:p>
    <w:p w14:paraId="3484A36A">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图1：施工现场总平面布置图。展示了施工区、办公区、生活区、材料堆场、钢筋加工区、施工大门及临时道路的完整布局，标注清晰，比例准确。</w:t>
      </w:r>
      <w:r>
        <w:rPr>
          <w:rFonts w:hint="eastAsia" w:ascii="微软雅黑" w:hAnsi="微软雅黑" w:eastAsia="微软雅黑" w:cs="微软雅黑"/>
          <w:i w:val="0"/>
          <w:iCs w:val="0"/>
          <w:caps w:val="0"/>
          <w:color w:val="0F1115"/>
          <w:spacing w:val="0"/>
          <w:sz w:val="24"/>
          <w:szCs w:val="24"/>
          <w:shd w:val="clear" w:fill="FFFFFF"/>
        </w:rPr>
        <w:t>便于施工组织与安全管理。图中所有构件及区域均附有清晰的图例与标注，图纸比例准确，尺寸关系协调，能够满足施工现场布置、调度管理及文明施工要求，具备较强的指导性和可实施性。</w:t>
      </w:r>
    </w:p>
    <w:p w14:paraId="080F53AF">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lang w:val="en-US" w:eastAsia="zh-CN"/>
        </w:rPr>
      </w:pPr>
      <w:r>
        <w:rPr>
          <w:rFonts w:hint="eastAsia" w:ascii="微软雅黑" w:hAnsi="微软雅黑" w:eastAsia="微软雅黑" w:cs="微软雅黑"/>
        </w:rPr>
        <w:t xml:space="preserve">2.2 </w:t>
      </w:r>
      <w:r>
        <w:rPr>
          <w:rFonts w:hint="eastAsia" w:ascii="微软雅黑" w:hAnsi="微软雅黑" w:eastAsia="微软雅黑" w:cs="微软雅黑"/>
          <w:lang w:val="en-US" w:eastAsia="zh-CN"/>
        </w:rPr>
        <w:t>第三层暗挖土流向示意图</w:t>
      </w:r>
    </w:p>
    <w:p w14:paraId="23BF117E">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lang w:val="en-US" w:eastAsia="zh-CN"/>
        </w:rPr>
      </w:pPr>
      <w:r>
        <w:rPr>
          <w:rFonts w:hint="eastAsia" w:ascii="微软雅黑" w:hAnsi="微软雅黑" w:eastAsia="微软雅黑" w:cs="微软雅黑"/>
          <w:i w:val="0"/>
          <w:iCs w:val="0"/>
          <w:caps w:val="0"/>
          <w:color w:val="0F1115"/>
          <w:spacing w:val="0"/>
          <w:sz w:val="24"/>
          <w:szCs w:val="24"/>
          <w:shd w:val="clear" w:fill="FFFFFF"/>
        </w:rPr>
        <w:t>本图详细反映了基坑第三层土方暗挖阶段的施工组织与土方调运路径。基坑设计开挖深度为5.2米，边坡采用1:1比例放坡，并结合土钉墙进行支护，以确保开挖过程中的边坡稳定性与施工安全。图中明确标注了本层土方的开挖边界与范围，用箭头清晰标示了出土方向及土方在场内的主要运输路线，同时标明了临时堆土场的具体位置。根据施工计划，本层土方开挖总量约为12万立方米，图示内容有助于合理规划出土时序、调度运输机械，并有效控制基坑暴露时间，保障后续工序的顺利衔接。</w:t>
      </w:r>
    </w:p>
    <w:p w14:paraId="64BC6085">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5029200" cy="46024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4602480"/>
                    </a:xfrm>
                    <a:prstGeom prst="rect">
                      <a:avLst/>
                    </a:prstGeom>
                  </pic:spPr>
                </pic:pic>
              </a:graphicData>
            </a:graphic>
          </wp:inline>
        </w:drawing>
      </w:r>
    </w:p>
    <w:p w14:paraId="3A2D4E6C">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图2：</w:t>
      </w:r>
      <w:r>
        <w:rPr>
          <w:rFonts w:hint="eastAsia" w:ascii="微软雅黑" w:hAnsi="微软雅黑" w:eastAsia="微软雅黑" w:cs="微软雅黑"/>
          <w:lang w:val="en-US" w:eastAsia="zh-CN"/>
        </w:rPr>
        <w:t>第三层暗挖土流向示意</w:t>
      </w:r>
      <w:r>
        <w:rPr>
          <w:rFonts w:hint="eastAsia" w:ascii="微软雅黑" w:hAnsi="微软雅黑" w:eastAsia="微软雅黑" w:cs="微软雅黑"/>
        </w:rPr>
        <w:t>图。基坑开挖深度5.2m，采用1:1放坡+土钉墙支护。标注了开挖范围、出土方向和临时堆土场位置，土方开挖总量约12万立方。</w:t>
      </w:r>
      <w:r>
        <w:rPr>
          <w:rFonts w:hint="eastAsia" w:ascii="微软雅黑" w:hAnsi="微软雅黑" w:eastAsia="微软雅黑" w:cs="微软雅黑"/>
          <w:i w:val="0"/>
          <w:iCs w:val="0"/>
          <w:caps w:val="0"/>
          <w:color w:val="0F1115"/>
          <w:spacing w:val="0"/>
          <w:sz w:val="24"/>
          <w:szCs w:val="24"/>
          <w:shd w:val="clear" w:fill="FFFFFF"/>
        </w:rPr>
        <w:t>本图详细反映了基坑第三层土方暗挖阶段的施工组织与土方调运路径。基坑设计开挖深度为5.2米，边坡采用1:1比例放坡，并结合土钉墙进行支护，以确保开挖过程中的边坡稳定性与施工安全。图中明确标注了本层土方的开挖边界与范围，用箭头清晰标示了出土方向及土方在场内的主要运输路线，同时标明了临时堆土场的具体位置。根据施工计划，本层土方开挖总量约为12万立方米，图示内容有助于合理规划出土时序、调度运输机械，并有效控制基坑暴露时间，保障后续工序的顺利衔接。</w:t>
      </w:r>
    </w:p>
    <w:p w14:paraId="60093F6E">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2.3 土方开挖阶段施工分区图</w:t>
      </w:r>
    </w:p>
    <w:p w14:paraId="69BAA245">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i w:val="0"/>
          <w:iCs w:val="0"/>
          <w:caps w:val="0"/>
          <w:color w:val="0F1115"/>
          <w:spacing w:val="0"/>
          <w:sz w:val="24"/>
          <w:szCs w:val="24"/>
          <w:shd w:val="clear" w:fill="FFFFFF"/>
        </w:rPr>
        <w:t>本图依据场地地形条件与出土总量，将施工区域合理划分为A、B、C三个独立施工分区，各分区之间边界明确、作业范围清晰。为实现高效均衡施工，三个分区采用流水作业组织模式，既便于土方调配与机械调度，也有助于减少交叉干扰，提升整体开挖效率。具体分区指标如下：A区面积约为8000平方米，B区约为6500平方米，C区约为5500平方米。各分区均独立配备垂直运输机械（如塔吊或井架），以满足各自分区内的土方垂直提升与水平转运需求。图示分区安排合理，有利于分阶段出土、错峰作业及安全管控，具有较强的施工指导意义。</w:t>
      </w:r>
      <w:r>
        <w:rPr>
          <w:rFonts w:hint="eastAsia" w:ascii="微软雅黑" w:hAnsi="微软雅黑" w:eastAsia="微软雅黑" w:cs="微软雅黑"/>
        </w:rPr>
        <w:drawing>
          <wp:inline distT="0" distB="0" distL="114300" distR="114300">
            <wp:extent cx="5029200" cy="3239770"/>
            <wp:effectExtent l="0" t="0" r="0" b="177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029200" cy="3240252"/>
                    </a:xfrm>
                    <a:prstGeom prst="rect">
                      <a:avLst/>
                    </a:prstGeom>
                  </pic:spPr>
                </pic:pic>
              </a:graphicData>
            </a:graphic>
          </wp:inline>
        </w:drawing>
      </w:r>
    </w:p>
    <w:p w14:paraId="7B82C62A">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图3：土方开挖阶段施工分区图。将场地分为A/B/C三个施工分区，各分区独立流水作业，标注了各分区的边界和作业范围。</w:t>
      </w:r>
    </w:p>
    <w:p w14:paraId="2377D5FB">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三个分区实行流水施工组织。A区面积约8000、B区约6500、C区约5500。各分区独立配备垂直运输机械。</w:t>
      </w:r>
    </w:p>
    <w:p w14:paraId="40C4154B">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三、主体结构与装饰装修</w:t>
      </w:r>
    </w:p>
    <w:p w14:paraId="20D6D48C">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lang w:val="en-US" w:eastAsia="zh-CN"/>
        </w:rPr>
      </w:pPr>
      <w:r>
        <w:rPr>
          <w:rFonts w:hint="eastAsia" w:ascii="微软雅黑" w:hAnsi="微软雅黑" w:eastAsia="微软雅黑" w:cs="微软雅黑"/>
        </w:rPr>
        <w:t>3.1 主体结构施工阶段</w:t>
      </w:r>
      <w:r>
        <w:rPr>
          <w:rFonts w:hint="eastAsia" w:ascii="微软雅黑" w:hAnsi="微软雅黑" w:eastAsia="微软雅黑" w:cs="微软雅黑"/>
          <w:lang w:val="en-US" w:eastAsia="zh-CN"/>
        </w:rPr>
        <w:t>平面布置图</w:t>
      </w:r>
    </w:p>
    <w:p w14:paraId="65C5C86C">
      <w:pPr>
        <w:pStyle w:val="2"/>
        <w:keepNext w:val="0"/>
        <w:keepLines w:val="0"/>
        <w:pageBreakBefore w:val="0"/>
        <w:widowControl/>
        <w:suppressLineNumbers w:val="0"/>
        <w:kinsoku/>
        <w:wordWrap/>
        <w:overflowPunct/>
        <w:topLinePunct w:val="0"/>
        <w:autoSpaceDE/>
        <w:autoSpaceDN/>
        <w:bidi w:val="0"/>
        <w:adjustRightInd/>
        <w:snapToGrid/>
        <w:spacing w:before="240" w:beforeAutospacing="0" w:after="0" w:afterAutospacing="0" w:line="240" w:lineRule="auto"/>
        <w:ind w:left="0" w:right="0"/>
        <w:textAlignment w:val="auto"/>
        <w:rPr>
          <w:rFonts w:hint="eastAsia" w:ascii="微软雅黑" w:hAnsi="微软雅黑" w:eastAsia="微软雅黑" w:cs="微软雅黑"/>
        </w:rPr>
      </w:pPr>
      <w:r>
        <w:rPr>
          <w:rFonts w:hint="eastAsia" w:ascii="微软雅黑" w:hAnsi="微软雅黑" w:eastAsia="微软雅黑" w:cs="微软雅黑"/>
          <w:i w:val="0"/>
          <w:iCs w:val="0"/>
          <w:caps w:val="0"/>
          <w:color w:val="0F1115"/>
          <w:spacing w:val="0"/>
          <w:sz w:val="24"/>
          <w:szCs w:val="24"/>
          <w:shd w:val="clear" w:fill="FFFFFF"/>
        </w:rPr>
        <w:t>本图针对框架-剪力墙结构体系（标准柱网尺寸为8.4m×8.4m）的主体施工阶段，对现场机械设备及物料堆场进行了系统规划与标注。图中明确布置了2台TC6015型塔吊，覆盖主要作业区域以满足结构施工阶段的垂直与水平运输需求；同时设置了SC200/200型施工电梯，用于人员及材料的垂直运输。此外，图中分别标注了钢筋堆场和PC构件堆场的具体位置，充分考虑了两类主要材料的进场、卸货、吊装及存放流线。整体布置结构紧凑、分区合理，能够有效支撑主体结构的流水施工组织，提升现场周转效率，并满足安全与文明施工要求。</w:t>
      </w:r>
    </w:p>
    <w:p w14:paraId="6FAB6882">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lang w:val="en-US" w:eastAsia="zh-CN"/>
        </w:rPr>
      </w:pPr>
    </w:p>
    <w:p w14:paraId="56CD62C9">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4491355" cy="2893060"/>
            <wp:effectExtent l="0" t="0" r="444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491355" cy="2893060"/>
                    </a:xfrm>
                    <a:prstGeom prst="rect">
                      <a:avLst/>
                    </a:prstGeom>
                  </pic:spPr>
                </pic:pic>
              </a:graphicData>
            </a:graphic>
          </wp:inline>
        </w:drawing>
      </w:r>
    </w:p>
    <w:p w14:paraId="2F6AA4CE">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图4：主体结构施工阶段平面布置图。框架-剪力墙体系，柱网8.4m×8.4m。标注了塔吊(TC6015型2台)、施工电梯(SC200/200)、钢筋堆场、PC构件堆场位置。</w:t>
      </w:r>
      <w:r>
        <w:rPr>
          <w:rFonts w:hint="eastAsia" w:ascii="微软雅黑" w:hAnsi="微软雅黑" w:eastAsia="微软雅黑" w:cs="微软雅黑"/>
          <w:i w:val="0"/>
          <w:iCs w:val="0"/>
          <w:caps w:val="0"/>
          <w:color w:val="0F1115"/>
          <w:spacing w:val="0"/>
          <w:sz w:val="24"/>
          <w:szCs w:val="24"/>
          <w:shd w:val="clear" w:fill="FFFFFF"/>
        </w:rPr>
        <w:t>本图针对框架-剪力墙结构体系（标准柱网尺寸为8.4m×8.4m）的主体施工阶段，对现场机械设备及物料堆场进行了系统规划与标注。图中明确布置了2台TC6015型塔吊，覆盖主要作业区域以满足结构施工阶段的垂直与水平运输需求；同时设置了SC200/200型施工电梯，用于人员及材料的垂直运输。此外，图中分别标注了钢筋堆场和PC构件堆场的具体位置，充分考虑了两类主要材料的进场、卸货、吊装及存放流线。整体布置结构紧凑、分区合理，能够有效支撑主体结构的流水施工组织，提升现场周转效率，并满足安全与文明施工要求。</w:t>
      </w:r>
    </w:p>
    <w:p w14:paraId="1223B53D">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p>
    <w:p w14:paraId="470562EB">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3.2 装饰装修施工阶段</w:t>
      </w:r>
    </w:p>
    <w:p w14:paraId="25067DF3">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i w:val="0"/>
          <w:iCs w:val="0"/>
          <w:caps w:val="0"/>
          <w:color w:val="0F1115"/>
          <w:spacing w:val="0"/>
          <w:sz w:val="24"/>
          <w:szCs w:val="24"/>
          <w:shd w:val="clear" w:fill="FFFFFF"/>
        </w:rPr>
        <w:t>本图针对工程进入装饰装修阶段后的多专业并行施工需求，对现场作业区域与物料组织进行了系统划分与标注。图中将施工范围明确划分为外立面装饰、室内精装修、公共区域装修三个主要施工区，各区既相对独立，又通过现场交通与垂直运输体系实现有效衔接，便于分区管理与穿插作业。为保障各类装饰材料的及时供给，图中清晰标注了材料垂直运输通道的具体位置（依托既有施工电梯或专用物料提升机），并设置了专门的周转材料堆放区，用于存放轻钢龙骨、饰面板、瓷砖、腻子粉、脚手架配件等常用物料。整体布置兼顾了材料流动效率、作业区通道安全及楼层内施工秩序，能够有效支持装饰装修阶段分层分区、多班组交叉作业的组织需求。</w:t>
      </w:r>
    </w:p>
    <w:p w14:paraId="7AF9DBB0">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5029200" cy="32353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029200" cy="3235490"/>
                    </a:xfrm>
                    <a:prstGeom prst="rect">
                      <a:avLst/>
                    </a:prstGeom>
                  </pic:spPr>
                </pic:pic>
              </a:graphicData>
            </a:graphic>
          </wp:inline>
        </w:drawing>
      </w:r>
    </w:p>
    <w:p w14:paraId="4FA4F3D2">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图5：装饰装修施工阶段平面布置图。含外立面装饰、室内精装修、公共区域装修三个施工区，标注了材料垂直运输通道和周转材料堆放区。</w:t>
      </w:r>
      <w:r>
        <w:rPr>
          <w:rFonts w:hint="eastAsia" w:ascii="微软雅黑" w:hAnsi="微软雅黑" w:eastAsia="微软雅黑" w:cs="微软雅黑"/>
          <w:i w:val="0"/>
          <w:iCs w:val="0"/>
          <w:caps w:val="0"/>
          <w:color w:val="0F1115"/>
          <w:spacing w:val="0"/>
          <w:sz w:val="24"/>
          <w:szCs w:val="24"/>
          <w:shd w:val="clear" w:fill="FFFFFF"/>
        </w:rPr>
        <w:t>本图针对工程进入装饰装修阶段后的多专业并行施工需求，对现场作业区域与物料组织进行了系统划分与标注。图中将施工范围明确划分为外立面装饰、室内精装修、公共区域装修三个主要施工区，各区既相对独立，又通过现场交通与垂直运输体系实现有效衔接，便于分区管理与穿插作业。为保障各类装饰材料的及时供给，图中清晰标注了材料垂直运输通道的具体位置（依托既有施工电梯或专用物料提升机），并设置了专门的周转材料堆放区，用于存放轻钢龙骨、饰面板、瓷砖、腻子粉、脚手架配件等常用物料。整体布置兼顾了材料流动效率、作业区通道安全及楼层内施工秩序，能够有效支持装饰装修阶段分层分区、多班组交叉作业的组织需求。</w:t>
      </w:r>
    </w:p>
    <w:p w14:paraId="17E4F632">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lang w:val="en-US" w:eastAsia="zh-CN"/>
        </w:rPr>
      </w:pPr>
      <w:r>
        <w:rPr>
          <w:rFonts w:hint="eastAsia" w:ascii="微软雅黑" w:hAnsi="微软雅黑" w:eastAsia="微软雅黑" w:cs="微软雅黑"/>
        </w:rPr>
        <w:t>四、园林绿化</w:t>
      </w:r>
      <w:r>
        <w:rPr>
          <w:rFonts w:hint="eastAsia" w:ascii="微软雅黑" w:hAnsi="微软雅黑" w:eastAsia="微软雅黑" w:cs="微软雅黑"/>
          <w:lang w:val="en-US" w:eastAsia="zh-CN"/>
        </w:rPr>
        <w:t>施工阶段平面布置图</w:t>
      </w:r>
    </w:p>
    <w:p w14:paraId="7A142854">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项目施工前对周边环境进行了详细踏勘，识别出需重点保护的敏感目标，制定了针对性的施工防护措施。</w:t>
      </w:r>
      <w:r>
        <w:rPr>
          <w:rFonts w:hint="eastAsia" w:ascii="微软雅黑" w:hAnsi="微软雅黑" w:eastAsia="微软雅黑" w:cs="微软雅黑"/>
          <w:i w:val="0"/>
          <w:iCs w:val="0"/>
          <w:caps w:val="0"/>
          <w:color w:val="0F1115"/>
          <w:spacing w:val="0"/>
          <w:sz w:val="24"/>
          <w:szCs w:val="24"/>
          <w:shd w:val="clear" w:fill="FFFFFF"/>
        </w:rPr>
        <w:t>本图针对工程后期园林绿化施工阶段的场地作业需求，系统展示了景观施工的整体空间组织与功能分区。图中明确标定了景观施工的具体范围，并将绿化种植区域与硬质铺装区进行了清晰区分，前者包括乔木、灌木及地被植物的种植位置与布局，后者涵盖园路、广场及休憩平台等硬化景观设施。此外，图中重点表达了绿化区域及硬质铺装区与周边既有或新建市政道路的衔接关系，包括出入口位置、衔接标高、排水组织及过渡带处理方式。整体布置层次分明、流线清晰，既满足了景观效果呈现的要求，也为多专业交叉施工提供了协调依据，具有较强的现场指导性和可操作性。</w:t>
      </w:r>
    </w:p>
    <w:p w14:paraId="3D792DDC">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5029200" cy="3234055"/>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029200" cy="3234324"/>
                    </a:xfrm>
                    <a:prstGeom prst="rect">
                      <a:avLst/>
                    </a:prstGeom>
                  </pic:spPr>
                </pic:pic>
              </a:graphicData>
            </a:graphic>
          </wp:inline>
        </w:drawing>
      </w:r>
    </w:p>
    <w:p w14:paraId="66D14FA7">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图6：园林绿化</w:t>
      </w:r>
      <w:r>
        <w:rPr>
          <w:rFonts w:hint="eastAsia" w:ascii="微软雅黑" w:hAnsi="微软雅黑" w:eastAsia="微软雅黑" w:cs="微软雅黑"/>
          <w:lang w:val="en-US" w:eastAsia="zh-CN"/>
        </w:rPr>
        <w:t>施工阶段平面布置图</w:t>
      </w:r>
      <w:r>
        <w:rPr>
          <w:rFonts w:hint="eastAsia" w:ascii="微软雅黑" w:hAnsi="微软雅黑" w:eastAsia="微软雅黑" w:cs="微软雅黑"/>
        </w:rPr>
        <w:t>。展示景观施工范围、绿化种植区域、硬质铺装区及与周边道路的衔接关系。</w:t>
      </w:r>
      <w:r>
        <w:rPr>
          <w:rFonts w:hint="eastAsia" w:ascii="微软雅黑" w:hAnsi="微软雅黑" w:eastAsia="微软雅黑" w:cs="微软雅黑"/>
          <w:i w:val="0"/>
          <w:iCs w:val="0"/>
          <w:caps w:val="0"/>
          <w:color w:val="0F1115"/>
          <w:spacing w:val="0"/>
          <w:sz w:val="24"/>
          <w:szCs w:val="24"/>
          <w:shd w:val="clear" w:fill="FFFFFF"/>
        </w:rPr>
        <w:t>本图针对工程后期园林绿化施工阶段的场地作业需求，系统展示了景观施工的整体空间组织与功能分区。图中明确标定了景观施工的具体范围，并将绿化种植区域与硬质铺装区进行了清晰区分，前者包括乔木、灌木及地被植物的种植位置与布局，后者涵盖园路、广场及休憩平台等硬化景观设施。此外，图中重点表达了绿化区域及硬质铺装区与周边既有或新建市政道路的衔接关系，包括出入口位置、衔接标高、排水组织及过渡带处理方式。整体布置层次分明、流线清晰，既满足了景观效果呈现的要求，也为多专业交叉施工提供了协调依据，具有较强的现场指导性和可操作性。</w:t>
      </w:r>
    </w:p>
    <w:p w14:paraId="448FC314">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五、临时设施与附属设施</w:t>
      </w:r>
    </w:p>
    <w:p w14:paraId="24F541C8">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5.1 视频监控及临时用电布置</w:t>
      </w:r>
    </w:p>
    <w:p w14:paraId="386FC378">
      <w:pPr>
        <w:pStyle w:val="2"/>
        <w:keepNext w:val="0"/>
        <w:keepLines w:val="0"/>
        <w:pageBreakBefore w:val="0"/>
        <w:widowControl/>
        <w:suppressLineNumbers w:val="0"/>
        <w:kinsoku/>
        <w:wordWrap/>
        <w:overflowPunct/>
        <w:topLinePunct w:val="0"/>
        <w:autoSpaceDE/>
        <w:autoSpaceDN/>
        <w:bidi w:val="0"/>
        <w:adjustRightInd/>
        <w:snapToGrid/>
        <w:spacing w:before="240" w:beforeAutospacing="0" w:after="0" w:afterAutospacing="0" w:line="240" w:lineRule="auto"/>
        <w:ind w:left="0" w:right="0"/>
        <w:textAlignment w:val="auto"/>
        <w:rPr>
          <w:rFonts w:hint="eastAsia" w:ascii="微软雅黑" w:hAnsi="微软雅黑" w:eastAsia="微软雅黑" w:cs="微软雅黑"/>
        </w:rPr>
      </w:pPr>
      <w:r>
        <w:rPr>
          <w:rFonts w:hint="eastAsia" w:ascii="微软雅黑" w:hAnsi="微软雅黑" w:eastAsia="微软雅黑" w:cs="微软雅黑"/>
          <w:i w:val="0"/>
          <w:iCs w:val="0"/>
          <w:caps w:val="0"/>
          <w:color w:val="0F1115"/>
          <w:spacing w:val="0"/>
          <w:sz w:val="24"/>
          <w:szCs w:val="24"/>
          <w:shd w:val="clear" w:fill="FFFFFF"/>
        </w:rPr>
        <w:t>本图为施工现场安全监控与临时用电系统的综合布置图示。图中系统标注了视频监控点位共计24处，覆盖施工区、材料堆场、加工区、办公生活区、施工大门及围墙等重点区域，形成全方位、无死角的现场安防监控网络。同时明确了监控室的具体位置，便于值班人员实时查看监控画面并进行应急调度；弱电线路敷设路径亦在图中清晰标示，确保信号传输稳定、线路走向合理且与其他管线无冲突。在临时用电方面，图中标注了配电房位置及各级配电箱的分布情况，包括总配电箱、分配电箱及开关箱的设置点位，体现了分级配电、一机一闸一漏的用电安全原则。本图将弱电监控系统与强电配电系统统筹表达，布局清晰、标注完整，有助于现场安防管理与临时用电规范化施工。</w:t>
      </w:r>
    </w:p>
    <w:p w14:paraId="745A153B">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5029200" cy="3297555"/>
            <wp:effectExtent l="0" t="0" r="0" b="171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029200" cy="3297775"/>
                    </a:xfrm>
                    <a:prstGeom prst="rect">
                      <a:avLst/>
                    </a:prstGeom>
                  </pic:spPr>
                </pic:pic>
              </a:graphicData>
            </a:graphic>
          </wp:inline>
        </w:drawing>
      </w:r>
    </w:p>
    <w:p w14:paraId="4CED0C60">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图7：视频监控及临时用电平面布置图。含监控点位(共24处)、监控室位置、弱电线路敷设路径、配电房及配电箱分布。</w:t>
      </w:r>
      <w:r>
        <w:rPr>
          <w:rFonts w:hint="eastAsia" w:ascii="微软雅黑" w:hAnsi="微软雅黑" w:eastAsia="微软雅黑" w:cs="微软雅黑"/>
          <w:i w:val="0"/>
          <w:iCs w:val="0"/>
          <w:caps w:val="0"/>
          <w:color w:val="0F1115"/>
          <w:spacing w:val="0"/>
          <w:sz w:val="24"/>
          <w:szCs w:val="24"/>
          <w:shd w:val="clear" w:fill="FFFFFF"/>
        </w:rPr>
        <w:t>本图为施工现场安全监控与临时用电系统的综合布置图示。图中系统标注了视频监控点位共计24处，覆盖施工区、材料堆场、加工区、办公生活区、施工大门及围墙等重点区域，形成全方位、无死角的现场安防监控网络。同时明确了监控室的具体位置，便于值班人员实时查看监控画面并进行应急调度；弱电线路敷设路径亦在图中清晰标示，确保信号传输稳定、线路走向合理且与其他管线无冲突。在临时用电方面，图中标注了配电房位置及各级配电箱的分布情况，包括总配电箱、分配电箱及开关箱的设置点位，体现了分级配电、一机一闸一漏的用电安全原则。本图将弱电监控系统与强电配电系统统筹表达，布局清晰、标注完整，有助于现场安防管理与临时用电规范化施工。</w:t>
      </w:r>
    </w:p>
    <w:p w14:paraId="01A044F2">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5.2 临建设施平面布置</w:t>
      </w:r>
    </w:p>
    <w:p w14:paraId="11A2B08E">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i w:val="0"/>
          <w:iCs w:val="0"/>
          <w:caps w:val="0"/>
          <w:color w:val="0F1115"/>
          <w:spacing w:val="0"/>
          <w:sz w:val="24"/>
          <w:szCs w:val="24"/>
          <w:shd w:val="clear" w:fill="FFFFFF"/>
        </w:rPr>
        <w:t> </w:t>
      </w:r>
      <w:r>
        <w:rPr>
          <w:rFonts w:hint="eastAsia" w:ascii="微软雅黑" w:hAnsi="微软雅黑" w:eastAsia="微软雅黑" w:cs="微软雅黑"/>
          <w:i w:val="0"/>
          <w:iCs w:val="0"/>
          <w:caps w:val="0"/>
          <w:color w:val="0F1115"/>
          <w:spacing w:val="0"/>
          <w:sz w:val="24"/>
          <w:szCs w:val="24"/>
          <w:shd w:val="clear" w:fill="FFFFFF"/>
        </w:rPr>
        <w:t>本图系统展示了施工现场临时设施的完整布局与功能分区。图中详细标注了办公区、生活区及相关配套设施的设置情况。办公区共计5间用房，其中包含1间会议室，满足项目管理人员日常办公及会议需求；生活区配置齐全，涵盖宿舍20间、食堂1座及卫生间若干，为施工人员提供了基本生活保障。此外，图中还标明了门卫室、洗车台及标养室的位置。门卫室设于施工大门处便于出入管理；洗车台靠近主要出入口，用于进出车辆冲洗以保持场地清洁；标养室则独立设置，满足混凝土及砂浆试块的标准养护条件。整体平面布局紧凑合理，办公、生活与辅助功能分区明确，流线组织顺畅，既便于日常管理，也符合安全、卫生及文明施工的相关要求。</w:t>
      </w:r>
    </w:p>
    <w:p w14:paraId="0EE9E86C">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5029200" cy="3562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5029200" cy="3562819"/>
                    </a:xfrm>
                    <a:prstGeom prst="rect">
                      <a:avLst/>
                    </a:prstGeom>
                  </pic:spPr>
                </pic:pic>
              </a:graphicData>
            </a:graphic>
          </wp:inline>
        </w:drawing>
      </w:r>
    </w:p>
    <w:p w14:paraId="0282058E">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图8：临建设施平面布置图。含办公区(办公室5间含1间会议室)、生活区(宿舍20间、食堂、卫生间)、门卫室、洗车台、标养室等。</w:t>
      </w:r>
      <w:r>
        <w:rPr>
          <w:rFonts w:hint="eastAsia" w:ascii="微软雅黑" w:hAnsi="微软雅黑" w:eastAsia="微软雅黑" w:cs="微软雅黑"/>
          <w:i w:val="0"/>
          <w:iCs w:val="0"/>
          <w:caps w:val="0"/>
          <w:color w:val="0F1115"/>
          <w:spacing w:val="0"/>
          <w:sz w:val="24"/>
          <w:szCs w:val="24"/>
          <w:shd w:val="clear" w:fill="FFFFFF"/>
        </w:rPr>
        <w:t> </w:t>
      </w:r>
      <w:r>
        <w:rPr>
          <w:rFonts w:hint="eastAsia" w:ascii="微软雅黑" w:hAnsi="微软雅黑" w:eastAsia="微软雅黑" w:cs="微软雅黑"/>
          <w:i w:val="0"/>
          <w:iCs w:val="0"/>
          <w:caps w:val="0"/>
          <w:color w:val="0F1115"/>
          <w:spacing w:val="0"/>
          <w:sz w:val="24"/>
          <w:szCs w:val="24"/>
          <w:shd w:val="clear" w:fill="FFFFFF"/>
        </w:rPr>
        <w:t>用于进出车辆冲洗以保持场地清洁；标养室则独立设置，满足混凝土及砂浆试块的标准养护条件。整体平面布局紧凑合理，办公、生活与辅助功能分区明确，流线组织顺畅，既便于日常管理，也符合安全、卫生及文明施工的相关要求。</w:t>
      </w:r>
    </w:p>
    <w:p w14:paraId="2458D3C7">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六、施工计划与基础工程</w:t>
      </w:r>
    </w:p>
    <w:p w14:paraId="37975ACD">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6.1 施工进度计划</w:t>
      </w:r>
    </w:p>
    <w:p w14:paraId="05A20426">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施工总工期24个月，分五个阶段组织实施。关键线路为：施工准备-土方工程-基础工程-主体结构-装饰装修。施工总工期24个月，分五个阶段组织实施。关键线路为：施工准备-土方工程-基础工程-主体结构-装饰装修。</w:t>
      </w:r>
    </w:p>
    <w:p w14:paraId="471172DA">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施工总工期24个月，分五个阶段组织实施。关键线路为：施工准备-土方工程-基础工程-主体结构-装饰装修。</w:t>
      </w:r>
    </w:p>
    <w:p w14:paraId="2394D9EB">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p>
    <w:p w14:paraId="7E18B41A">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5029200" cy="3613785"/>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029200" cy="3613796"/>
                    </a:xfrm>
                    <a:prstGeom prst="rect">
                      <a:avLst/>
                    </a:prstGeom>
                  </pic:spPr>
                </pic:pic>
              </a:graphicData>
            </a:graphic>
          </wp:inline>
        </w:drawing>
      </w:r>
    </w:p>
    <w:p w14:paraId="117D4079">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图9：施工进度计划图。标注了各施工阶段的起止时间：施工准备2026.3.1-4.15，土方2026.4.16-6.30，基础2026.7.1-9.30，主体2026.10.1-2027.4.30，装饰装修2027.5.1-11.30。图9：施工进度计划图</w:t>
      </w:r>
      <w:r>
        <w:rPr>
          <w:rFonts w:hint="eastAsia" w:ascii="微软雅黑" w:hAnsi="微软雅黑" w:eastAsia="微软雅黑" w:cs="微软雅黑"/>
          <w:lang w:eastAsia="zh-CN"/>
        </w:rPr>
        <w:t>。</w:t>
      </w:r>
      <w:r>
        <w:rPr>
          <w:rFonts w:hint="eastAsia" w:ascii="微软雅黑" w:hAnsi="微软雅黑" w:eastAsia="微软雅黑" w:cs="微软雅黑"/>
        </w:rPr>
        <w:t>标注了各施工阶段的起止时间：施工准备2026.3.1-4.15，土方2026.4.16-6.30，基础2026.7.1-9.30，主体2026.10.1-2027.4.30，装饰装修2027.5.1-11.30。</w:t>
      </w:r>
    </w:p>
    <w:p w14:paraId="5FB022CE">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图9：施工进度计划图。标注了各施工阶段的起止时间：施工准备2026.3.1-4.15，土方2026.4.16-6.30，基础2026.7.1-9.30，主体2026.10.1-2027.4.30，装饰装修2027.5.1-11.30。</w:t>
      </w:r>
    </w:p>
    <w:p w14:paraId="68E9E592">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6.2 基础结构</w:t>
      </w:r>
    </w:p>
    <w:p w14:paraId="4052724B">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bookmarkStart w:id="0" w:name="_GoBack"/>
      <w:r>
        <w:rPr>
          <w:rFonts w:hint="eastAsia" w:ascii="微软雅黑" w:hAnsi="微软雅黑" w:eastAsia="微软雅黑" w:cs="微软雅黑"/>
        </w:rPr>
        <w:drawing>
          <wp:inline distT="0" distB="0" distL="114300" distR="114300">
            <wp:extent cx="5029200" cy="6771005"/>
            <wp:effectExtent l="0" t="0" r="0" b="1079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029200" cy="6771540"/>
                    </a:xfrm>
                    <a:prstGeom prst="rect">
                      <a:avLst/>
                    </a:prstGeom>
                  </pic:spPr>
                </pic:pic>
              </a:graphicData>
            </a:graphic>
          </wp:inline>
        </w:drawing>
      </w:r>
      <w:bookmarkEnd w:id="0"/>
    </w:p>
    <w:p w14:paraId="69A9A88F">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rPr>
      </w:pPr>
      <w:r>
        <w:rPr>
          <w:rFonts w:hint="eastAsia" w:ascii="微软雅黑" w:hAnsi="微软雅黑" w:eastAsia="微软雅黑" w:cs="微软雅黑"/>
        </w:rPr>
        <w:t>图10：</w:t>
      </w:r>
      <w:r>
        <w:rPr>
          <w:rFonts w:hint="eastAsia" w:ascii="微软雅黑" w:hAnsi="微软雅黑" w:eastAsia="微软雅黑" w:cs="微软雅黑"/>
          <w:lang w:val="en-US" w:eastAsia="zh-CN"/>
        </w:rPr>
        <w:t>地上施工阶段</w:t>
      </w:r>
      <w:r>
        <w:rPr>
          <w:rFonts w:hint="eastAsia" w:ascii="微软雅黑" w:hAnsi="微软雅黑" w:eastAsia="微软雅黑" w:cs="微软雅黑"/>
        </w:rPr>
        <w:t>平面</w:t>
      </w:r>
      <w:r>
        <w:rPr>
          <w:rFonts w:hint="eastAsia" w:ascii="微软雅黑" w:hAnsi="微软雅黑" w:eastAsia="微软雅黑" w:cs="微软雅黑"/>
          <w:lang w:val="en-US" w:eastAsia="zh-CN"/>
        </w:rPr>
        <w:t>布置</w:t>
      </w:r>
      <w:r>
        <w:rPr>
          <w:rFonts w:hint="eastAsia" w:ascii="微软雅黑" w:hAnsi="微软雅黑" w:eastAsia="微软雅黑" w:cs="微软雅黑"/>
        </w:rPr>
        <w:t>图。桩基+筏板基础，桩径800mm、桩长28m共216根，筏板厚1.2m C35混凝土。标注了桩位编号、桩顶标高和承台尺寸图10：</w:t>
      </w:r>
      <w:r>
        <w:rPr>
          <w:rFonts w:hint="eastAsia" w:ascii="微软雅黑" w:hAnsi="微软雅黑" w:eastAsia="微软雅黑" w:cs="微软雅黑"/>
          <w:lang w:val="en-US" w:eastAsia="zh-CN"/>
        </w:rPr>
        <w:t>地上施工阶段</w:t>
      </w:r>
      <w:r>
        <w:rPr>
          <w:rFonts w:hint="eastAsia" w:ascii="微软雅黑" w:hAnsi="微软雅黑" w:eastAsia="微软雅黑" w:cs="微软雅黑"/>
        </w:rPr>
        <w:t>平面</w:t>
      </w:r>
      <w:r>
        <w:rPr>
          <w:rFonts w:hint="eastAsia" w:ascii="微软雅黑" w:hAnsi="微软雅黑" w:eastAsia="微软雅黑" w:cs="微软雅黑"/>
          <w:lang w:val="en-US" w:eastAsia="zh-CN"/>
        </w:rPr>
        <w:t>布置</w:t>
      </w:r>
      <w:r>
        <w:rPr>
          <w:rFonts w:hint="eastAsia" w:ascii="微软雅黑" w:hAnsi="微软雅黑" w:eastAsia="微软雅黑" w:cs="微软雅黑"/>
        </w:rPr>
        <w:t>图。桩基+筏板基础，桩径800mm、桩长28m共216根，筏板厚1.2m C35混凝土。标注了桩位编号、桩顶标高和承台尺寸。</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7DF1535"/>
    <w:rsid w:val="1B793918"/>
    <w:rsid w:val="1C3C7A23"/>
    <w:rsid w:val="26127169"/>
    <w:rsid w:val="37B149F9"/>
    <w:rsid w:val="3969664C"/>
    <w:rsid w:val="3F3A5C68"/>
    <w:rsid w:val="431B354B"/>
    <w:rsid w:val="47DF1535"/>
    <w:rsid w:val="6918480D"/>
    <w:rsid w:val="78FA28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4"/>
      <w:szCs w:val="22"/>
      <w:lang w:val="en-US" w:eastAsia="en-US"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rPr>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image" Target="media/image10.jpeg"/><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1074</Words>
  <Characters>1236</Characters>
  <Lines>0</Lines>
  <Paragraphs>0</Paragraphs>
  <TotalTime>3</TotalTime>
  <ScaleCrop>false</ScaleCrop>
  <LinksUpToDate>false</LinksUpToDate>
  <CharactersWithSpaces>1246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2026-05-09T14:18:00Z</dcterms:created>
  <dc:creator>三五七言</dc:creator>
  <cp:lastModifiedBy>三五七言</cp:lastModifiedBy>
  <dcterms:modified xsi:type="dcterms:W3CDTF">2026-05-12T12:22:51Z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17B88C4359214C8B8AC9079D02C1BFB3_11</vt:lpwstr>
  </property>
  <property fmtid="{D5CDD505-2E9C-101B-9397-08002B2CF9AE}" pid="4" name="KSOTemplateDocerSaveRecord">
    <vt:lpwstr>eyJoZGlkIjoiOTg2MTI3YTRhODVlODhiMjlmNTIzZWIxY2JiMjBhNWUiLCJ1c2VySWQiOiIxMTM5NjM2ODMyIn0=</vt:lpwstr>
  </property>
</Properties>
</file>