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5C"/>
          <w:sz w:val="28"/>
          <w:szCs w:val="28"/>
        </w:rPr>
        <w:t xml:space="preserve">DISASTER MANAGEMENT INFORMATION SYSTEM (DMIS)</w:t>
      </w:r>
    </w:p>
    <w:p>
      <w:pPr>
        <w:spacing w:after="60"/>
        <w:jc w:val="center"/>
      </w:pPr>
      <w:r>
        <w:rPr>
          <w:rFonts w:ascii="Arial" w:cs="Arial" w:eastAsia="Arial" w:hAnsi="Arial"/>
          <w:b/>
          <w:bCs/>
          <w:color w:val="2C5F8A"/>
          <w:sz w:val="24"/>
          <w:szCs w:val="24"/>
        </w:rPr>
        <w:t xml:space="preserve">Requirements Specification — v6.1 Change Notice</w:t>
      </w:r>
    </w:p>
    <w:p>
      <w:pPr>
        <w:spacing w:after="60"/>
        <w:jc w:val="center"/>
      </w:pPr>
      <w:r>
        <w:rPr>
          <w:rFonts w:ascii="Arial" w:cs="Arial" w:eastAsia="Arial" w:hAnsi="Arial"/>
          <w:color w:val="2C5F8A"/>
          <w:sz w:val="22"/>
          <w:szCs w:val="22"/>
        </w:rPr>
        <w:t xml:space="preserve">Gap Closure Addendum</w:t>
      </w:r>
    </w:p>
    <w:p>
      <w:pPr>
        <w:spacing w:after="240"/>
        <w:jc w:val="center"/>
      </w:pPr>
      <w:r>
        <w:rPr>
          <w:rFonts w:ascii="Arial" w:cs="Arial" w:eastAsia="Arial" w:hAnsi="Arial"/>
          <w:i/>
          <w:iCs/>
          <w:color w:val="666666"/>
          <w:sz w:val="18"/>
          <w:szCs w:val="18"/>
        </w:rPr>
        <w:t xml:space="preserve">March 2026  |  ODPEM / JAMICTA / UNOPS RTA</w:t>
      </w:r>
    </w:p>
    <w:p>
      <w:pPr>
        <w:pBdr>
          <w:bottom w:val="single" w:color="2C5F8A" w:sz="6" w:space="1"/>
        </w:pBdr>
        <w:spacing w:after="240"/>
      </w:pPr>
    </w:p>
    <w:p>
      <w:pPr>
        <w:pStyle w:val="Heading1"/>
        <w:spacing w:before="240" w:after="120"/>
      </w:pPr>
      <w:r>
        <w:rPr>
          <w:rFonts w:ascii="Arial" w:cs="Arial" w:eastAsia="Arial" w:hAnsi="Arial"/>
        </w:rPr>
        <w:t xml:space="preserve">1. Document Control</w:t>
      </w:r>
    </w:p>
    <w:p>
      <w:pPr>
        <w:spacing w:after="120"/>
      </w:pPr>
      <w:r>
        <w:rPr>
          <w:rFonts w:ascii="Arial" w:cs="Arial" w:eastAsia="Arial" w:hAnsi="Arial"/>
          <w:sz w:val="20"/>
          <w:szCs w:val="20"/>
        </w:rPr>
        <w:t xml:space="preserve">This change notice documents additions and updates to DMIS Requirements Specification v6.0 to close identified strategic and operational gaps. All new requirements use the same numbering scheme and priority/phase conventions as v6.0.</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5760"/>
      </w:tblGrid>
      <w:tr>
        <w:tc>
          <w:tcPr>
            <w:tcW w:type="dxa" w:w="28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Base Document</w:t>
            </w:r>
          </w:p>
        </w:tc>
        <w:tc>
          <w:tcPr>
            <w:tcW w:type="dxa" w:w="57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DMIS Requirements Specification v6.0</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Change Notice Version</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v6.1</w:t>
            </w:r>
          </w:p>
        </w:tc>
      </w:tr>
      <w:tr>
        <w:tc>
          <w:tcPr>
            <w:tcW w:type="dxa" w:w="28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Date</w:t>
            </w:r>
          </w:p>
        </w:tc>
        <w:tc>
          <w:tcPr>
            <w:tcW w:type="dxa" w:w="57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March 2026</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Change Category</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Gap Closure: Operational Controls + Strategic LOE/Function Coverage</w:t>
            </w:r>
          </w:p>
        </w:tc>
      </w:tr>
      <w:tr>
        <w:tc>
          <w:tcPr>
            <w:tcW w:type="dxa" w:w="28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New FRs Added</w:t>
            </w:r>
          </w:p>
        </w:tc>
        <w:tc>
          <w:tcPr>
            <w:tcW w:type="dxa" w:w="57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5 (FR01.31, FR01.32, FR01.33, FR02.103, FR02.104)</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New BRs Added</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3 (BR01.28, BR01.29, BR01.30)</w:t>
            </w:r>
          </w:p>
        </w:tc>
      </w:tr>
      <w:tr>
        <w:tc>
          <w:tcPr>
            <w:tcW w:type="dxa" w:w="28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FRs Cleaned</w:t>
            </w:r>
          </w:p>
        </w:tc>
        <w:tc>
          <w:tcPr>
            <w:tcW w:type="dxa" w:w="57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3 (FR04.15, FR11.14, FR15.22 — wording clarified)</w:t>
            </w:r>
          </w:p>
        </w:tc>
      </w:tr>
      <w:tr>
        <w:tc>
          <w:tcPr>
            <w:tcW w:type="dxa" w:w="2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LOE Updates</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7 LOEs with coverage status upgrades</w:t>
            </w:r>
          </w:p>
        </w:tc>
      </w:tr>
      <w:tr>
        <w:tc>
          <w:tcPr>
            <w:tcW w:type="dxa" w:w="28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Function Updates</w:t>
            </w:r>
          </w:p>
        </w:tc>
        <w:tc>
          <w:tcPr>
            <w:tcW w:type="dxa" w:w="57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4 UNOPS Functions with coverage status upgrades</w:t>
            </w:r>
          </w:p>
        </w:tc>
      </w:tr>
    </w:tbl>
    <w:p>
      <w:pPr>
        <w:pStyle w:val="Heading1"/>
        <w:spacing w:before="240" w:after="120"/>
      </w:pPr>
      <w:r>
        <w:rPr>
          <w:rFonts w:ascii="Arial" w:cs="Arial" w:eastAsia="Arial" w:hAnsi="Arial"/>
        </w:rPr>
        <w:t xml:space="preserve">2. Summary of Changes</w:t>
      </w:r>
    </w:p>
    <w:p>
      <w:pPr>
        <w:spacing w:after="120"/>
      </w:pPr>
      <w:r>
        <w:rPr>
          <w:rFonts w:ascii="Arial" w:cs="Arial" w:eastAsia="Arial" w:hAnsi="Arial"/>
          <w:sz w:val="20"/>
          <w:szCs w:val="20"/>
        </w:rPr>
        <w:t xml:space="preserve">This addendum addresses three categories of gaps identified during backlog alignment review:</w:t>
      </w:r>
    </w:p>
    <w:p>
      <w:pPr>
        <w:spacing w:after="120"/>
      </w:pPr>
      <w:r>
        <w:rPr>
          <w:rFonts w:ascii="Arial" w:cs="Arial" w:eastAsia="Arial" w:hAnsi="Arial"/>
          <w:b/>
          <w:bCs/>
          <w:sz w:val="20"/>
          <w:szCs w:val="20"/>
        </w:rPr>
        <w:t xml:space="preserve">Priority 1 — Strategic Gap Closure: Updates to LOE and UNOPS Function coverage status, confirming delivery ownership and phasing for partially-covered or gap-flagged objectives.</w:t>
      </w:r>
    </w:p>
    <w:p>
      <w:pPr>
        <w:spacing w:after="120"/>
      </w:pPr>
      <w:r>
        <w:rPr>
          <w:rFonts w:ascii="Arial" w:cs="Arial" w:eastAsia="Arial" w:hAnsi="Arial"/>
          <w:b/>
          <w:bCs/>
          <w:sz w:val="20"/>
          <w:szCs w:val="20"/>
        </w:rPr>
        <w:t xml:space="preserve">Priority 2 — Missing Operational Controls: New functional requirements for photo evidence capture, Goods Receival Note (GRN) generation, and health/safety inspection clearance on applicable donations.</w:t>
      </w:r>
    </w:p>
    <w:p>
      <w:pPr>
        <w:spacing w:after="120"/>
      </w:pPr>
      <w:r>
        <w:rPr>
          <w:rFonts w:ascii="Arial" w:cs="Arial" w:eastAsia="Arial" w:hAnsi="Arial"/>
          <w:b/>
          <w:bCs/>
          <w:sz w:val="20"/>
          <w:szCs w:val="20"/>
        </w:rPr>
        <w:t xml:space="preserve">Priority 3 — Backlog Quality: Clarified wording on three FRs that contained truncated or ambiguous text.</w:t>
      </w:r>
    </w:p>
    <w:p>
      <w:pPr>
        <w:pStyle w:val="Heading1"/>
        <w:spacing w:before="240" w:after="120"/>
      </w:pPr>
      <w:r>
        <w:rPr>
          <w:rFonts w:ascii="Arial" w:cs="Arial" w:eastAsia="Arial" w:hAnsi="Arial"/>
        </w:rPr>
        <w:t xml:space="preserve">3. New Functional Requirements</w:t>
      </w:r>
    </w:p>
    <w:p>
      <w:pPr>
        <w:pStyle w:val="Heading2"/>
        <w:spacing w:before="240" w:after="120"/>
      </w:pPr>
      <w:r>
        <w:rPr>
          <w:rFonts w:ascii="Arial" w:cs="Arial" w:eastAsia="Arial" w:hAnsi="Arial"/>
        </w:rPr>
        <w:t xml:space="preserve">3.1 EP-01: Donation/Procurement &amp; Port-of-Entry</w:t>
      </w:r>
    </w:p>
    <w:p>
      <w:pPr>
        <w:spacing w:after="120"/>
      </w:pPr>
      <w:r>
        <w:rPr>
          <w:rFonts w:ascii="Arial" w:cs="Arial" w:eastAsia="Arial" w:hAnsi="Arial"/>
          <w:sz w:val="20"/>
          <w:szCs w:val="20"/>
        </w:rPr>
        <w:t xml:space="preserve">The following requirements are added to EP-01 to close operational gaps in inbound accountability. These requirements apply to the Donation Registration and Donation Intake sub-modules.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5760"/>
        <w:gridCol w:w="900"/>
        <w:gridCol w:w="800"/>
      </w:tblGrid>
      <w:tr>
        <w:tc>
          <w:tcPr>
            <w:tcW w:type="dxa" w:w="11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Req ID</w:t>
            </w:r>
          </w:p>
        </w:tc>
        <w:tc>
          <w:tcPr>
            <w:tcW w:type="dxa" w:w="576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9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8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r>
      <w:tr>
        <w:tc>
          <w:tcPr>
            <w:tcW w:type="dxa" w:w="11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FR01.31</w:t>
            </w:r>
          </w:p>
        </w:tc>
        <w:tc>
          <w:tcPr>
            <w:tcW w:type="dxa" w:w="57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The system shall capture health/safety inspection clearance status on donation records for items requiring regulatory clearance (food, medical supplies, agricultural goods). Fields: Inspection Authority, Inspection Date, Clearance Status (PENDING_INSPECTION, CLEARED, REJECTED, EXEMPTED), Certificate Reference Number, Rejection Reason (if applicable). Items with Clearance Status = PENDING_INSPECTION or REJECTED shall not proceed to inventory allocation until resolved.</w:t>
            </w:r>
          </w:p>
        </w:tc>
        <w:tc>
          <w:tcPr>
            <w:tcW w:type="dxa" w:w="9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M</w:t>
            </w:r>
          </w:p>
        </w:tc>
        <w:tc>
          <w:tcPr>
            <w:tcW w:type="dxa" w:w="8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2</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FR01.32</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The system shall allow capture of photographic evidence during donation intake and goods receipt. Users shall be able to attach one or more geotagged, timestamped photos per intake line item showing: condition on arrival, packaging integrity, labelling verification. Photos shall be stored with the intake record and included in the Goods Receival Note. Maximum file size: 10 MB per photo; supported formats: JPEG, PNG.</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M</w:t>
            </w:r>
          </w:p>
        </w:tc>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2</w:t>
            </w:r>
          </w:p>
        </w:tc>
      </w:tr>
      <w:tr>
        <w:tc>
          <w:tcPr>
            <w:tcW w:type="dxa" w:w="11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FR01.33</w:t>
            </w:r>
          </w:p>
        </w:tc>
        <w:tc>
          <w:tcPr>
            <w:tcW w:type="dxa" w:w="57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The system shall generate a formal Goods Receival Note (GRN) upon intake verification. The GRN shall include: GRN Number (auto-generated, sequential per warehouse per fiscal year), Donation ID, Donor Name, Event, Intake Date, Warehouse, item-level detail (Item Code, Description, Expected Qty, Received Qty, Usable Qty, Defective Qty, Expired Qty, Variance, Batch Number, Expiry Date), photo evidence thumbnails, Inspector Name, Verification Timestamp, and Digital Signature placeholder. GRN shall be exportable as PDF and available for audit query by GRN Number, Donation ID, Date Range, or Warehouse.</w:t>
            </w:r>
          </w:p>
        </w:tc>
        <w:tc>
          <w:tcPr>
            <w:tcW w:type="dxa" w:w="9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M</w:t>
            </w:r>
          </w:p>
        </w:tc>
        <w:tc>
          <w:tcPr>
            <w:tcW w:type="dxa" w:w="8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2</w:t>
            </w:r>
          </w:p>
        </w:tc>
      </w:tr>
    </w:tbl>
    <w:p>
      <w:pPr>
        <w:spacing w:before="80" w:after="80"/>
        <w:ind w:left="360"/>
      </w:pPr>
      <w:r>
        <w:rPr>
          <w:rFonts w:ascii="Arial" w:cs="Arial" w:eastAsia="Arial" w:hAnsi="Arial"/>
          <w:b/>
          <w:bCs/>
          <w:color w:val="2C5F8A"/>
          <w:sz w:val="18"/>
          <w:szCs w:val="18"/>
        </w:rPr>
        <w:t xml:space="preserve">FR01.31 Rationale: </w:t>
      </w:r>
      <w:r>
        <w:rPr>
          <w:rFonts w:ascii="Arial" w:cs="Arial" w:eastAsia="Arial" w:hAnsi="Arial"/>
          <w:i/>
          <w:iCs/>
          <w:color w:val="555555"/>
          <w:sz w:val="18"/>
          <w:szCs w:val="18"/>
        </w:rPr>
        <w:t xml:space="preserve">Closes gap for food/medical/agricultural clearance traceability required by ODPEM import controls and donor accountability.</w:t>
      </w:r>
    </w:p>
    <w:p>
      <w:pPr>
        <w:spacing w:before="80" w:after="80"/>
        <w:ind w:left="360"/>
      </w:pPr>
      <w:r>
        <w:rPr>
          <w:rFonts w:ascii="Arial" w:cs="Arial" w:eastAsia="Arial" w:hAnsi="Arial"/>
          <w:b/>
          <w:bCs/>
          <w:color w:val="2C5F8A"/>
          <w:sz w:val="18"/>
          <w:szCs w:val="18"/>
        </w:rPr>
        <w:t xml:space="preserve">FR01.32 Rationale: </w:t>
      </w:r>
      <w:r>
        <w:rPr>
          <w:rFonts w:ascii="Arial" w:cs="Arial" w:eastAsia="Arial" w:hAnsi="Arial"/>
          <w:i/>
          <w:iCs/>
          <w:color w:val="555555"/>
          <w:sz w:val="18"/>
          <w:szCs w:val="18"/>
        </w:rPr>
        <w:t xml:space="preserve">Closes operational gap for donor accountability, customs/inspection traceability, and dispute resolution on damaged goods.</w:t>
      </w:r>
    </w:p>
    <w:p>
      <w:pPr>
        <w:spacing w:before="80" w:after="80"/>
        <w:ind w:left="360"/>
      </w:pPr>
      <w:r>
        <w:rPr>
          <w:rFonts w:ascii="Arial" w:cs="Arial" w:eastAsia="Arial" w:hAnsi="Arial"/>
          <w:b/>
          <w:bCs/>
          <w:color w:val="2C5F8A"/>
          <w:sz w:val="18"/>
          <w:szCs w:val="18"/>
        </w:rPr>
        <w:t xml:space="preserve">FR01.33 Rationale: </w:t>
      </w:r>
      <w:r>
        <w:rPr>
          <w:rFonts w:ascii="Arial" w:cs="Arial" w:eastAsia="Arial" w:hAnsi="Arial"/>
          <w:i/>
          <w:iCs/>
          <w:color w:val="555555"/>
          <w:sz w:val="18"/>
          <w:szCs w:val="18"/>
        </w:rPr>
        <w:t xml:space="preserve">Closes operational gap for formal inbound audit trail. GRN is a standard logistics accountability document required for donor reporting and financial reconciliation.</w:t>
      </w:r>
    </w:p>
    <w:p>
      <w:pPr>
        <w:pStyle w:val="Heading2"/>
        <w:spacing w:before="240" w:after="120"/>
      </w:pPr>
      <w:r>
        <w:rPr>
          <w:rFonts w:ascii="Arial" w:cs="Arial" w:eastAsia="Arial" w:hAnsi="Arial"/>
        </w:rPr>
        <w:t xml:space="preserve">3.2 EP-02: Supply Replenishment</w:t>
      </w:r>
    </w:p>
    <w:p>
      <w:pPr>
        <w:spacing w:after="120"/>
      </w:pPr>
      <w:r>
        <w:rPr>
          <w:rFonts w:ascii="Arial" w:cs="Arial" w:eastAsia="Arial" w:hAnsi="Arial"/>
          <w:sz w:val="20"/>
          <w:szCs w:val="20"/>
        </w:rPr>
        <w:t xml:space="preserve">The following requirements extend photo evidence and GRN capabilities to the Procurement Intake sub-module, ensuring parity with donation intake controls.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5760"/>
        <w:gridCol w:w="900"/>
        <w:gridCol w:w="800"/>
      </w:tblGrid>
      <w:tr>
        <w:tc>
          <w:tcPr>
            <w:tcW w:type="dxa" w:w="11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Req ID</w:t>
            </w:r>
          </w:p>
        </w:tc>
        <w:tc>
          <w:tcPr>
            <w:tcW w:type="dxa" w:w="576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Description</w:t>
            </w:r>
          </w:p>
        </w:tc>
        <w:tc>
          <w:tcPr>
            <w:tcW w:type="dxa" w:w="9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Priority</w:t>
            </w:r>
          </w:p>
        </w:tc>
        <w:tc>
          <w:tcPr>
            <w:tcW w:type="dxa" w:w="8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Phase</w:t>
            </w:r>
          </w:p>
        </w:tc>
      </w:tr>
      <w:tr>
        <w:tc>
          <w:tcPr>
            <w:tcW w:type="dxa" w:w="11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FR02.103</w:t>
            </w:r>
          </w:p>
        </w:tc>
        <w:tc>
          <w:tcPr>
            <w:tcW w:type="dxa" w:w="57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The system shall allow capture of photographic evidence during procurement intake and goods receipt, with the same capabilities as FR01.32 (geotagged, timestamped photos per line item, stored with intake record, included in GRN).</w:t>
            </w:r>
          </w:p>
        </w:tc>
        <w:tc>
          <w:tcPr>
            <w:tcW w:type="dxa" w:w="9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S</w:t>
            </w:r>
          </w:p>
        </w:tc>
        <w:tc>
          <w:tcPr>
            <w:tcW w:type="dxa" w:w="8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2</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FR02.104</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The system shall generate a formal Goods Receival Note (GRN) upon procurement intake verification. The GRN shall include: GRN Number (auto-generated), Procurement ID, Supplier Name, PO Reference, Event, Intake Date, Warehouse, item-level detail (Item Code, Description, Ordered Qty, Received Qty, Outstanding Qty, Variance, Batch Number, Expiry Date), photo evidence thumbnails, Inspector Name, Verification Timestamp, and Digital Signature placeholder. GRN shall be exportable as PDF.</w:t>
            </w:r>
          </w:p>
        </w:tc>
        <w:tc>
          <w:tcPr>
            <w:tcW w:type="dxa" w:w="9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M</w:t>
            </w:r>
          </w:p>
        </w:tc>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2</w:t>
            </w:r>
          </w:p>
        </w:tc>
      </w:tr>
    </w:tbl>
    <w:p>
      <w:pPr>
        <w:spacing w:before="80" w:after="80"/>
        <w:ind w:left="360"/>
      </w:pPr>
      <w:r>
        <w:rPr>
          <w:rFonts w:ascii="Arial" w:cs="Arial" w:eastAsia="Arial" w:hAnsi="Arial"/>
          <w:b/>
          <w:bCs/>
          <w:color w:val="2C5F8A"/>
          <w:sz w:val="18"/>
          <w:szCs w:val="18"/>
        </w:rPr>
        <w:t xml:space="preserve">FR02.103 Rationale: </w:t>
      </w:r>
      <w:r>
        <w:rPr>
          <w:rFonts w:ascii="Arial" w:cs="Arial" w:eastAsia="Arial" w:hAnsi="Arial"/>
          <w:i/>
          <w:iCs/>
          <w:color w:val="555555"/>
          <w:sz w:val="18"/>
          <w:szCs w:val="18"/>
        </w:rPr>
        <w:t xml:space="preserve">Extends photo evidence capability to procurement intake for supplier accountability and dispute resolution.</w:t>
      </w:r>
    </w:p>
    <w:p>
      <w:pPr>
        <w:spacing w:before="80" w:after="80"/>
        <w:ind w:left="360"/>
      </w:pPr>
      <w:r>
        <w:rPr>
          <w:rFonts w:ascii="Arial" w:cs="Arial" w:eastAsia="Arial" w:hAnsi="Arial"/>
          <w:b/>
          <w:bCs/>
          <w:color w:val="2C5F8A"/>
          <w:sz w:val="18"/>
          <w:szCs w:val="18"/>
        </w:rPr>
        <w:t xml:space="preserve">FR02.104 Rationale: </w:t>
      </w:r>
      <w:r>
        <w:rPr>
          <w:rFonts w:ascii="Arial" w:cs="Arial" w:eastAsia="Arial" w:hAnsi="Arial"/>
          <w:i/>
          <w:iCs/>
          <w:color w:val="555555"/>
          <w:sz w:val="18"/>
          <w:szCs w:val="18"/>
        </w:rPr>
        <w:t xml:space="preserve">Extends GRN capability to procurement intake for supplier performance tracking and financial reconciliation with Sage 300.</w:t>
      </w:r>
    </w:p>
    <w:p>
      <w:pPr>
        <w:pStyle w:val="Heading1"/>
        <w:spacing w:before="240" w:after="120"/>
      </w:pPr>
      <w:r>
        <w:rPr>
          <w:rFonts w:ascii="Arial" w:cs="Arial" w:eastAsia="Arial" w:hAnsi="Arial"/>
        </w:rPr>
        <w:t xml:space="preserve">4. New Business Rules</w:t>
      </w:r>
    </w:p>
    <w:p>
      <w:pPr>
        <w:spacing w:after="120"/>
      </w:pPr>
      <w:r>
        <w:rPr>
          <w:rFonts w:ascii="Arial" w:cs="Arial" w:eastAsia="Arial" w:hAnsi="Arial"/>
          <w:sz w:val="20"/>
          <w:szCs w:val="20"/>
        </w:rPr>
        <w:t xml:space="preserve">The following business rules are added to Section 8 of the Requirements Specification to govern the new operational controls.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000"/>
        <w:gridCol w:w="6200"/>
        <w:gridCol w:w="1360"/>
      </w:tblGrid>
      <w:tr>
        <w:tc>
          <w:tcPr>
            <w:tcW w:type="dxa" w:w="10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BR ID</w:t>
            </w:r>
          </w:p>
        </w:tc>
        <w:tc>
          <w:tcPr>
            <w:tcW w:type="dxa" w:w="62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Business Rule</w:t>
            </w:r>
          </w:p>
        </w:tc>
        <w:tc>
          <w:tcPr>
            <w:tcW w:type="dxa" w:w="136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Related Epic</w:t>
            </w:r>
          </w:p>
        </w:tc>
      </w:tr>
      <w:tr>
        <w:tc>
          <w:tcPr>
            <w:tcW w:type="dxa" w:w="10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BR01.28</w:t>
            </w:r>
          </w:p>
        </w:tc>
        <w:tc>
          <w:tcPr>
            <w:tcW w:type="dxa" w:w="62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Donation items classified as food, medical supply, or agricultural good shall not be allocated to inventory until the Health/Safety Inspection Clearance Status is CLEARED or EXEMPTED. Items with PENDING_INSPECTION or REJECTED status shall be blocked from dispatch.</w:t>
            </w:r>
          </w:p>
        </w:tc>
        <w:tc>
          <w:tcPr>
            <w:tcW w:type="dxa" w:w="13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EP-01</w:t>
            </w:r>
          </w:p>
        </w:tc>
      </w:tr>
      <w:t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BR01.29</w:t>
            </w:r>
          </w:p>
        </w:tc>
        <w:tc>
          <w:tcPr>
            <w:tcW w:type="dxa" w:w="62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A Goods Receival Note (GRN) shall be generated for every verified intake record (donation or procurement). No intake shall be marked Verified without a corresponding GRN. GRN records shall be immutable once generated.</w:t>
            </w:r>
          </w:p>
        </w:tc>
        <w:tc>
          <w:tcPr>
            <w:tcW w:type="dxa" w:w="1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EP-01, EP-02</w:t>
            </w:r>
          </w:p>
        </w:tc>
      </w:tr>
      <w:tr>
        <w:tc>
          <w:tcPr>
            <w:tcW w:type="dxa" w:w="10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BR01.30</w:t>
            </w:r>
          </w:p>
        </w:tc>
        <w:tc>
          <w:tcPr>
            <w:tcW w:type="dxa" w:w="62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Photo evidence shall be required for any intake where received quantity differs from expected quantity by more than 5%, or where any items are classified as Defective or Expired. For all other intakes, photo evidence is optional but encouraged.</w:t>
            </w:r>
          </w:p>
        </w:tc>
        <w:tc>
          <w:tcPr>
            <w:tcW w:type="dxa" w:w="13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EP-01, EP-02</w:t>
            </w:r>
          </w:p>
        </w:tc>
      </w:tr>
    </w:tbl>
    <w:p>
      <w:pPr>
        <w:pStyle w:val="Heading1"/>
        <w:spacing w:before="240" w:after="120"/>
      </w:pPr>
      <w:r>
        <w:rPr>
          <w:rFonts w:ascii="Arial" w:cs="Arial" w:eastAsia="Arial" w:hAnsi="Arial"/>
        </w:rPr>
        <w:t xml:space="preserve">5. Strategic Gap Closure: LOE Coverage Updates</w:t>
      </w:r>
    </w:p>
    <w:p>
      <w:pPr>
        <w:spacing w:after="120"/>
      </w:pPr>
      <w:r>
        <w:rPr>
          <w:rFonts w:ascii="Arial" w:cs="Arial" w:eastAsia="Arial" w:hAnsi="Arial"/>
          <w:sz w:val="20"/>
          <w:szCs w:val="20"/>
        </w:rPr>
        <w:t xml:space="preserve">The following LOEs had coverage status of Partial, Gap, or Integration in v6.0. This addendum confirms delivery ownership and phasing to upgrade their status.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000"/>
        <w:gridCol w:w="2300"/>
        <w:gridCol w:w="5260"/>
      </w:tblGrid>
      <w:tr>
        <w:tc>
          <w:tcPr>
            <w:tcW w:type="dxa" w:w="10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LOE</w:t>
            </w:r>
          </w:p>
        </w:tc>
        <w:tc>
          <w:tcPr>
            <w:tcW w:type="dxa" w:w="23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Coverage Update</w:t>
            </w:r>
          </w:p>
        </w:tc>
        <w:tc>
          <w:tcPr>
            <w:tcW w:type="dxa" w:w="526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Action / Delivery Notes</w:t>
            </w:r>
          </w:p>
        </w:tc>
      </w:tr>
      <w:tr>
        <w:tc>
          <w:tcPr>
            <w:tcW w:type="dxa" w:w="10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bCs/>
                <w:color w:val="333333"/>
                <w:sz w:val="18"/>
                <w:szCs w:val="18"/>
              </w:rPr>
              <w:t xml:space="preserve">LOE 1.2</w:t>
            </w:r>
          </w:p>
        </w:tc>
        <w:tc>
          <w:tcPr>
            <w:tcW w:type="dxa" w:w="23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Partial → Planned</w:t>
            </w:r>
          </w:p>
        </w:tc>
        <w:tc>
          <w:tcPr>
            <w:tcW w:type="dxa" w:w="52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FR14.10–12 shelter integration phased to Phase 2; delivery ownership assigned to EP-14 integration sprint.</w:t>
            </w:r>
          </w:p>
        </w:tc>
      </w:tr>
      <w:t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LOE 1.3</w:t>
            </w:r>
          </w:p>
        </w:tc>
        <w:tc>
          <w:tcPr>
            <w:tcW w:type="dxa" w:w="2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Gap → Planned (Integration)</w:t>
            </w:r>
          </w:p>
        </w:tc>
        <w:tc>
          <w:tcPr>
            <w:tcW w:type="dxa" w:w="5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FR10.10 GIS road-status feed confirmed as Phase 2 integration; depends on NWA API availability.</w:t>
            </w:r>
          </w:p>
        </w:tc>
      </w:tr>
      <w:tr>
        <w:tc>
          <w:tcPr>
            <w:tcW w:type="dxa" w:w="10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bCs/>
                <w:color w:val="333333"/>
                <w:sz w:val="18"/>
                <w:szCs w:val="18"/>
              </w:rPr>
              <w:t xml:space="preserve">LOE 2.1</w:t>
            </w:r>
          </w:p>
        </w:tc>
        <w:tc>
          <w:tcPr>
            <w:tcW w:type="dxa" w:w="23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Integration → Planned</w:t>
            </w:r>
          </w:p>
        </w:tc>
        <w:tc>
          <w:tcPr>
            <w:tcW w:type="dxa" w:w="52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FR10.11 DALA data ingest API confirmed Phase 2; PIOJ/PDNA source system dependency noted.</w:t>
            </w:r>
          </w:p>
        </w:tc>
      </w:tr>
      <w:t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LOE 2.2</w:t>
            </w:r>
          </w:p>
        </w:tc>
        <w:tc>
          <w:tcPr>
            <w:tcW w:type="dxa" w:w="2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Integration → Planned</w:t>
            </w:r>
          </w:p>
        </w:tc>
        <w:tc>
          <w:tcPr>
            <w:tcW w:type="dxa" w:w="5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FR10.12 structural assessment feed confirmed Phase 2; depends on municipal/NHT data sharing agreement.</w:t>
            </w:r>
          </w:p>
        </w:tc>
      </w:tr>
      <w:tr>
        <w:tc>
          <w:tcPr>
            <w:tcW w:type="dxa" w:w="10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bCs/>
                <w:color w:val="333333"/>
                <w:sz w:val="18"/>
                <w:szCs w:val="18"/>
              </w:rPr>
              <w:t xml:space="preserve">LOE 3.2</w:t>
            </w:r>
          </w:p>
        </w:tc>
        <w:tc>
          <w:tcPr>
            <w:tcW w:type="dxa" w:w="23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Partial → Planned</w:t>
            </w:r>
          </w:p>
        </w:tc>
        <w:tc>
          <w:tcPr>
            <w:tcW w:type="dxa" w:w="52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FR14.08 lifeline dashboard layer phased to Phase 2; JPS/NWC/Digicel status API dependencies identified.</w:t>
            </w:r>
          </w:p>
        </w:tc>
      </w:tr>
      <w:tr>
        <w:tc>
          <w:tcPr>
            <w:tcW w:type="dxa" w:w="1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LOE 5.2</w:t>
            </w:r>
          </w:p>
        </w:tc>
        <w:tc>
          <w:tcPr>
            <w:tcW w:type="dxa" w:w="23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Partial → Planned</w:t>
            </w:r>
          </w:p>
        </w:tc>
        <w:tc>
          <w:tcPr>
            <w:tcW w:type="dxa" w:w="52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FR14.09 security status layer phased to Phase 2; JCF/JDF deployment data sharing agreement required.</w:t>
            </w:r>
          </w:p>
        </w:tc>
      </w:tr>
      <w:tr>
        <w:tc>
          <w:tcPr>
            <w:tcW w:type="dxa" w:w="10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bCs/>
                <w:color w:val="333333"/>
                <w:sz w:val="18"/>
                <w:szCs w:val="18"/>
              </w:rPr>
              <w:t xml:space="preserve">LOE 6.2</w:t>
            </w:r>
          </w:p>
        </w:tc>
        <w:tc>
          <w:tcPr>
            <w:tcW w:type="dxa" w:w="230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Partial → Planned</w:t>
            </w:r>
          </w:p>
        </w:tc>
        <w:tc>
          <w:tcPr>
            <w:tcW w:type="dxa" w:w="52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FR15.05 + FR08.13 public fund transparency view phased to Phase 3; publication approval workflow via FR15.12.</w:t>
            </w:r>
          </w:p>
        </w:tc>
      </w:tr>
    </w:tbl>
    <w:p>
      <w:pPr>
        <w:spacing w:after="120"/>
      </w:pPr>
      <w:r>
        <w:rPr>
          <w:rFonts w:ascii="Arial" w:cs="Arial" w:eastAsia="Arial" w:hAnsi="Arial"/>
          <w:i/>
          <w:iCs/>
          <w:color w:val="666666"/>
          <w:sz w:val="20"/>
          <w:szCs w:val="20"/>
        </w:rPr>
        <w:t xml:space="preserve">Note: LOE 3.3 (Complementary infrastructure) remains Out of Scope. LOEs 4.1 and 4.2 remain Full coverage. No changes required.</w:t>
      </w:r>
    </w:p>
    <w:p>
      <w:pPr>
        <w:pStyle w:val="Heading1"/>
        <w:spacing w:before="240" w:after="120"/>
      </w:pPr>
      <w:r>
        <w:rPr>
          <w:rFonts w:ascii="Arial" w:cs="Arial" w:eastAsia="Arial" w:hAnsi="Arial"/>
        </w:rPr>
        <w:t xml:space="preserve">6. Strategic Gap Closure: UNOPS Function Coverage Updates</w:t>
      </w:r>
    </w:p>
    <w:p>
      <w:pPr>
        <w:spacing w:after="120"/>
      </w:pPr>
      <w:r>
        <w:rPr>
          <w:rFonts w:ascii="Arial" w:cs="Arial" w:eastAsia="Arial" w:hAnsi="Arial"/>
          <w:sz w:val="20"/>
          <w:szCs w:val="20"/>
        </w:rPr>
        <w:t xml:space="preserve">The following UNOPS Functions had partial or integration-only coverage. This addendum confirms delivery status.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5760"/>
      </w:tblGrid>
      <w:tr>
        <w:tc>
          <w:tcPr>
            <w:tcW w:type="dxa" w:w="8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w:t>
            </w:r>
          </w:p>
        </w:tc>
        <w:tc>
          <w:tcPr>
            <w:tcW w:type="dxa" w:w="20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Coverage Update</w:t>
            </w:r>
          </w:p>
        </w:tc>
        <w:tc>
          <w:tcPr>
            <w:tcW w:type="dxa" w:w="576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Delivery Notes</w:t>
            </w:r>
          </w:p>
        </w:tc>
      </w:tr>
      <w:tr>
        <w:tc>
          <w:tcPr>
            <w:tcW w:type="dxa" w:w="8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bCs/>
                <w:color w:val="333333"/>
                <w:sz w:val="18"/>
                <w:szCs w:val="18"/>
              </w:rPr>
              <w:t xml:space="preserve">F2</w:t>
            </w:r>
          </w:p>
        </w:tc>
        <w:tc>
          <w:tcPr>
            <w:tcW w:type="dxa" w:w="20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Partial → Planned</w:t>
            </w:r>
          </w:p>
        </w:tc>
        <w:tc>
          <w:tcPr>
            <w:tcW w:type="dxa" w:w="576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Critical infrastructure monitoring via FR14.08 (lifeline layer) and FR10.13 (utility status API). Phase 2.</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F3</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Partial → Planned</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Shelter operations via FR14.10–12 (Survey123/ArcGIS integration). Phase 2.</w:t>
            </w:r>
          </w:p>
        </w:tc>
      </w:tr>
      <w:tr>
        <w:tc>
          <w:tcPr>
            <w:tcW w:type="dxa" w:w="8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bCs/>
                <w:color w:val="333333"/>
                <w:sz w:val="18"/>
                <w:szCs w:val="18"/>
              </w:rPr>
              <w:t xml:space="preserve">F8</w:t>
            </w:r>
          </w:p>
        </w:tc>
        <w:tc>
          <w:tcPr>
            <w:tcW w:type="dxa" w:w="20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Integration → Planned</w:t>
            </w:r>
          </w:p>
        </w:tc>
        <w:tc>
          <w:tcPr>
            <w:tcW w:type="dxa" w:w="576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DALA/PDNA via FR10.11–12 (read-only consume). Phase 2 with external dependency.</w:t>
            </w:r>
          </w:p>
        </w:tc>
      </w:tr>
      <w:tr>
        <w:tc>
          <w:tcPr>
            <w:tcW w:type="dxa" w:w="8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F9</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Out of Scope</w:t>
            </w:r>
          </w:p>
        </w:tc>
        <w:tc>
          <w:tcPr>
            <w:tcW w:type="dxa" w:w="57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Recovery Framework Planning remains deferred to Phase 3+. No change. Documented as intentional scope exclusion.</w:t>
            </w:r>
          </w:p>
        </w:tc>
      </w:tr>
    </w:tbl>
    <w:p>
      <w:pPr>
        <w:spacing w:after="120"/>
      </w:pPr>
      <w:r>
        <w:rPr>
          <w:rFonts w:ascii="Arial" w:cs="Arial" w:eastAsia="Arial" w:hAnsi="Arial"/>
          <w:i/>
          <w:iCs/>
          <w:color w:val="666666"/>
          <w:sz w:val="20"/>
          <w:szCs w:val="20"/>
        </w:rPr>
        <w:t xml:space="preserve">Note: F9 (Recovery Framework Planning) remains intentionally out of scope for the May 2026 hurricane season milestone. This is a documented product scope decision, not an oversight.</w:t>
      </w:r>
    </w:p>
    <w:p>
      <w:pPr>
        <w:pStyle w:val="Heading1"/>
        <w:spacing w:before="240" w:after="120"/>
      </w:pPr>
      <w:r>
        <w:rPr>
          <w:rFonts w:ascii="Arial" w:cs="Arial" w:eastAsia="Arial" w:hAnsi="Arial"/>
        </w:rPr>
        <w:t xml:space="preserve">7. FR Wording Cleanup</w:t>
      </w:r>
    </w:p>
    <w:p>
      <w:pPr>
        <w:spacing w:after="120"/>
      </w:pPr>
      <w:r>
        <w:rPr>
          <w:rFonts w:ascii="Arial" w:cs="Arial" w:eastAsia="Arial" w:hAnsi="Arial"/>
          <w:sz w:val="20"/>
          <w:szCs w:val="20"/>
        </w:rPr>
        <w:t xml:space="preserve">The following FRs had truncated or ambiguous wording in the backlog representation. The canonical text is confirmed below. No functional change; wording clarified for implementation teams.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100"/>
        <w:gridCol w:w="7460"/>
      </w:tblGrid>
      <w:tr>
        <w:tc>
          <w:tcPr>
            <w:tcW w:type="dxa" w:w="11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FR ID</w:t>
            </w:r>
          </w:p>
        </w:tc>
        <w:tc>
          <w:tcPr>
            <w:tcW w:type="dxa" w:w="746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Confirmed Wording (Clean)</w:t>
            </w:r>
          </w:p>
        </w:tc>
      </w:tr>
      <w:tr>
        <w:tc>
          <w:tcPr>
            <w:tcW w:type="dxa" w:w="11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bCs/>
                <w:color w:val="333333"/>
                <w:sz w:val="18"/>
                <w:szCs w:val="18"/>
              </w:rPr>
              <w:t xml:space="preserve">FR04.15</w:t>
            </w:r>
          </w:p>
        </w:tc>
        <w:tc>
          <w:tcPr>
            <w:tcW w:type="dxa" w:w="746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The system shall include a Computerized Maintenance Management System (CMMS) feature to schedule and track the serviceability of the transport fleet, preventing the allocation of out-of-service vehicles to active dispatch workflows.</w:t>
            </w:r>
          </w:p>
        </w:tc>
      </w:tr>
      <w:tr>
        <w:tc>
          <w:tcPr>
            <w:tcW w:type="dxa" w:w="11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FR11.14</w:t>
            </w:r>
          </w:p>
        </w:tc>
        <w:tc>
          <w:tcPr>
            <w:tcW w:type="dxa" w:w="74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Warehouse-scoped roles shall restrict user access to specific warehouse(s) only. Users assigned a warehouse-scoped role shall only see inventory, transfers, and intake records for their assigned warehouse(s).</w:t>
            </w:r>
          </w:p>
        </w:tc>
      </w:tr>
      <w:tr>
        <w:tc>
          <w:tcPr>
            <w:tcW w:type="dxa" w:w="11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bCs/>
                <w:color w:val="333333"/>
                <w:sz w:val="18"/>
                <w:szCs w:val="18"/>
              </w:rPr>
              <w:t xml:space="preserve">FR15.22</w:t>
            </w:r>
          </w:p>
        </w:tc>
        <w:tc>
          <w:tcPr>
            <w:tcW w:type="dxa" w:w="746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Executive scorecards shall display: aggregated KPIs per LOE, MPF RAG status per parish, fund utilization summary, response timeline, and key decision points. Refresh frequency shall match NEOC dashboard rates.</w:t>
            </w:r>
          </w:p>
        </w:tc>
      </w:tr>
    </w:tbl>
    <w:p>
      <w:pPr>
        <w:pStyle w:val="Heading1"/>
        <w:spacing w:before="240" w:after="120"/>
      </w:pPr>
      <w:r>
        <w:rPr>
          <w:rFonts w:ascii="Arial" w:cs="Arial" w:eastAsia="Arial" w:hAnsi="Arial"/>
        </w:rPr>
        <w:t xml:space="preserve">8. Updated Requirement Totals</w:t>
      </w:r>
    </w:p>
    <w:p>
      <w:pPr>
        <w:spacing w:after="120"/>
      </w:pPr>
      <w:r>
        <w:rPr>
          <w:rFonts w:ascii="Arial" w:cs="Arial" w:eastAsia="Arial" w:hAnsi="Arial"/>
          <w:sz w:val="20"/>
          <w:szCs w:val="20"/>
        </w:rPr>
        <w:t xml:space="preserve">After applying this change notice, the updated totals are:</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4000"/>
        <w:gridCol w:w="1600"/>
        <w:gridCol w:w="1600"/>
        <w:gridCol w:w="1360"/>
      </w:tblGrid>
      <w:tr>
        <w:tc>
          <w:tcPr>
            <w:tcW w:type="dxa" w:w="40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Category</w:t>
            </w:r>
          </w:p>
        </w:tc>
        <w:tc>
          <w:tcPr>
            <w:tcW w:type="dxa" w:w="16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v6.0</w:t>
            </w:r>
          </w:p>
        </w:tc>
        <w:tc>
          <w:tcPr>
            <w:tcW w:type="dxa" w:w="16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v6.1</w:t>
            </w:r>
          </w:p>
        </w:tc>
        <w:tc>
          <w:tcPr>
            <w:tcW w:type="dxa" w:w="136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Delta</w:t>
            </w:r>
          </w:p>
        </w:tc>
      </w:tr>
      <w:tr>
        <w:tc>
          <w:tcPr>
            <w:tcW w:type="dxa" w:w="40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Functional Requirements</w:t>
            </w:r>
          </w:p>
        </w:tc>
        <w:tc>
          <w:tcPr>
            <w:tcW w:type="dxa" w:w="16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338</w:t>
            </w:r>
          </w:p>
        </w:tc>
        <w:tc>
          <w:tcPr>
            <w:tcW w:type="dxa" w:w="16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343</w:t>
            </w:r>
          </w:p>
        </w:tc>
        <w:tc>
          <w:tcPr>
            <w:tcW w:type="dxa" w:w="13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+5</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Business Rules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27</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30</w:t>
            </w:r>
          </w:p>
        </w:tc>
        <w:tc>
          <w:tcPr>
            <w:tcW w:type="dxa" w:w="13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+3</w:t>
            </w:r>
          </w:p>
        </w:tc>
      </w:tr>
      <w:tr>
        <w:tc>
          <w:tcPr>
            <w:tcW w:type="dxa" w:w="40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Non-Functional Requirements</w:t>
            </w:r>
          </w:p>
        </w:tc>
        <w:tc>
          <w:tcPr>
            <w:tcW w:type="dxa" w:w="16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34</w:t>
            </w:r>
          </w:p>
        </w:tc>
        <w:tc>
          <w:tcPr>
            <w:tcW w:type="dxa" w:w="16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34</w:t>
            </w:r>
          </w:p>
        </w:tc>
        <w:tc>
          <w:tcPr>
            <w:tcW w:type="dxa" w:w="13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0</w:t>
            </w:r>
          </w:p>
        </w:tc>
      </w:tr>
      <w:tr>
        <w:tc>
          <w:tcPr>
            <w:tcW w:type="dxa" w:w="4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System Guardrails</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8</w:t>
            </w:r>
          </w:p>
        </w:tc>
        <w:tc>
          <w:tcPr>
            <w:tcW w:type="dxa" w:w="16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8</w:t>
            </w:r>
          </w:p>
        </w:tc>
        <w:tc>
          <w:tcPr>
            <w:tcW w:type="dxa" w:w="13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0</w:t>
            </w:r>
          </w:p>
        </w:tc>
      </w:tr>
      <w:tr>
        <w:tc>
          <w:tcPr>
            <w:tcW w:type="dxa" w:w="40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bCs/>
                <w:color w:val="333333"/>
                <w:sz w:val="18"/>
                <w:szCs w:val="18"/>
              </w:rPr>
              <w:t xml:space="preserve">TOTAL</w:t>
            </w:r>
          </w:p>
        </w:tc>
        <w:tc>
          <w:tcPr>
            <w:tcW w:type="dxa" w:w="16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bCs/>
                <w:color w:val="333333"/>
                <w:sz w:val="18"/>
                <w:szCs w:val="18"/>
              </w:rPr>
              <w:t xml:space="preserve">407</w:t>
            </w:r>
          </w:p>
        </w:tc>
        <w:tc>
          <w:tcPr>
            <w:tcW w:type="dxa" w:w="1600"/>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top"/>
          </w:tcPr>
          <w:p>
            <w:r>
              <w:rPr>
                <w:rFonts w:ascii="Arial" w:cs="Arial" w:eastAsia="Arial" w:hAnsi="Arial"/>
                <w:b/>
                <w:bCs/>
                <w:color w:val="333333"/>
                <w:sz w:val="18"/>
                <w:szCs w:val="18"/>
              </w:rPr>
              <w:t xml:space="preserve">415</w:t>
            </w:r>
          </w:p>
        </w:tc>
        <w:tc>
          <w:tcPr>
            <w:tcW w:type="dxa" w:w="1360"/>
            <w:tcBorders>
              <w:top w:val="single" w:color="BFBFBF" w:sz="1"/>
              <w:left w:val="single" w:color="BFBFBF" w:sz="1"/>
              <w:bottom w:val="single" w:color="BFBFBF" w:sz="1"/>
              <w:right w:val="single" w:color="BFBFBF" w:sz="1"/>
            </w:tcBorders>
            <w:shd w:fill="E2EFDA" w:val="clear"/>
            <w:tcMar>
              <w:top w:type="dxa" w:w="60"/>
              <w:left w:type="dxa" w:w="100"/>
              <w:bottom w:type="dxa" w:w="60"/>
              <w:right w:type="dxa" w:w="100"/>
            </w:tcMar>
            <w:vAlign w:val="top"/>
          </w:tcPr>
          <w:p>
            <w:r>
              <w:rPr>
                <w:rFonts w:ascii="Arial" w:cs="Arial" w:eastAsia="Arial" w:hAnsi="Arial"/>
                <w:b/>
                <w:bCs/>
                <w:color w:val="333333"/>
                <w:sz w:val="18"/>
                <w:szCs w:val="18"/>
              </w:rPr>
              <w:t xml:space="preserve">+8</w:t>
            </w:r>
          </w:p>
        </w:tc>
      </w:tr>
    </w:tbl>
    <w:p>
      <w:pPr>
        <w:pStyle w:val="Heading1"/>
        <w:spacing w:before="240" w:after="120"/>
      </w:pPr>
      <w:r>
        <w:rPr>
          <w:rFonts w:ascii="Arial" w:cs="Arial" w:eastAsia="Arial" w:hAnsi="Arial"/>
        </w:rPr>
        <w:t xml:space="preserve">9. Acceptance</w:t>
      </w:r>
    </w:p>
    <w:p>
      <w:pPr>
        <w:spacing w:after="120"/>
      </w:pPr>
      <w:r>
        <w:rPr>
          <w:rFonts w:ascii="Arial" w:cs="Arial" w:eastAsia="Arial" w:hAnsi="Arial"/>
          <w:sz w:val="20"/>
          <w:szCs w:val="20"/>
        </w:rPr>
        <w:t xml:space="preserve">This change notice shall be reviewed and approved by the DMIS project governance board. Upon approval, the new requirements shall be incorporated into the next sprint planning cycle and the Product Backlog updated accordingly.</w:t>
      </w:r>
    </w:p>
    <w:p>
      <w:pPr>
        <w:spacing w:before="480"/>
      </w:pP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560"/>
      </w:tblGrid>
      <w:tr>
        <w:tc>
          <w:tcPr>
            <w:tcW w:type="dxa" w:w="30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Role</w:t>
            </w:r>
          </w:p>
        </w:tc>
        <w:tc>
          <w:tcPr>
            <w:tcW w:type="dxa" w:w="200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Date</w:t>
            </w:r>
          </w:p>
        </w:tc>
        <w:tc>
          <w:tcPr>
            <w:tcW w:type="dxa" w:w="3560"/>
            <w:tcBorders>
              <w:top w:val="single" w:color="BFBFBF" w:sz="1"/>
              <w:left w:val="single" w:color="BFBFBF" w:sz="1"/>
              <w:bottom w:val="single" w:color="BFBFBF" w:sz="1"/>
              <w:right w:val="single" w:color="BFBFBF" w:sz="1"/>
            </w:tcBorders>
            <w:shd w:fill="2C5F8A" w:val="clear"/>
            <w:tcMar>
              <w:top w:type="dxa" w:w="60"/>
              <w:left w:type="dxa" w:w="100"/>
              <w:bottom w:type="dxa" w:w="60"/>
              <w:right w:type="dxa" w:w="100"/>
            </w:tcMar>
            <w:vAlign w:val="center"/>
          </w:tcPr>
          <w:p>
            <w:r>
              <w:rPr>
                <w:rFonts w:ascii="Arial" w:cs="Arial" w:eastAsia="Arial" w:hAnsi="Arial"/>
                <w:b/>
                <w:bCs/>
                <w:color w:val="FFFFFF"/>
                <w:sz w:val="18"/>
                <w:szCs w:val="18"/>
              </w:rPr>
              <w:t xml:space="preserve">Signature</w:t>
            </w:r>
          </w:p>
        </w:tc>
      </w:tr>
      <w:tr>
        <w:tc>
          <w:tcPr>
            <w:tcW w:type="dxa" w:w="30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ODPEM Senior Director</w:t>
            </w:r>
          </w:p>
        </w:tc>
        <w:tc>
          <w:tcPr>
            <w:tcW w:type="dxa" w:w="20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
            </w:r>
          </w:p>
        </w:tc>
        <w:tc>
          <w:tcPr>
            <w:tcW w:type="dxa" w:w="35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JAMICTA Technical Lead</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
            </w:r>
          </w:p>
        </w:tc>
        <w:tc>
          <w:tcPr>
            <w:tcW w:type="dxa" w:w="3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
            </w:r>
          </w:p>
        </w:tc>
      </w:tr>
      <w:tr>
        <w:tc>
          <w:tcPr>
            <w:tcW w:type="dxa" w:w="30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bCs/>
                <w:color w:val="333333"/>
                <w:sz w:val="18"/>
                <w:szCs w:val="18"/>
              </w:rPr>
              <w:t xml:space="preserve">UNOPS RTA Representative</w:t>
            </w:r>
          </w:p>
        </w:tc>
        <w:tc>
          <w:tcPr>
            <w:tcW w:type="dxa" w:w="200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
            </w:r>
          </w:p>
        </w:tc>
        <w:tc>
          <w:tcPr>
            <w:tcW w:type="dxa" w:w="3560"/>
            <w:tcBorders>
              <w:top w:val="single" w:color="BFBFBF" w:sz="1"/>
              <w:left w:val="single" w:color="BFBFBF" w:sz="1"/>
              <w:bottom w:val="single" w:color="BFBFBF" w:sz="1"/>
              <w:right w:val="single" w:color="BFBFBF" w:sz="1"/>
            </w:tcBorders>
            <w:shd w:fill="D6E8F7"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
            </w:r>
          </w:p>
        </w:tc>
      </w:tr>
      <w:tr>
        <w:tc>
          <w:tcPr>
            <w:tcW w:type="dxa" w:w="3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bCs/>
                <w:color w:val="333333"/>
                <w:sz w:val="18"/>
                <w:szCs w:val="18"/>
              </w:rPr>
              <w:t xml:space="preserve">DMIS Lead Developer</w:t>
            </w:r>
          </w:p>
        </w:tc>
        <w:tc>
          <w:tcPr>
            <w:tcW w:type="dxa" w:w="200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
            </w:r>
          </w:p>
        </w:tc>
        <w:tc>
          <w:tcPr>
            <w:tcW w:type="dxa" w:w="3560"/>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top"/>
          </w:tcPr>
          <w:p>
            <w:r>
              <w:rPr>
                <w:rFonts w:ascii="Arial" w:cs="Arial" w:eastAsia="Arial" w:hAnsi="Arial"/>
                <w:b w:val="false"/>
                <w:bCs w:val="false"/>
                <w:color w:val="333333"/>
                <w:sz w:val="18"/>
                <w:szCs w:val="18"/>
              </w:rPr>
              <w:t xml:space="preserve"/>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ODPEM / JAMICTA / UNOPS RTA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DMIS Requirements Specification v6.1 Change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2026-03-11T19:12:11.739Z</dcterms:created>
  <dcterms:modified xsi:type="dcterms:W3CDTF">2026-03-11T19:12:11.740Z</dcterms:modified>
</cp:coreProperties>
</file>

<file path=docProps/custom.xml><?xml version="1.0" encoding="utf-8"?>
<Properties xmlns="http://schemas.openxmlformats.org/officeDocument/2006/custom-properties" xmlns:vt="http://schemas.openxmlformats.org/officeDocument/2006/docPropsVTypes"/>
</file>