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125.png" ContentType="image/png"/>
  <Override PartName="/word/media/rId26.png" ContentType="image/png"/>
  <Override PartName="/word/media/rId23.png" ContentType="image/png"/>
  <Override PartName="/word/media/rId60.png" ContentType="image/png"/>
  <Override PartName="/word/media/rId46.png" ContentType="image/png"/>
  <Override PartName="/word/media/rId32.png" ContentType="image/png"/>
  <Override PartName="/word/media/rId147.png" ContentType="image/png"/>
  <Override PartName="/word/media/rId153.png" ContentType="image/png"/>
  <Override PartName="/word/media/rId29.png" ContentType="image/png"/>
  <Override PartName="/word/media/rId35.png" ContentType="image/png"/>
  <Override PartName="/word/media/rId38.png" ContentType="image/png"/>
  <Override PartName="/word/media/rId114.png" ContentType="image/png"/>
  <Override PartName="/word/media/rId122.png" ContentType="image/png"/>
  <Override PartName="/word/media/rId90.png" ContentType="image/png"/>
  <Override PartName="/word/media/rId93.png" ContentType="image/png"/>
  <Override PartName="/word/media/rId98.png" ContentType="image/png"/>
  <Override PartName="/word/media/rId83.png" ContentType="image/png"/>
  <Override PartName="/word/media/rId79.png" ContentType="image/png"/>
  <Override PartName="/word/media/rId87.png" ContentType="image/png"/>
  <Override PartName="/word/media/rId110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136.png" ContentType="image/png"/>
  <Override PartName="/word/media/rId150.png" ContentType="image/png"/>
  <Override PartName="/word/media/rId143.png" ContentType="image/png"/>
  <Override PartName="/word/media/rId140.png" ContentType="image/png"/>
  <Override PartName="/word/media/rId65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 2026 · Version 7748683+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45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44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Vertriebsoptimierung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durchgespielt”).</w:t>
      </w:r>
    </w:p>
    <w:p>
      <w:pPr>
        <w:pStyle w:val="BodyText"/>
      </w:pPr>
      <w:r>
        <w:t xml:space="preserve">Durch das gesamte Handbuch begleitet dabei ein festes Beispiel-Ensemble aus</w:t>
      </w:r>
      <w:r>
        <w:t xml:space="preserve"> </w:t>
      </w:r>
      <w:r>
        <w:t xml:space="preserve">drei Personen mit ihren Firmen: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502919" cy="3771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alice-avat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19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hlmann-logistik-log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A — Alice Ahlmann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Ahlmann Logistik GmbH</w:t>
      </w:r>
      <w:r>
        <w:t xml:space="preserve">, einer Logistikfirma,</w:t>
      </w:r>
      <w:r>
        <w:t xml:space="preserve"> </w:t>
      </w:r>
      <w:r>
        <w:t xml:space="preserve">die ihre eigenen Hallen nutzt. Im Soll-Ist-Vergleich agiert sie allein; in</w:t>
      </w:r>
      <w:r>
        <w:t xml:space="preserve"> </w:t>
      </w:r>
      <w:r>
        <w:t xml:space="preserve">den beiden anderen Anwendungsfällen ist sie die Bestandshalterin, die ihre</w:t>
      </w:r>
      <w:r>
        <w:t xml:space="preserve"> </w:t>
      </w:r>
      <w:r>
        <w:t xml:space="preserve">Daten teilt.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5896" cy="37719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bob-avat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6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bauer-grundbesitz-log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B — Bob Bauer</w:t>
      </w:r>
      <w:r>
        <w:t xml:space="preserve"> </w:t>
      </w:r>
      <w:r>
        <w:t xml:space="preserve">von</w:t>
      </w:r>
      <w:r>
        <w:t xml:space="preserve"> </w:t>
      </w:r>
      <w:r>
        <w:rPr>
          <w:b/>
          <w:bCs/>
        </w:rPr>
        <w:t xml:space="preserve">Bauer Grundbesitz</w:t>
      </w:r>
      <w:r>
        <w:t xml:space="preserve">, ein Geschäftspartner von A — je</w:t>
      </w:r>
      <w:r>
        <w:t xml:space="preserve"> </w:t>
      </w:r>
      <w:r>
        <w:t xml:space="preserve">nach Anwendungsfall Investor, Makler oder Berater, der geteilte Daten</w:t>
      </w:r>
      <w:r>
        <w:t xml:space="preserve"> </w:t>
      </w:r>
      <w:r>
        <w:t xml:space="preserve">einsieht, und im Benchmark selbst Bestandshalter.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3768" cy="37719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charlie-avata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68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conrad-kennwert-log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C — Charlie Conrad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Conrad Kennwert GmbH</w:t>
      </w:r>
      <w:r>
        <w:t xml:space="preserve">, ein</w:t>
      </w:r>
      <w:r>
        <w:t xml:space="preserve"> </w:t>
      </w:r>
      <w:r>
        <w:t xml:space="preserve">Benchmark-Dienstleister (Benchmark Service Provider), der die Gebäude von A</w:t>
      </w:r>
      <w:r>
        <w:t xml:space="preserve"> </w:t>
      </w:r>
      <w:r>
        <w:t xml:space="preserve">und B vergleichbar macht.</w:t>
      </w:r>
    </w:p>
    <w:p>
      <w:pPr>
        <w:pStyle w:val="FirstParagraph"/>
      </w:pPr>
      <w:r>
        <w:t xml:space="preserve">Alle Bildschirmfotos dieses Handbuchs zeigen diese drei: Avatar und Firmenlogo</w:t>
      </w:r>
      <w:r>
        <w:t xml:space="preserve"> </w:t>
      </w:r>
      <w:r>
        <w:t xml:space="preserve">erscheinen in der App in der Kopfzeile und an den Gebäude-Markern auf der</w:t>
      </w:r>
      <w:r>
        <w:t xml:space="preserve"> </w:t>
      </w:r>
      <w:r>
        <w:t xml:space="preserve">Karte, sodass in jedem Bild erkennbar ist, wessen Sicht gerade gezeigt wird.</w:t>
      </w:r>
    </w:p>
    <w:bookmarkStart w:id="41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durchgespielt” im Kapitel „Die Anwendungsfälle</w:t>
      </w:r>
      <w:r>
        <w:t xml:space="preserve"> </w:t>
      </w:r>
      <w:r>
        <w:t xml:space="preserve">durchgespielt”.</w:t>
      </w:r>
    </w:p>
    <w:bookmarkEnd w:id="41"/>
    <w:bookmarkStart w:id="42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p>
      <w:pPr>
        <w:pStyle w:val="BodyText"/>
      </w:pPr>
      <w:r>
        <w:t xml:space="preserve">In der Granergize-App übernimmt das die Energie-Linse der Karte: Sie färbt die</w:t>
      </w:r>
      <w:r>
        <w:t xml:space="preserve"> </w:t>
      </w:r>
      <w:r>
        <w:t xml:space="preserve">Gebäude-Marker nach Energieintensität ein und ordnet ein Objekt so auf einen</w:t>
      </w:r>
      <w:r>
        <w:t xml:space="preserve"> </w:t>
      </w:r>
      <w:r>
        <w:t xml:space="preserve">Blick in sein sichtbares Umfeld ein – einschließlich der Gebäude, die andere</w:t>
      </w:r>
      <w:r>
        <w:t xml:space="preserve"> </w:t>
      </w:r>
      <w:r>
        <w:t xml:space="preserve">mit Ihnen geteilt haben (siehe Abschnitt „Gebäude nach Energieverbrauch</w:t>
      </w:r>
      <w:r>
        <w:t xml:space="preserve"> </w:t>
      </w:r>
      <w:r>
        <w:t xml:space="preserve">einordnen”). Ihre volle Wirkung entfaltet die Linse damit erst im Zusammenspiel</w:t>
      </w:r>
      <w:r>
        <w:t xml:space="preserve"> </w:t>
      </w:r>
      <w:r>
        <w:t xml:space="preserve">mit dem Teilen: Je mehr Eigentümer einem Makler oder Berater ihre Gebäude</w:t>
      </w:r>
      <w:r>
        <w:t xml:space="preserve"> </w:t>
      </w:r>
      <w:r>
        <w:t xml:space="preserve">einschließlich Energiedaten freigeben, desto vollständiger wird dessen</w:t>
      </w:r>
      <w:r>
        <w:t xml:space="preserve"> </w:t>
      </w:r>
      <w:r>
        <w:t xml:space="preserve">Marktüberblick. Wie eine solche Freigabe abläuft und beim Empfänger auf der</w:t>
      </w:r>
      <w:r>
        <w:t xml:space="preserve"> </w:t>
      </w:r>
      <w:r>
        <w:t xml:space="preserve">Karte landet, führt der Abschnitt „Vertriebsoptimierung durchgespielt” im</w:t>
      </w:r>
      <w:r>
        <w:t xml:space="preserve"> </w:t>
      </w:r>
      <w:r>
        <w:t xml:space="preserve">Kapitel „Die Anwendungsfälle durchgespielt” aus.</w:t>
      </w:r>
    </w:p>
    <w:bookmarkEnd w:id="42"/>
    <w:bookmarkStart w:id="4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 aus.</w:t>
      </w:r>
    </w:p>
    <w:bookmarkEnd w:id="43"/>
    <w:bookmarkEnd w:id="44"/>
    <w:bookmarkEnd w:id="45"/>
    <w:bookmarkStart w:id="52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50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49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47" name="Picture"/>
            <a:graphic>
              <a:graphicData uri="http://schemas.openxmlformats.org/drawingml/2006/picture">
                <pic:pic>
                  <pic:nvPicPr>
                    <pic:cNvPr descr="figures/architektu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49"/>
    <w:bookmarkEnd w:id="50"/>
    <w:bookmarkStart w:id="51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51"/>
    <w:bookmarkEnd w:id="52"/>
    <w:bookmarkStart w:id="102" w:name="die-granergize-app-in-der-praxis-nutzen"/>
    <w:p>
      <w:pPr>
        <w:pStyle w:val="Heading1"/>
      </w:pPr>
      <w:r>
        <w:t xml:space="preserve">Die Granergize-App in der Praxis nutzen</w:t>
      </w:r>
    </w:p>
    <w:bookmarkStart w:id="53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53"/>
    <w:bookmarkStart w:id="55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54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3"/>
        </w:numPr>
      </w:pPr>
      <w:r>
        <w:t xml:space="preserve">Öffnen Sie</w:t>
      </w:r>
      <w:r>
        <w:t xml:space="preserve"> </w:t>
      </w:r>
      <w:hyperlink r:id="rId54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3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3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55"/>
    <w:bookmarkStart w:id="59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56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57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59"/>
    <w:bookmarkStart w:id="63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6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6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6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61" name="Picture"/>
            <a:graphic>
              <a:graphicData uri="http://schemas.openxmlformats.org/drawingml/2006/picture">
                <pic:pic>
                  <pic:nvPicPr>
                    <pic:cNvPr descr="figures/anmelde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die Granergize-App an,</w:t>
      </w:r>
      <w:r>
        <w:t xml:space="preserve"> </w:t>
      </w:r>
      <w:r>
        <w:rPr>
          <w:b/>
          <w:bCs/>
        </w:rPr>
        <w:t xml:space="preserve">vier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Er erscheint nur, solange Sie weder eigene noch</w:t>
      </w:r>
      <w:r>
        <w:t xml:space="preserve"> </w:t>
      </w:r>
      <w:r>
        <w:t xml:space="preserve">mit Ihnen geteilte Gebäude haben; schlägt das Anlegen einzelner Beispiele fehl</w:t>
      </w:r>
      <w:r>
        <w:t xml:space="preserve"> </w:t>
      </w:r>
      <w:r>
        <w:t xml:space="preserve">(etwa durch eine instabile Verbindung), meldet die Anwendung, wie viele der</w:t>
      </w:r>
      <w:r>
        <w:t xml:space="preserve"> </w:t>
      </w:r>
      <w:r>
        <w:t xml:space="preserve">vier Gebäude angelegt wurden, und das Angebot bleibt zum erneuten Versuch</w:t>
      </w:r>
      <w:r>
        <w:t xml:space="preserve"> </w:t>
      </w:r>
      <w:r>
        <w:t xml:space="preserve">verfügbar. Die Beispiele decken beide Datenformen ab – zwei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 (eines davon trägt zusätzlich Jahreswerte). Zwei der</w:t>
      </w:r>
      <w:r>
        <w:t xml:space="preserve"> </w:t>
      </w:r>
      <w:r>
        <w:t xml:space="preserve">Gebäude mit Jahreswerten teilen sich denselben Betreiber und eines enthält</w:t>
      </w:r>
      <w:r>
        <w:t xml:space="preserve"> </w:t>
      </w:r>
      <w:r>
        <w:t xml:space="preserve">zusätzlich geplante (Soll-)Werte, sodass Betreiber-Durchschnitt und</w:t>
      </w:r>
      <w:r>
        <w:t xml:space="preserve"> </w:t>
      </w:r>
      <w:r>
        <w:t xml:space="preserve">Soll-Ist-Vergleich direkt an den Beispieldaten 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63"/>
    <w:bookmarkStart w:id="64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als Markierung Ihrer Gebäude auf der Karte</w:t>
      </w:r>
      <w:r>
        <w:t xml:space="preserve"> </w:t>
      </w:r>
      <w:r>
        <w:t xml:space="preserve">(siehe Abschnitt „Daten ansehen”) und steigert so die Wiedererkennbarkeit</w:t>
      </w:r>
      <w:r>
        <w:t xml:space="preserve"> </w:t>
      </w:r>
      <w:r>
        <w:t xml:space="preserve">gegenüber 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aus diesem</w:t>
      </w:r>
      <w:r>
        <w:t xml:space="preserve"> </w:t>
      </w:r>
      <w:r>
        <w:t xml:space="preserve">Dialog.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64"/>
    <w:bookmarkStart w:id="74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68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66" name="Picture"/>
            <a:graphic>
              <a:graphicData uri="http://schemas.openxmlformats.org/drawingml/2006/picture">
                <pic:pic>
                  <pic:nvPicPr>
                    <pic:cNvPr descr="figures/wac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68"/>
    <w:bookmarkStart w:id="72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70" name="Picture"/>
            <a:graphic>
              <a:graphicData uri="http://schemas.openxmlformats.org/drawingml/2006/picture">
                <pic:pic>
                  <pic:nvPicPr>
                    <pic:cNvPr descr="figures/wissensgraph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72"/>
    <w:bookmarkStart w:id="73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73"/>
    <w:bookmarkEnd w:id="74"/>
    <w:bookmarkStart w:id="78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76" name="Picture"/>
            <a:graphic>
              <a:graphicData uri="http://schemas.openxmlformats.org/drawingml/2006/picture">
                <pic:pic>
                  <pic:nvPicPr>
                    <pic:cNvPr descr="figures/add-building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78"/>
    <w:bookmarkStart w:id="82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408878"/>
            <wp:effectExtent b="0" l="0" r="0" t="0"/>
            <wp:docPr descr="Aktionen je Gebäude im Tab „Manage”: bearbeiten, Dateien, Energiejahr, teilen, herunterladen, löschen" title="" id="80" name="Picture"/>
            <a:graphic>
              <a:graphicData uri="http://schemas.openxmlformats.org/drawingml/2006/picture">
                <pic:pic>
                  <pic:nvPicPr>
                    <pic:cNvPr descr="figures/manage-action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82"/>
    <w:bookmarkStart w:id="86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84" name="Picture"/>
            <a:graphic>
              <a:graphicData uri="http://schemas.openxmlformats.org/drawingml/2006/picture">
                <pic:pic>
                  <pic:nvPicPr>
                    <pic:cNvPr descr="figures/energy-yea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86"/>
    <w:bookmarkStart w:id="97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Jeder Marker zeigt das</w:t>
      </w:r>
      <w:r>
        <w:t xml:space="preserve"> </w:t>
      </w:r>
      <w:r>
        <w:t xml:space="preserve">Firmenlogo des jeweiligen Datenproduzenten, sofern dieses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 – andernfalls eine neutrale Standard-Markierung.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  <w:r>
        <w:t xml:space="preserve"> </w:t>
      </w:r>
      <w:r>
        <w:t xml:space="preserve">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 </w:t>
      </w:r>
      <w:r>
        <w:t xml:space="preserve">– Jahreswerte und Messreihe –, schalten Sie über</w:t>
      </w:r>
      <w:r>
        <w:t xml:space="preserve"> </w:t>
      </w:r>
      <w:r>
        <w:t xml:space="preserve">den Umschalter</w:t>
      </w:r>
      <w:r>
        <w:t xml:space="preserve"> </w:t>
      </w:r>
      <w:r>
        <w:rPr>
          <w:b/>
          <w:bCs/>
        </w:rPr>
        <w:t xml:space="preserve">Annual | Time series</w:t>
      </w:r>
      <w:r>
        <w:t xml:space="preserve"> </w:t>
      </w:r>
      <w:r>
        <w:t xml:space="preserve">zwischen den Darstellungen um (so</w:t>
      </w:r>
    </w:p>
    <w:p>
      <w:pPr>
        <w:pStyle w:val="Compact"/>
        <w:numPr>
          <w:ilvl w:val="1"/>
          <w:numId w:val="1013"/>
        </w:numPr>
      </w:pPr>
      <w:r>
        <w:t xml:space="preserve">B. beim Beispielgebäude Lange Gasse 20).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88" name="Picture"/>
            <a:graphic>
              <a:graphicData uri="http://schemas.openxmlformats.org/drawingml/2006/picture">
                <pic:pic>
                  <pic:nvPicPr>
                    <pic:cNvPr descr="figures/map-tab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91" name="Picture"/>
            <a:graphic>
              <a:graphicData uri="http://schemas.openxmlformats.org/drawingml/2006/picture">
                <pic:pic>
                  <pic:nvPicPr>
                    <pic:cNvPr descr="figures/energy-data-tab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96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…/#/energy/&lt;Gebäude-Referenz&gt;</w:t>
      </w:r>
      <w:r>
        <w:t xml:space="preserve">. Die Gebäude-Referenz ist der</w:t>
      </w:r>
      <w:r>
        <w:t xml:space="preserve"> </w:t>
      </w:r>
      <w:r>
        <w:t xml:space="preserve">technische Bezeichner des Gebäudes – ein Verweis auf seine Datei im Pod, in der</w:t>
      </w:r>
      <w:r>
        <w:t xml:space="preserve"> </w:t>
      </w:r>
      <w:r>
        <w:t xml:space="preserve">Adresszeile URL-kodiert. Am einfachsten kopieren Sie die Adresse direkt aus der</w:t>
      </w:r>
      <w:r>
        <w:t xml:space="preserve"> </w:t>
      </w:r>
      <w:r>
        <w:t xml:space="preserve">Adresszeile, statt sie von Hand zu bilden.</w:t>
      </w:r>
      <w:r>
        <w:t xml:space="preserve"> </w:t>
      </w:r>
      <w:r>
        <w:t xml:space="preserve">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94" name="Picture"/>
            <a:graphic>
              <a:graphicData uri="http://schemas.openxmlformats.org/drawingml/2006/picture">
                <pic:pic>
                  <pic:nvPicPr>
                    <pic:cNvPr descr="figures/energy-detail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96"/>
    <w:bookmarkEnd w:id="97"/>
    <w:bookmarkStart w:id="101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„Vertriebsoptimierung”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99" name="Picture"/>
            <a:graphic>
              <a:graphicData uri="http://schemas.openxmlformats.org/drawingml/2006/picture">
                <pic:pic>
                  <pic:nvPicPr>
                    <pic:cNvPr descr="figures/energy-len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101"/>
    <w:bookmarkEnd w:id="102"/>
    <w:bookmarkStart w:id="135" w:name="X7d72782c915f60697958dd391a69efa388f028d"/>
    <w:p>
      <w:pPr>
        <w:pStyle w:val="Heading1"/>
      </w:pPr>
      <w:r>
        <w:t xml:space="preserve">Daten gemeinsam nutzen und Mehrwerte schaffen</w:t>
      </w:r>
    </w:p>
    <w:bookmarkStart w:id="109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104" name="Picture"/>
            <a:graphic>
              <a:graphicData uri="http://schemas.openxmlformats.org/drawingml/2006/picture">
                <pic:pic>
                  <pic:nvPicPr>
                    <pic:cNvPr descr="figures/sharing-vergleich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106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106"/>
    <w:bookmarkStart w:id="107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107"/>
    <w:bookmarkStart w:id="108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Die Granergize-App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108"/>
    <w:bookmarkEnd w:id="109"/>
    <w:bookmarkStart w:id="134" w:name="vorgehensweise-beim-datenteilen"/>
    <w:p>
      <w:pPr>
        <w:pStyle w:val="Heading2"/>
      </w:pPr>
      <w:r>
        <w:t xml:space="preserve">Vorgehensweise beim Datenteilen</w:t>
      </w:r>
    </w:p>
    <w:bookmarkStart w:id="113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versammelt</w:t>
      </w:r>
      <w:r>
        <w:t xml:space="preserve"> </w:t>
      </w:r>
      <w:r>
        <w:t xml:space="preserve">der Abschnitt „Your data rooms” alle Datenraum-Aktionen in einer Leiste über</w:t>
      </w:r>
      <w:r>
        <w:t xml:space="preserve"> </w:t>
      </w:r>
      <w:r>
        <w:t xml:space="preserve">der Liste: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 Verweigert der Browser den</w:t>
      </w:r>
      <w:r>
        <w:t xml:space="preserve"> </w:t>
      </w:r>
      <w:r>
        <w:t xml:space="preserve">Kamerazugriff, erscheint ein verständlicher Hinweis; „Cancel” unter dem</w:t>
      </w:r>
      <w:r>
        <w:t xml:space="preserve"> </w:t>
      </w:r>
      <w:r>
        <w:t xml:space="preserve">Kamerabild beendet das Scannen.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111" name="Picture"/>
            <a:graphic>
              <a:graphicData uri="http://schemas.openxmlformats.org/drawingml/2006/picture">
                <pic:pic>
                  <pic:nvPicPr>
                    <pic:cNvPr descr="figures/room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113"/>
    <w:bookmarkStart w:id="117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die App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115" name="Picture"/>
            <a:graphic>
              <a:graphicData uri="http://schemas.openxmlformats.org/drawingml/2006/picture">
                <pic:pic>
                  <pic:nvPicPr>
                    <pic:cNvPr descr="figures/contact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117"/>
    <w:bookmarkStart w:id="121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20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20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20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119" name="Picture"/>
            <a:graphic>
              <a:graphicData uri="http://schemas.openxmlformats.org/drawingml/2006/picture">
                <pic:pic>
                  <pic:nvPicPr>
                    <pic:cNvPr descr="figures/share-building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21"/>
    <w:bookmarkStart w:id="128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21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21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1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21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21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23" name="Picture"/>
            <a:graphic>
              <a:graphicData uri="http://schemas.openxmlformats.org/drawingml/2006/picture">
                <pic:pic>
                  <pic:nvPicPr>
                    <pic:cNvPr descr="figures/create-view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26" name="Picture"/>
            <a:graphic>
              <a:graphicData uri="http://schemas.openxmlformats.org/drawingml/2006/picture">
                <pic:pic>
                  <pic:nvPicPr>
                    <pic:cNvPr descr="figures/aggregated-view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28"/>
    <w:bookmarkStart w:id="132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" title="" id="130" name="Picture"/>
            <a:graphic>
              <a:graphicData uri="http://schemas.openxmlformats.org/drawingml/2006/picture">
                <pic:pic>
                  <pic:nvPicPr>
                    <pic:cNvPr descr="figures/shared-with-you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32"/>
    <w:bookmarkStart w:id="133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33"/>
    <w:bookmarkEnd w:id="134"/>
    <w:bookmarkEnd w:id="135"/>
    <w:bookmarkStart w:id="157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Vertriebsoptimierung zu zweit (A teilt an B), das Energieverbrauchsbenchmark</w:t>
      </w:r>
      <w:r>
        <w:t xml:space="preserve"> </w:t>
      </w:r>
      <w:r>
        <w:t xml:space="preserve">zu dritt (A, B und der Dienstleister C). A, B und C sind dabei wieder Alice</w:t>
      </w:r>
      <w:r>
        <w:t xml:space="preserve"> </w:t>
      </w:r>
      <w:r>
        <w:t xml:space="preserve">Ahlmann, Bob Bauer und Charlie Conrad mit ihren Firmen, wie eingangs im</w:t>
      </w:r>
      <w:r>
        <w:t xml:space="preserve"> </w:t>
      </w:r>
      <w:r>
        <w:t xml:space="preserve">Abschnitt „Praxisbeispiele: Use Cases für die Anwendung” vorgestellt – in den</w:t>
      </w:r>
      <w:r>
        <w:t xml:space="preserve"> </w:t>
      </w:r>
      <w:r>
        <w:t xml:space="preserve">Bildschirmfotos etwa als „Shared by: Alice Ahlmann” beim Empfänger oder als</w:t>
      </w:r>
      <w:r>
        <w:t xml:space="preserve"> </w:t>
      </w:r>
      <w:r>
        <w:t xml:space="preserve">Absender des zurückgeteilten Benchmarks.</w:t>
      </w:r>
    </w:p>
    <w:bookmarkStart w:id="139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die für ihr Gebäude neben den</w:t>
      </w:r>
      <w:r>
        <w:t xml:space="preserve"> </w:t>
      </w:r>
      <w:r>
        <w:t xml:space="preserve">tatsächlichen Verbräuchen auch Planwerte führt. Alles spielt sich auf A’s</w:t>
      </w:r>
      <w:r>
        <w:t xml:space="preserve"> </w:t>
      </w:r>
      <w:r>
        <w:t xml:space="preserve">eigenem Pod ab – geteilt wird nichts.</w:t>
      </w:r>
    </w:p>
    <w:p>
      <w:pPr>
        <w:pStyle w:val="Compact"/>
        <w:numPr>
          <w:ilvl w:val="0"/>
          <w:numId w:val="1023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Gebäude den Dialog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und erfasst ein Jahr mit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 (siehe</w:t>
      </w:r>
      <w:r>
        <w:t xml:space="preserve"> </w:t>
      </w:r>
      <w:r>
        <w:t xml:space="preserve">„Energiedaten erfassen und aktualisieren”).</w:t>
      </w:r>
    </w:p>
    <w:p>
      <w:pPr>
        <w:pStyle w:val="Compact"/>
        <w:numPr>
          <w:ilvl w:val="0"/>
          <w:numId w:val="1023"/>
        </w:numPr>
      </w:pPr>
      <w:r>
        <w:t xml:space="preserve">Für dasselbe Jahr legt A einen zweiten Eintrag an und wählt dabei unter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Planned (Soll)</w:t>
      </w:r>
      <w:r>
        <w:t xml:space="preserve"> </w:t>
      </w:r>
      <w:r>
        <w:t xml:space="preserve">– etwa die erwarteten Verbräuche</w:t>
      </w:r>
      <w:r>
        <w:t xml:space="preserve"> </w:t>
      </w:r>
      <w:r>
        <w:t xml:space="preserve">aus dem Energieausweis oder nach einer Umrüstung auf LED-Beleuchtung.</w:t>
      </w:r>
    </w:p>
    <w:p>
      <w:pPr>
        <w:pStyle w:val="Compact"/>
        <w:numPr>
          <w:ilvl w:val="0"/>
          <w:numId w:val="1023"/>
        </w:numPr>
      </w:pPr>
      <w:r>
        <w:t xml:space="preserve">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wählt A das Gebäude und wechselt zu</w:t>
      </w:r>
      <w:r>
        <w:t xml:space="preserve"> </w:t>
      </w:r>
      <w:r>
        <w:rPr>
          <w:b/>
          <w:bCs/>
        </w:rPr>
        <w:t xml:space="preserve">Energy data</w:t>
      </w:r>
      <w:r>
        <w:t xml:space="preserve">: Die</w:t>
      </w:r>
      <w:r>
        <w:t xml:space="preserve"> </w:t>
      </w:r>
      <w:r>
        <w:t xml:space="preserve">Jahresübersicht zeigt den Soll-Eintrag neben den Ist-Jahren – auf einen</w:t>
      </w:r>
      <w:r>
        <w:t xml:space="preserve"> </w:t>
      </w:r>
      <w:r>
        <w:t xml:space="preserve">Blick, wie nah der reale Verbrauch am Plan liegt.</w:t>
      </w:r>
    </w:p>
    <w:p>
      <w:pPr>
        <w:pStyle w:val="CaptionedFigure"/>
      </w:pPr>
      <w:r>
        <w:drawing>
          <wp:inline>
            <wp:extent cx="5334000" cy="2183920"/>
            <wp:effectExtent b="0" l="0" r="0" t="0"/>
            <wp:docPr descr="Die Pointe des Soll-Ist-Vergleichs: In der Jahresübersicht steht der Plan-Eintrag („planned”) neben den Ist-Jahren desselben Gebäudes" title="" id="137" name="Picture"/>
            <a:graphic>
              <a:graphicData uri="http://schemas.openxmlformats.org/drawingml/2006/picture">
                <pic:pic>
                  <pic:nvPicPr>
                    <pic:cNvPr descr="figures/soll-ist-payoff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(„planned”) neben den Ist-Jahren desselben Gebäudes</w:t>
      </w:r>
    </w:p>
    <w:bookmarkEnd w:id="139"/>
    <w:bookmarkStart w:id="146" w:name="X03da6b348cd61bc192d9c3a7fb942e1ef461fae"/>
    <w:p>
      <w:pPr>
        <w:pStyle w:val="Heading2"/>
      </w:pPr>
      <w:r>
        <w:t xml:space="preserve">Vertriebsoptimierung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die ein Gebäude mit erfassten Energiejahren verwaltet, und</w:t>
      </w:r>
      <w:r>
        <w:t xml:space="preserve"> </w:t>
      </w:r>
      <w:r>
        <w:rPr>
          <w:b/>
          <w:bCs/>
        </w:rPr>
        <w:t xml:space="preserve">B</w:t>
      </w:r>
      <w:r>
        <w:t xml:space="preserve">, ein Geschäftspartner – etwa ein Investor oder ein Makler bzw. Berater,</w:t>
      </w:r>
      <w:r>
        <w:t xml:space="preserve"> </w:t>
      </w:r>
      <w:r>
        <w:t xml:space="preserve">der sich einen Marktüberblick verschafft (der Anwendungsfall</w:t>
      </w:r>
      <w:r>
        <w:t xml:space="preserve"> </w:t>
      </w:r>
      <w:r>
        <w:t xml:space="preserve">„Vertriebsoptimierung”) –, der diese Daten einsehen soll.</w:t>
      </w:r>
      <w:r>
        <w:t xml:space="preserve"> </w:t>
      </w:r>
      <w:r>
        <w:t xml:space="preserve">Wichtig vorab: Die Daten werden zu keinem Zeitpunkt kopiert oder an einen</w:t>
      </w:r>
      <w:r>
        <w:t xml:space="preserve"> </w:t>
      </w:r>
      <w:r>
        <w:t xml:space="preserve">zentralen Dienst übertragen – sie bleiben auf A’s Pod, und B liest sie dort</w:t>
      </w:r>
      <w:r>
        <w:t xml:space="preserve"> </w:t>
      </w:r>
      <w:r>
        <w:t xml:space="preserve">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4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das Teilen-Symbol des</w:t>
      </w:r>
      <w:r>
        <w:t xml:space="preserve"> </w:t>
      </w:r>
      <w:r>
        <w:t xml:space="preserve">Gebäudes. Der Dialog „Share Building Data” erscheint.</w:t>
      </w:r>
    </w:p>
    <w:p>
      <w:pPr>
        <w:pStyle w:val="Compact"/>
        <w:numPr>
          <w:ilvl w:val="0"/>
          <w:numId w:val="1024"/>
        </w:numPr>
      </w:pPr>
      <w:r>
        <w:t xml:space="preserve">A wählt</w:t>
      </w:r>
      <w:r>
        <w:t xml:space="preserve"> </w:t>
      </w:r>
      <w:r>
        <w:rPr>
          <w:b/>
          <w:bCs/>
        </w:rPr>
        <w:t xml:space="preserve">By WebID</w:t>
      </w:r>
      <w:r>
        <w:t xml:space="preserve">. B’s WebID hat A von B selbst erhalten – eine WebID</w:t>
      </w:r>
      <w:r>
        <w:t xml:space="preserve"> </w:t>
      </w:r>
      <w:r>
        <w:t xml:space="preserve">gibt man weiter wie eine E-Mail-Adresse, etwa in der Signatur oder auf der</w:t>
      </w:r>
      <w:r>
        <w:t xml:space="preserve"> </w:t>
      </w:r>
      <w:r>
        <w:t xml:space="preserve">Visitenkarte. Einmal unter „Contacts” abgelegt (siehe „Kontakte</w:t>
      </w:r>
      <w:r>
        <w:t xml:space="preserve"> </w:t>
      </w:r>
      <w:r>
        <w:t xml:space="preserve">verwalten”), schlägt die App B fortan mit Namen und Profilbild als</w:t>
      </w:r>
      <w:r>
        <w:t xml:space="preserve"> </w:t>
      </w:r>
      <w:r>
        <w:t xml:space="preserve">Empfänger vor – die WebID muss nie wieder eingetippt werden.</w:t>
      </w:r>
      <w:r>
        <w:t xml:space="preserve"> </w:t>
      </w:r>
      <w:r>
        <w:t xml:space="preserve">Alternativ wählt A</w:t>
      </w:r>
      <w:r>
        <w:t xml:space="preserve"> </w:t>
      </w:r>
      <w:r>
        <w:rPr>
          <w:b/>
          <w:bCs/>
        </w:rPr>
        <w:t xml:space="preserve">By role</w:t>
      </w:r>
      <w:r>
        <w:t xml:space="preserve">, wenn beide Mitglied desselben Datenraums</w:t>
      </w:r>
      <w:r>
        <w:t xml:space="preserve"> </w:t>
      </w:r>
      <w:r>
        <w:t xml:space="preserve">sind und B sich dort eine passende Rolle zugewiesen hat.</w:t>
      </w:r>
    </w:p>
    <w:p>
      <w:pPr>
        <w:pStyle w:val="Compact"/>
        <w:numPr>
          <w:ilvl w:val="0"/>
          <w:numId w:val="1024"/>
        </w:numPr>
      </w:pPr>
      <w:r>
        <w:t xml:space="preserve">A legt unter „What to share” den Umfang fest – etwa nur Stammdaten oder</w:t>
      </w:r>
      <w:r>
        <w:t xml:space="preserve"> </w:t>
      </w:r>
      <w:r>
        <w:t xml:space="preserve">Stammdaten mit ausgewählten Energiejahren – und bestätigt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FirstParagraph"/>
      </w:pPr>
      <w:r>
        <w:t xml:space="preserve">Anschließend sieht A die Freigabe direkt beim Gebäude unter „Shared with:” und</w:t>
      </w:r>
      <w:r>
        <w:t xml:space="preserve"> </w:t>
      </w:r>
      <w:r>
        <w:t xml:space="preserve">kann sie dort jederzeit wieder entfernen. B wird automatisch in A’s Kontakte</w:t>
      </w:r>
      <w:r>
        <w:t xml:space="preserve"> </w:t>
      </w:r>
      <w:r>
        <w:t xml:space="preserve">aufgenommen.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5"/>
        </w:numPr>
      </w:pPr>
      <w:r>
        <w:t xml:space="preserve">Die Freigabe-Benachrichtigung landet im Posteingang von B’s Pod. Beim</w:t>
      </w:r>
      <w:r>
        <w:t xml:space="preserve"> </w:t>
      </w:r>
      <w:r>
        <w:t xml:space="preserve">nächsten Öffnen oder Neuladen der App verarbeitet B’s Anwendung sie</w:t>
      </w:r>
      <w:r>
        <w:t xml:space="preserve"> </w:t>
      </w:r>
      <w:r>
        <w:t xml:space="preserve">automatisch – B muss dafür nichts tun.</w:t>
      </w:r>
    </w:p>
    <w:p>
      <w:pPr>
        <w:pStyle w:val="Compact"/>
        <w:numPr>
          <w:ilvl w:val="0"/>
          <w:numId w:val="1025"/>
        </w:numPr>
      </w:pPr>
      <w:r>
        <w:t xml:space="preserve">Das Gebäude erscheint bei B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</w:t>
      </w:r>
      <w:r>
        <w:t xml:space="preserve"> </w:t>
      </w:r>
      <w:r>
        <w:t xml:space="preserve">you” und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dort als geteiltes</w:t>
      </w:r>
      <w:r>
        <w:t xml:space="preserve"> </w:t>
      </w:r>
      <w:r>
        <w:t xml:space="preserve">Gebäude gekennzeichnet und neben B’s eigenen Gebäuden auswertbar – auch in</w:t>
      </w:r>
      <w:r>
        <w:t xml:space="preserve"> </w:t>
      </w:r>
      <w:r>
        <w:t xml:space="preserve">der Energie-Linse, die geteilte Gebäude in B’s Marktüberblick einbezieht.</w:t>
      </w:r>
    </w:p>
    <w:p>
      <w:pPr>
        <w:pStyle w:val="Compact"/>
        <w:numPr>
          <w:ilvl w:val="0"/>
          <w:numId w:val="1025"/>
        </w:numPr>
      </w:pPr>
      <w:r>
        <w:t xml:space="preserve">B öffnet das Gebäude und sieht genau das, was A freigegeben hat: die</w:t>
      </w:r>
      <w:r>
        <w:t xml:space="preserve"> </w:t>
      </w:r>
      <w:r>
        <w:t xml:space="preserve">Stammdaten und – je nach gewähltem Umfang – die Energiejahre. Hat A „alle</w:t>
      </w:r>
      <w:r>
        <w:t xml:space="preserve"> </w:t>
      </w:r>
      <w:r>
        <w:t xml:space="preserve">Energiejahre” freigegeben, sieht B auch Jahre, die A erst später erfasst.</w:t>
      </w:r>
    </w:p>
    <w:p>
      <w:pPr>
        <w:pStyle w:val="Compact"/>
        <w:numPr>
          <w:ilvl w:val="0"/>
          <w:numId w:val="1025"/>
        </w:numPr>
      </w:pPr>
      <w:r>
        <w:t xml:space="preserve">Möchte B das Gebäude vorübergehend nicht in seinen Listen sehen, blendet er</w:t>
      </w:r>
      <w:r>
        <w:t xml:space="preserve"> </w:t>
      </w:r>
      <w:r>
        <w:t xml:space="preserve">es über das Augen-Symbol aus – die Freigabe selbst bleibt bestehen.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uf B’s Karte steht A’s freigegebenes Gebäude neben B’s eigenen Beständen – an der Markierung mit A’s Firmenlogo zu erkennen –, und die Detailansicht zeigt A’s Stammdaten, live von A’s Pod gelesen" title="" id="141" name="Picture"/>
            <a:graphic>
              <a:graphicData uri="http://schemas.openxmlformats.org/drawingml/2006/picture">
                <pic:pic>
                  <pic:nvPicPr>
                    <pic:cNvPr descr="figures/teilen-payoff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Auf B’s Karte steht A’s freigegebenes Gebäude neben B’s eigenen Beständen – an der Markierung mit A’s Firmenlogo zu erkennen –, und die Detailansicht zeigt A’s Stammdaten, live von A’s Pod gelesen</w:t>
      </w:r>
    </w:p>
    <w:p>
      <w:pPr>
        <w:pStyle w:val="BodyText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 – und beides</w:t>
      </w:r>
      <w:r>
        <w:t xml:space="preserve"> </w:t>
      </w:r>
      <w:r>
        <w:t xml:space="preserve">bleibt auch nach dem Widerruf nachvollziehbar.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44" name="Picture"/>
            <a:graphic>
              <a:graphicData uri="http://schemas.openxmlformats.org/drawingml/2006/picture">
                <pic:pic>
                  <pic:nvPicPr>
                    <pic:cNvPr descr="figures/szenario-teilen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46"/>
    <w:bookmarkStart w:id="156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„Wie steht mein Gebäude im</w:t>
      </w:r>
      <w:r>
        <w:t xml:space="preserve"> </w:t>
      </w:r>
      <w:r>
        <w:t xml:space="preserve">Branchendurchschnitt da?</w:t>
      </w:r>
      <w:r>
        <w:t xml:space="preserve">“</w:t>
      </w:r>
      <w:r>
        <w:t xml:space="preserve">, der eingangs beschriebene Anwendungsfall</w:t>
      </w:r>
      <w:r>
        <w:t xml:space="preserve"> </w:t>
      </w:r>
      <w:r>
        <w:t xml:space="preserve">„Energieverbrauchsbenchmark</w:t>
      </w:r>
      <w:r>
        <w:t xml:space="preserve">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aggregierten Ansichten, mit drei</w:t>
      </w:r>
      <w:r>
        <w:t xml:space="preserve"> </w:t>
      </w:r>
      <w:r>
        <w:t xml:space="preserve">Beteiligten: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sind Bestandshalter mit eigenen Gebäuden und Energiedaten.</w:t>
      </w:r>
      <w:r>
        <w:t xml:space="preserve"> </w:t>
      </w:r>
      <w:r>
        <w:t xml:space="preserve">Sie kennen einander nicht notwendigerweise und sehen gegenseitig keine Daten.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 </w:t>
      </w:r>
      <w:r>
        <w:t xml:space="preserve">(Benchmark Service Provider) – kein</w:t>
      </w:r>
      <w:r>
        <w:t xml:space="preserve"> </w:t>
      </w:r>
      <w:r>
        <w:t xml:space="preserve">Server und kein Sonderkonto, sondern ein gewöhnlicher Nutzer derselben App</w:t>
      </w:r>
      <w:r>
        <w:t xml:space="preserve"> </w:t>
      </w:r>
      <w:r>
        <w:t xml:space="preserve">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27"/>
        </w:numPr>
      </w:pPr>
      <w:r>
        <w:t xml:space="preserve">Jeder teilt seine Gebäude über den normalen Teilen-Dialog an C – genau die</w:t>
      </w:r>
      <w:r>
        <w:t xml:space="preserve"> </w:t>
      </w:r>
      <w:r>
        <w:t xml:space="preserve">Schritte aus „Vertriebsoptimierung durchgespielt”, nur dass A unter „What to share” diesmal</w:t>
      </w:r>
      <w:r>
        <w:t xml:space="preserve"> </w:t>
      </w:r>
      <w:r>
        <w:rPr>
          <w:b/>
          <w:bCs/>
        </w:rPr>
        <w:t xml:space="preserve">einschließlich Energiedaten</w:t>
      </w:r>
      <w:r>
        <w:t xml:space="preserve"> </w:t>
      </w:r>
      <w:r>
        <w:t xml:space="preserve">freigibt, wahlweise alle Jahre oder gezielt</w:t>
      </w:r>
      <w:r>
        <w:t xml:space="preserve"> </w:t>
      </w:r>
      <w:r>
        <w:t xml:space="preserve">ausgewählte. C’s WebID liegt dabei längst im Adressbuch – sie kam mit der</w:t>
      </w:r>
      <w:r>
        <w:t xml:space="preserve"> </w:t>
      </w:r>
      <w:r>
        <w:t xml:space="preserve">Beauftragung des Dienstleisters, wie eine E-Mail-Adresse –, sodass der</w:t>
      </w:r>
      <w:r>
        <w:t xml:space="preserve"> </w:t>
      </w:r>
      <w:r>
        <w:t xml:space="preserve">Teilen-Dialog C mit Namen und Profilbild vorschlägt.</w:t>
      </w:r>
    </w:p>
    <w:p>
      <w:pPr>
        <w:pStyle w:val="Compact"/>
        <w:numPr>
          <w:ilvl w:val="0"/>
          <w:numId w:val="1027"/>
        </w:numPr>
      </w:pPr>
      <w:r>
        <w:t xml:space="preserve">Sind alle drei Mitglied desselben Datenraums, geht es auch in einem Zug</w:t>
      </w:r>
      <w:r>
        <w:t xml:space="preserve"> </w:t>
      </w:r>
      <w:r>
        <w:t xml:space="preserve">rollenbasiert: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an die Rolle</w:t>
      </w:r>
      <w:r>
        <w:t xml:space="preserve"> </w:t>
      </w:r>
      <w:r>
        <w:rPr>
          <w:b/>
          <w:bCs/>
        </w:rPr>
        <w:t xml:space="preserve">Benchmark Service Provider</w:t>
      </w:r>
      <w:r>
        <w:t xml:space="preserve"> </w:t>
      </w:r>
      <w:r>
        <w:t xml:space="preserve">erreicht C, ohne dass A und B dessen WebID kennen müssen.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28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 you”.</w:t>
      </w:r>
    </w:p>
    <w:p>
      <w:pPr>
        <w:pStyle w:val="Compact"/>
        <w:numPr>
          <w:ilvl w:val="0"/>
          <w:numId w:val="1028"/>
        </w:numPr>
      </w:pPr>
      <w:r>
        <w:t xml:space="preserve">C wechselt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views”, klickt</w:t>
      </w:r>
      <w:r>
        <w:t xml:space="preserve"> </w:t>
      </w:r>
      <w:r>
        <w:rPr>
          <w:b/>
          <w:bCs/>
        </w:rPr>
        <w:t xml:space="preserve">Create View</w:t>
      </w:r>
      <w:r>
        <w:t xml:space="preserve"> </w:t>
      </w:r>
      <w:r>
        <w:t xml:space="preserve">und wählt die Art</w:t>
      </w:r>
      <w:r>
        <w:t xml:space="preserve"> </w:t>
      </w:r>
      <w:r>
        <w:rPr>
          <w:b/>
          <w:bCs/>
        </w:rPr>
        <w:t xml:space="preserve">Compare shared buildings</w:t>
      </w:r>
      <w:r>
        <w:t xml:space="preserve">. Zur Auswahl</w:t>
      </w:r>
      <w:r>
        <w:t xml:space="preserve"> </w:t>
      </w:r>
      <w:r>
        <w:t xml:space="preserve">stehen genau die Gebäude, die</w:t>
      </w:r>
      <w:r>
        <w:t xml:space="preserve"> </w:t>
      </w:r>
      <w:r>
        <w:rPr>
          <w:b/>
          <w:bCs/>
        </w:rPr>
        <w:t xml:space="preserve">mit C geteilt</w:t>
      </w:r>
      <w:r>
        <w:t xml:space="preserve"> </w:t>
      </w:r>
      <w:r>
        <w:t xml:space="preserve">wurden – also die Beiträge</w:t>
      </w:r>
      <w:r>
        <w:t xml:space="preserve"> </w:t>
      </w:r>
      <w:r>
        <w:t xml:space="preserve">von A und B.</w:t>
      </w:r>
    </w:p>
    <w:p>
      <w:pPr>
        <w:pStyle w:val="Compact"/>
        <w:numPr>
          <w:ilvl w:val="0"/>
          <w:numId w:val="1028"/>
        </w:numPr>
      </w:pPr>
      <w:r>
        <w:t xml:space="preserve">C vergibt einen Namen, wählt die Kennzahlen (jährlicher Strom-, Wärme-,</w:t>
      </w:r>
      <w:r>
        <w:t xml:space="preserve"> </w:t>
      </w:r>
      <w:r>
        <w:t xml:space="preserve">Wasser- und Abwasserverbrauch)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und erstellt die Ansicht; beim ersten Öffnen berechnet die App das Ergebnis</w:t>
      </w:r>
      <w:r>
        <w:t xml:space="preserve"> </w:t>
      </w:r>
      <w:r>
        <w:t xml:space="preserve">als Snapshot (siehe „Aggregierte Ansicht erstellen und teilen”).</w:t>
      </w:r>
    </w:p>
    <w:p>
      <w:pPr>
        <w:pStyle w:val="Compact"/>
        <w:numPr>
          <w:ilvl w:val="0"/>
          <w:numId w:val="1028"/>
        </w:numPr>
      </w:pPr>
      <w:r>
        <w:t xml:space="preserve">C teilt die fertige Ansicht über das Teilen-Symbol an alle Beitragenden</w:t>
      </w:r>
      <w:r>
        <w:t xml:space="preserve"> </w:t>
      </w:r>
      <w:r>
        <w:t xml:space="preserve">zurück. Im Teilen-Dialog bietet die App dafür eine Ein-Klick-Hilfe an:</w:t>
      </w:r>
      <w:r>
        <w:t xml:space="preserve"> </w:t>
      </w:r>
      <w:r>
        <w:rPr>
          <w:b/>
          <w:bCs/>
        </w:rPr>
        <w:t xml:space="preserve">Add all contributors</w:t>
      </w:r>
      <w:r>
        <w:t xml:space="preserve"> </w:t>
      </w:r>
      <w:r>
        <w:t xml:space="preserve">trägt automatisch alle ein, deren Gebäude in den</w:t>
      </w:r>
      <w:r>
        <w:t xml:space="preserve"> </w:t>
      </w:r>
      <w:r>
        <w:t xml:space="preserve">Benchmark eingeflossen sind – hier A und B.</w:t>
      </w:r>
    </w:p>
    <w:p>
      <w:pPr>
        <w:pStyle w:val="FirstParagraph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29"/>
        </w:numPr>
      </w:pPr>
      <w:r>
        <w:t xml:space="preserve">Die zurückerhaltene Ansicht erscheint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„Views shared</w:t>
      </w:r>
      <w:r>
        <w:t xml:space="preserve"> </w:t>
      </w:r>
      <w:r>
        <w:t xml:space="preserve">with you” – mit den empfangenen Durchschnittswerten zum Aufklappen (siehe</w:t>
      </w:r>
      <w:r>
        <w:t xml:space="preserve"> </w:t>
      </w:r>
      <w:r>
        <w:t xml:space="preserve">die Abbildung im Abschnitt „Mit Ihnen geteilte Daten”).</w:t>
      </w:r>
    </w:p>
    <w:p>
      <w:pPr>
        <w:pStyle w:val="Compact"/>
        <w:numPr>
          <w:ilvl w:val="0"/>
          <w:numId w:val="1029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Spalte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wird nun gegen den externen</w:t>
      </w:r>
      <w:r>
        <w:t xml:space="preserve"> </w:t>
      </w:r>
      <w:r>
        <w:t xml:space="preserve">Branchenwert eingefärbt statt nur gegen den eigenen Portfolio-Durchschnitt,</w:t>
      </w:r>
      <w:r>
        <w:t xml:space="preserve"> </w:t>
      </w:r>
      <w:r>
        <w:t xml:space="preserve">und ein Hinweis nennt den Dienstleister, der den Benchmark berechnet hat.</w:t>
      </w:r>
    </w:p>
    <w:p>
      <w:pPr>
        <w:pStyle w:val="CaptionedFigure"/>
      </w:pPr>
      <w:r>
        <w:drawing>
          <wp:inline>
            <wp:extent cx="5334000" cy="890596"/>
            <wp:effectExtent b="0" l="0" r="0" t="0"/>
            <wp:docPr descr="Die Pointe des Roundtrips: Auf der Energie-Detailseite von A (und ebenso von B) steht der eigene Verbrauch jetzt einer gefüllten Spalte „Benchmark” gegenüber – den von C zurückgeteilten Branchenwerten über die Gebäude aller Beitragenden" title="" id="148" name="Picture"/>
            <a:graphic>
              <a:graphicData uri="http://schemas.openxmlformats.org/drawingml/2006/picture">
                <pic:pic>
                  <pic:nvPicPr>
                    <pic:cNvPr descr="figures/benchmark-payoff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0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Spalte „Benchmark”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51" name="Picture"/>
            <a:graphic>
              <a:graphicData uri="http://schemas.openxmlformats.org/drawingml/2006/picture">
                <pic:pic>
                  <pic:nvPicPr>
                    <pic:cNvPr descr="figures/szenario-benchmark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dd all contributors” trägt alle Beitragenden mit einem Klick als Empfänger ein" title="" id="154" name="Picture"/>
            <a:graphic>
              <a:graphicData uri="http://schemas.openxmlformats.org/drawingml/2006/picture">
                <pic:pic>
                  <pic:nvPicPr>
                    <pic:cNvPr descr="figures/benchmark-share-back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„Add all contributors” trägt alle Beitragenden mit einem Klick als Empfänger ein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– sie enthält die IRIs der beitragenden Gebäude – bleibt</w:t>
      </w:r>
      <w:r>
        <w:t xml:space="preserve"> </w:t>
      </w:r>
      <w:r>
        <w:t xml:space="preserve">auf C’s Pod und wird nie geteilt; nur der berechnete Snapshot wandert zu den</w:t>
      </w:r>
      <w:r>
        <w:t xml:space="preserve"> </w:t>
      </w:r>
      <w:r>
        <w:t xml:space="preserve">Empfängern. Der Snapshot ist dabei als Benchmark-Ergebnis typisiert und</w:t>
      </w:r>
      <w:r>
        <w:t xml:space="preserve"> </w:t>
      </w:r>
      <w:r>
        <w:t xml:space="preserve">vermerkt den berechnenden Agenten und den abgedeckten Zeitraum, sodass die</w:t>
      </w:r>
      <w:r>
        <w:t xml:space="preserve"> </w:t>
      </w:r>
      <w:r>
        <w:t xml:space="preserve">Energie-Ansicht der Empfänger ihn von gewöhnlichen geteilten Ansichten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56"/>
    <w:bookmarkEnd w:id="157"/>
    <w:bookmarkStart w:id="158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58"/>
    <w:bookmarkStart w:id="160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59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0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125" Target="media/rId125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147" Target="media/rId147.png" /><Relationship Type="http://schemas.openxmlformats.org/officeDocument/2006/relationships/image" Id="rId153" Target="media/rId153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4" Target="media/rId114.png" /><Relationship Type="http://schemas.openxmlformats.org/officeDocument/2006/relationships/image" Id="rId122" Target="media/rId122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83" Target="media/rId83.png" /><Relationship Type="http://schemas.openxmlformats.org/officeDocument/2006/relationships/image" Id="rId79" Target="media/rId79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136" Target="media/rId136.png" /><Relationship Type="http://schemas.openxmlformats.org/officeDocument/2006/relationships/image" Id="rId150" Target="media/rId150.png" /><Relationship Type="http://schemas.openxmlformats.org/officeDocument/2006/relationships/image" Id="rId143" Target="media/rId143.png" /><Relationship Type="http://schemas.openxmlformats.org/officeDocument/2006/relationships/image" Id="rId140" Target="media/rId140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59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59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2026-06-12T16:32:32Z</dcterms:created>
  <dcterms:modified xsi:type="dcterms:W3CDTF">2026-06-12T16:32:32Z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 · Version 7748683+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