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34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56.png" ContentType="image/png"/>
  <Override PartName="/word/media/rId162.png" ContentType="image/png"/>
  <Override PartName="/word/media/rId29.png" ContentType="image/png"/>
  <Override PartName="/word/media/rId35.png" ContentType="image/png"/>
  <Override PartName="/word/media/rId168.png" ContentType="image/png"/>
  <Override PartName="/word/media/rId38.png" ContentType="image/png"/>
  <Override PartName="/word/media/rId123.png" ContentType="image/png"/>
  <Override PartName="/word/media/rId131.png" ContentType="image/png"/>
  <Override PartName="/word/media/rId95.png" ContentType="image/png"/>
  <Override PartName="/word/media/rId98.png" ContentType="image/png"/>
  <Override PartName="/word/media/rId103.png" ContentType="image/png"/>
  <Override PartName="/word/media/rId88.png" ContentType="image/png"/>
  <Override PartName="/word/media/rId63.png" ContentType="image/png"/>
  <Override PartName="/word/media/rId84.png" ContentType="image/png"/>
  <Override PartName="/word/media/rId92.png" ContentType="image/png"/>
  <Override PartName="/word/media/rId107.png" ContentType="image/png"/>
  <Override PartName="/word/media/rId119.png" ContentType="image/png"/>
  <Override PartName="/word/media/rId127.png" ContentType="image/png"/>
  <Override PartName="/word/media/rId138.png" ContentType="image/png"/>
  <Override PartName="/word/media/rId112.png" ContentType="image/png"/>
  <Override PartName="/word/media/rId145.png" ContentType="image/png"/>
  <Override PartName="/word/media/rId159.png" ContentType="image/png"/>
  <Override PartName="/word/media/rId152.png" ContentType="image/png"/>
  <Override PartName="/word/media/rId149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1be32f1+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Vertriebsunterstützung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bookmarkEnd w:id="41"/>
    <w:bookmarkStart w:id="42" w:name="vertriebsunterstützung"/>
    <w:p>
      <w:pPr>
        <w:pStyle w:val="Heading3"/>
      </w:pPr>
      <w:r>
        <w:t xml:space="preserve">Vertriebsunterstützung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Die energetische</w:t>
      </w:r>
      <w:r>
        <w:t xml:space="preserve"> </w:t>
      </w:r>
      <w:r>
        <w:t xml:space="preserve">Qualität eines Objekts ist bei der Vermietung und beim Verkauf von Logistik- und</w:t>
      </w:r>
      <w:r>
        <w:t xml:space="preserve"> </w:t>
      </w:r>
      <w:r>
        <w:t xml:space="preserve">Gewerbeimmobilien zunehmend ein Argument – aber nur, wenn sie belegbar ist. Kern</w:t>
      </w:r>
      <w:r>
        <w:t xml:space="preserve"> </w:t>
      </w:r>
      <w:r>
        <w:t xml:space="preserve">des Anwendungsfalls ist daher, die Energieeffizienz einer Immobilie mit echten</w:t>
      </w:r>
      <w:r>
        <w:t xml:space="preserve"> </w:t>
      </w:r>
      <w:r>
        <w:t xml:space="preserve">statt geschätzten Zahlen darzustellen, sodass Makler, Berater und Investoren im</w:t>
      </w:r>
      <w:r>
        <w:t xml:space="preserve"> </w:t>
      </w:r>
      <w:r>
        <w:t xml:space="preserve">Vertrieb belastbar damit argumentieren können. Entscheidend ist dabei die</w:t>
      </w:r>
      <w:r>
        <w:t xml:space="preserve"> </w:t>
      </w:r>
      <w:r>
        <w:t xml:space="preserve">Datenhoheit: Der Eigentümer gibt seine Energiedaten gezielt für die vertrieblich</w:t>
      </w:r>
      <w:r>
        <w:t xml:space="preserve"> </w:t>
      </w:r>
      <w:r>
        <w:t xml:space="preserve">Beteiligten frei, ohne sie aus der Hand zu geben oder zentral zu hinterlegen.</w:t>
      </w:r>
      <w:r>
        <w:t xml:space="preserve"> </w:t>
      </w:r>
      <w:r>
        <w:t xml:space="preserve">Für diesen Anwendungsfall werden vor allem aggregierte Verbrauchsdaten sowie</w:t>
      </w:r>
      <w:r>
        <w:t xml:space="preserve"> </w:t>
      </w:r>
      <w:r>
        <w:t xml:space="preserve">allgemeine Objektdaten benötigt.</w:t>
      </w:r>
    </w:p>
    <w:p>
      <w:pPr>
        <w:pStyle w:val="BodyText"/>
      </w:pPr>
      <w:r>
        <w:t xml:space="preserve">Die Granergize-App löst das über zwei ineinandergreifende Wege ein. Erstens die</w:t>
      </w:r>
      <w:r>
        <w:t xml:space="preserve"> </w:t>
      </w:r>
      <w:r>
        <w:t xml:space="preserve">gezielte Freigabe: Ein Eigentümer teilt sein Gebäude einschließlich der</w:t>
      </w:r>
      <w:r>
        <w:t xml:space="preserve"> </w:t>
      </w:r>
      <w:r>
        <w:t xml:space="preserve">Energiedaten mit seinem Makler oder Berater – die Daten bleiben dabei auf dem</w:t>
      </w:r>
      <w:r>
        <w:t xml:space="preserve"> </w:t>
      </w:r>
      <w:r>
        <w:t xml:space="preserve">Pod des Eigentümers, werden nicht kopiert und können jederzeit wieder entzogen</w:t>
      </w:r>
      <w:r>
        <w:t xml:space="preserve"> </w:t>
      </w:r>
      <w:r>
        <w:t xml:space="preserve">werden (siehe Abschnitt „Vorgehensweise beim Datenteilen”). Zweitens die</w:t>
      </w:r>
      <w:r>
        <w:t xml:space="preserve"> </w:t>
      </w:r>
      <w:r>
        <w:t xml:space="preserve">Energie-Linse der Karte: Sie färbt die Gebäude-Marker nach Energieintensität ein</w:t>
      </w:r>
      <w:r>
        <w:t xml:space="preserve"> </w:t>
      </w:r>
      <w:r>
        <w:t xml:space="preserve">und ordnet ein Objekt – einschließlich der mit Ihnen geteilten Gebäude – auf</w:t>
      </w:r>
      <w:r>
        <w:t xml:space="preserve"> </w:t>
      </w:r>
      <w:r>
        <w:t xml:space="preserve">einen Blick in sein sichtbares Umfeld ein (siehe Abschnitt „Gebäude nach</w:t>
      </w:r>
      <w:r>
        <w:t xml:space="preserve"> </w:t>
      </w:r>
      <w:r>
        <w:t xml:space="preserve">Energieverbrauch einordnen”). So wird die belegte Effizienz einer Halle zum</w:t>
      </w:r>
      <w:r>
        <w:t xml:space="preserve"> </w:t>
      </w:r>
      <w:r>
        <w:t xml:space="preserve">sichtbaren Argument gegenüber ihren Nachbarn. Wie eine solche Freigabe abläuft</w:t>
      </w:r>
      <w:r>
        <w:t xml:space="preserve"> </w:t>
      </w:r>
      <w:r>
        <w:t xml:space="preserve">und beim Empfänger auf der Karte landet, führt der Abschnitt</w:t>
      </w:r>
      <w:r>
        <w:t xml:space="preserve"> </w:t>
      </w:r>
      <w:r>
        <w:t xml:space="preserve">„Vertriebsunterstützung durchgespielt” im Kapitel „Die Anwendungsfälle</w:t>
      </w:r>
      <w:r>
        <w:t xml:space="preserve"> </w:t>
      </w:r>
      <w:r>
        <w:t xml:space="preserve">durchgespielt” aus.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11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6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vier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vier Gebäude angelegt wurden, und das Angebot bleibt zum erneuten Versuch</w:t>
      </w:r>
      <w:r>
        <w:t xml:space="preserve"> </w:t>
      </w:r>
      <w:r>
        <w:t xml:space="preserve">verfügbar. Die Beispiele decken beide Datenformen ab – zwei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 (eines davon trägt zusätzlich Jahreswerte). Zwei der</w:t>
      </w:r>
      <w:r>
        <w:t xml:space="preserve"> </w:t>
      </w:r>
      <w:r>
        <w:t xml:space="preserve">Gebäude mit Jahreswerten teilen sich denselben Betreiber und eines enthält</w:t>
      </w:r>
      <w:r>
        <w:t xml:space="preserve"> </w:t>
      </w:r>
      <w:r>
        <w:t xml:space="preserve">zusätzlich geplante (Soll-)Werte, sodass Betreiber-Durchschnitt und</w:t>
      </w:r>
      <w:r>
        <w:t xml:space="preserve"> </w:t>
      </w:r>
      <w:r>
        <w:t xml:space="preserve">Soll-Ist-Vergleich direkt an den Beispieldaten 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auf der Karte (Tab „Explore”); auf einem leeren Pod bietet ein Hinweisbalken an, beispielhafte Gebäude hinzuzufügen – der Einstieg beginnt mit dem Anlegen von Gebäuden." title="" id="64" name="Picture"/>
            <a:graphic>
              <a:graphicData uri="http://schemas.openxmlformats.org/drawingml/2006/picture">
                <pic:pic>
                  <pic:nvPicPr>
                    <pic:cNvPr descr="figures/erster-st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auf der Karte (Tab „Explore”); auf einem leeren Pod bietet ein Hinweisbalken an, beispielhafte Gebäude hinzuzufügen – der Einstieg beginnt mit dem Anlegen von Gebäuden.</w:t>
      </w:r>
    </w:p>
    <w:bookmarkEnd w:id="66"/>
    <w:bookmarkStart w:id="67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7"/>
    <w:bookmarkStart w:id="79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71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9" name="Picture"/>
            <a:graphic>
              <a:graphicData uri="http://schemas.openxmlformats.org/drawingml/2006/picture">
                <pic:pic>
                  <pic:nvPicPr>
                    <pic:cNvPr descr="figures/wa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71"/>
    <w:bookmarkStart w:id="75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3" name="Picture"/>
            <a:graphic>
              <a:graphicData uri="http://schemas.openxmlformats.org/drawingml/2006/picture">
                <pic:pic>
                  <pic:nvPicPr>
                    <pic:cNvPr descr="figures/wissensgrap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5"/>
    <w:bookmarkStart w:id="76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Gebäude-Stammdaten (Eigentümer/Betreiber)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 (u. a. Einheitenbezug)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https://qudt.org/vocab/unit#</w:t>
      </w:r>
      <w:r>
        <w:t xml:space="preserve">) – Einheiten (kWh, m³, %)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foaf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http://xmlns.com/foaf/0.1/</w:t>
      </w:r>
      <w:r>
        <w:t xml:space="preserve">) – Organisationen und Agenten (Name, Logo,</w:t>
      </w:r>
      <w:r>
        <w:t xml:space="preserve"> </w:t>
      </w:r>
      <w:r>
        <w:t xml:space="preserve">Profil)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http://www.w3.org/ns/org#</w:t>
      </w:r>
      <w:r>
        <w:t xml:space="preserve">) – Mitgliedschaft Person ↔ Organisation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 und Kontaktdaten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http://www.w3.org/ns/prov#</w:t>
      </w:r>
      <w:r>
        <w:t xml:space="preserve">) – Datenherkunft/Provenienz („Data source”)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Datei-Metadaten von Anhängen (</w:t>
      </w:r>
      <w:r>
        <w:rPr>
          <w:rStyle w:val="VerbatimChar"/>
        </w:rPr>
        <w:t xml:space="preserve">MediaObject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Granergize-Kern (Sharing,</w:t>
      </w:r>
      <w:r>
        <w:t xml:space="preserve"> </w:t>
      </w:r>
      <w:r>
        <w:t xml:space="preserve">Präferenzen, Bookmarks)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bldg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https://solid.ti.rw.fau.de/gra/building.ttl#</w:t>
      </w:r>
      <w:r>
        <w:t xml:space="preserve">) – Gebäude-Erweiterungen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https://solid.ti.rw.fau.de/gra/consumption.ttl#</w:t>
      </w:r>
      <w:r>
        <w:t xml:space="preserve">) – Verbrauch,</w:t>
      </w:r>
      <w:r>
        <w:t xml:space="preserve"> </w:t>
      </w:r>
      <w:r>
        <w:t xml:space="preserve">Aggregationen, Benchmarks</w:t>
      </w:r>
    </w:p>
    <w:bookmarkEnd w:id="76"/>
    <w:bookmarkStart w:id="77" w:name="X906ba37f095a5a8070598c3766705802a8dfb17"/>
    <w:p>
      <w:pPr>
        <w:pStyle w:val="Heading3"/>
      </w:pPr>
      <w:r>
        <w:t xml:space="preserve">Wer mit einem Gebäude verbunden ist: Agenten</w:t>
      </w:r>
    </w:p>
    <w:p>
      <w:pPr>
        <w:pStyle w:val="FirstParagraph"/>
      </w:pPr>
      <w:r>
        <w:t xml:space="preserve">Rund um jedes Gebäude stehen</w:t>
      </w:r>
      <w:r>
        <w:t xml:space="preserve"> </w:t>
      </w:r>
      <w:r>
        <w:rPr>
          <w:b/>
          <w:bCs/>
        </w:rPr>
        <w:t xml:space="preserve">Agenten</w:t>
      </w:r>
      <w:r>
        <w:t xml:space="preserve"> </w:t>
      </w:r>
      <w:r>
        <w:t xml:space="preserve">– Personen oder Organisationen, die in der</w:t>
      </w:r>
      <w:r>
        <w:t xml:space="preserve"> </w:t>
      </w:r>
      <w:r>
        <w:t xml:space="preserve">Anwendung über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(eine weltweit eindeutige Web-Adresse, vgl. den Abschnitt</w:t>
      </w:r>
      <w:r>
        <w:t xml:space="preserve"> </w:t>
      </w:r>
      <w:r>
        <w:t xml:space="preserve">„Solid Pod einrichten”) eindeutig benannt sind. Ein Gebäude verweist auf solche Agenten</w:t>
      </w:r>
      <w:r>
        <w:t xml:space="preserve"> </w:t>
      </w:r>
      <w:r>
        <w:t xml:space="preserve">in klar benannten</w:t>
      </w:r>
      <w:r>
        <w:t xml:space="preserve"> </w:t>
      </w:r>
      <w:r>
        <w:rPr>
          <w:b/>
          <w:bCs/>
        </w:rPr>
        <w:t xml:space="preserve">Beziehungen</w:t>
      </w:r>
      <w:r>
        <w:t xml:space="preserve">, nicht als freien Text:</w:t>
      </w:r>
      <w:r>
        <w:t xml:space="preserve"> </w:t>
      </w:r>
      <w:r>
        <w:rPr>
          <w:b/>
          <w:bCs/>
        </w:rPr>
        <w:t xml:space="preserve">Eigentümer</w:t>
      </w:r>
      <w:r>
        <w:t xml:space="preserve">,</w:t>
      </w:r>
      <w:r>
        <w:t xml:space="preserve"> </w:t>
      </w:r>
      <w:r>
        <w:rPr>
          <w:b/>
          <w:bCs/>
        </w:rPr>
        <w:t xml:space="preserve">Betreiber</w:t>
      </w:r>
      <w:r>
        <w:t xml:space="preserve"> </w:t>
      </w:r>
      <w:r>
        <w:t xml:space="preserve">(maßgeblich für Benchmarks),</w:t>
      </w:r>
      <w:r>
        <w:t xml:space="preserve"> </w:t>
      </w:r>
      <w:r>
        <w:rPr>
          <w:b/>
          <w:bCs/>
        </w:rPr>
        <w:t xml:space="preserve">Investor</w:t>
      </w:r>
      <w:r>
        <w:t xml:space="preserve">,</w:t>
      </w:r>
      <w:r>
        <w:t xml:space="preserve"> </w:t>
      </w:r>
      <w:r>
        <w:rPr>
          <w:b/>
          <w:bCs/>
        </w:rPr>
        <w:t xml:space="preserve">Facility-Management</w:t>
      </w:r>
      <w:r>
        <w:t xml:space="preserve">,</w:t>
      </w:r>
      <w:r>
        <w:t xml:space="preserve"> </w:t>
      </w:r>
      <w:r>
        <w:rPr>
          <w:b/>
          <w:bCs/>
        </w:rPr>
        <w:t xml:space="preserve">Projektentwickler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Berater</w:t>
      </w:r>
      <w:r>
        <w:t xml:space="preserve">. Der Betreiber eines Gebäudes ist damit ein Verweis auf dessen WebID –</w:t>
      </w:r>
      <w:r>
        <w:t xml:space="preserve"> </w:t>
      </w:r>
      <w:r>
        <w:t xml:space="preserve">und nicht bloß ein Name, der sich nirgendwo wiederfindet.</w:t>
      </w:r>
    </w:p>
    <w:p>
      <w:pPr>
        <w:pStyle w:val="BodyText"/>
      </w:pPr>
      <w:r>
        <w:t xml:space="preserve">Daneben hält jedes Gebäude fest,</w:t>
      </w:r>
      <w:r>
        <w:t xml:space="preserve"> </w:t>
      </w:r>
      <w:r>
        <w:rPr>
          <w:b/>
          <w:bCs/>
        </w:rPr>
        <w:t xml:space="preserve">wer seine Daten erstellt hat</w:t>
      </w:r>
      <w:r>
        <w:t xml:space="preserve"> </w:t>
      </w:r>
      <w:r>
        <w:t xml:space="preserve">(die Datenherkunft).</w:t>
      </w:r>
      <w:r>
        <w:t xml:space="preserve"> </w:t>
      </w:r>
      <w:r>
        <w:t xml:space="preserve">Diese Angabe erscheint als Zeile</w:t>
      </w:r>
      <w:r>
        <w:t xml:space="preserve"> </w:t>
      </w:r>
      <w:r>
        <w:rPr>
          <w:b/>
          <w:bCs/>
        </w:rPr>
        <w:t xml:space="preserve">„Data source”</w:t>
      </w:r>
      <w:r>
        <w:t xml:space="preserve"> </w:t>
      </w:r>
      <w:r>
        <w:t xml:space="preserve">und – sofern hinterlegt – mit</w:t>
      </w:r>
      <w:r>
        <w:t xml:space="preserve"> </w:t>
      </w:r>
      <w:r>
        <w:rPr>
          <w:b/>
          <w:bCs/>
        </w:rPr>
        <w:t xml:space="preserve">Name</w:t>
      </w:r>
      <w:r>
        <w:rPr>
          <w:b/>
          <w:bCs/>
        </w:rPr>
        <w:t xml:space="preserve"> </w:t>
      </w:r>
      <w:r>
        <w:rPr>
          <w:b/>
          <w:bCs/>
        </w:rPr>
        <w:t xml:space="preserve">und Logo der Organisation</w:t>
      </w:r>
      <w:r>
        <w:t xml:space="preserve"> </w:t>
      </w:r>
      <w:r>
        <w:t xml:space="preserve">in der Sprechblase des Kartenmarkers. So ist auf einen Blick</w:t>
      </w:r>
      <w:r>
        <w:t xml:space="preserve"> </w:t>
      </w:r>
      <w:r>
        <w:t xml:space="preserve">erkennbar, aus welcher Quelle ein Gebäude stammt, gerade wenn Sie Daten mehrerer Partner</w:t>
      </w:r>
      <w:r>
        <w:t xml:space="preserve"> </w:t>
      </w:r>
      <w:r>
        <w:t xml:space="preserve">nebeneinander betrachten.</w:t>
      </w:r>
    </w:p>
    <w:p>
      <w:pPr>
        <w:pStyle w:val="BodyText"/>
      </w:pPr>
      <w:r>
        <w:t xml:space="preserve">Ihre eigenen Kontakte verwalten Sie im Reiter</w:t>
      </w:r>
      <w:r>
        <w:t xml:space="preserve"> </w:t>
      </w:r>
      <w:r>
        <w:rPr>
          <w:b/>
          <w:bCs/>
        </w:rPr>
        <w:t xml:space="preserve">Agents</w:t>
      </w:r>
      <w:r>
        <w:t xml:space="preserve">: ein Adressbuch aus Personen und</w:t>
      </w:r>
      <w:r>
        <w:t xml:space="preserve"> </w:t>
      </w:r>
      <w:r>
        <w:t xml:space="preserve">Organisationen mit Name, Art (Person/Organisation) und Logo. Agenten, die in Ihren</w:t>
      </w:r>
      <w:r>
        <w:t xml:space="preserve"> </w:t>
      </w:r>
      <w:r>
        <w:t xml:space="preserve">Gebäuden auftauchen, Sie aber noch nicht gespeichert haben, listet die App gesondert als</w:t>
      </w:r>
      <w:r>
        <w:t xml:space="preserve"> </w:t>
      </w:r>
      <w:r>
        <w:rPr>
          <w:b/>
          <w:bCs/>
        </w:rPr>
        <w:t xml:space="preserve">referenzierte</w:t>
      </w:r>
      <w:r>
        <w:t xml:space="preserve"> </w:t>
      </w:r>
      <w:r>
        <w:t xml:space="preserve">Agenten – Sie können sie mit einem Klick ins Adressbuch übernehmen. Auch</w:t>
      </w:r>
      <w:r>
        <w:t xml:space="preserve"> </w:t>
      </w:r>
      <w:r>
        <w:t xml:space="preserve">beim</w:t>
      </w:r>
      <w:r>
        <w:t xml:space="preserve"> </w:t>
      </w:r>
      <w:r>
        <w:rPr>
          <w:b/>
          <w:bCs/>
        </w:rPr>
        <w:t xml:space="preserve">Teilen</w:t>
      </w:r>
      <w:r>
        <w:t xml:space="preserve"> </w:t>
      </w:r>
      <w:r>
        <w:t xml:space="preserve">eines Gebäudes ist der Empfänger ein Agent: Sie geben dessen WebID an. Und</w:t>
      </w:r>
      <w:r>
        <w:t xml:space="preserve"> </w:t>
      </w:r>
      <w:r>
        <w:rPr>
          <w:b/>
          <w:bCs/>
        </w:rPr>
        <w:t xml:space="preserve">Ihre eigene Organisation</w:t>
      </w:r>
      <w:r>
        <w:t xml:space="preserve"> </w:t>
      </w:r>
      <w:r>
        <w:t xml:space="preserve">(Name und Logo, siehe Abschnitt „Ihre Organisation festlegen”)</w:t>
      </w:r>
      <w:r>
        <w:t xml:space="preserve"> </w:t>
      </w:r>
      <w:r>
        <w:t xml:space="preserve">hinterlegen Sie einmalig in Ihrem Profil; sie erscheint dann in der Kopfzeile und an den</w:t>
      </w:r>
      <w:r>
        <w:t xml:space="preserve"> </w:t>
      </w:r>
      <w:r>
        <w:t xml:space="preserve">Gebäuden, deren Daten Sie erstellen.</w:t>
      </w:r>
    </w:p>
    <w:p>
      <w:pPr>
        <w:pStyle w:val="BodyText"/>
      </w:pPr>
      <w:r>
        <w:t xml:space="preserve">Wichtig: Eine Beziehung wie</w:t>
      </w:r>
      <w:r>
        <w:t xml:space="preserve"> </w:t>
      </w:r>
      <w:r>
        <w:rPr>
          <w:b/>
          <w:bCs/>
        </w:rPr>
        <w:t xml:space="preserve">„Eigentümer”</w:t>
      </w:r>
      <w:r>
        <w:t xml:space="preserve"> </w:t>
      </w:r>
      <w:r>
        <w:t xml:space="preserve">ist eine Verbindung</w:t>
      </w:r>
      <w:r>
        <w:t xml:space="preserve"> </w:t>
      </w:r>
      <w:r>
        <w:rPr>
          <w:b/>
          <w:bCs/>
        </w:rPr>
        <w:t xml:space="preserve">zwischen Gebäude und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– keine feste Eigenschaft des Agenten. Dieselbe Organisation kann bei einem</w:t>
      </w:r>
      <w:r>
        <w:t xml:space="preserve"> </w:t>
      </w:r>
      <w:r>
        <w:t xml:space="preserve">Gebäude Eigentümer und bei einem anderen nur Betreiber sein. Eine</w:t>
      </w:r>
      <w:r>
        <w:t xml:space="preserve"> </w:t>
      </w:r>
      <w:r>
        <w:rPr>
          <w:b/>
          <w:bCs/>
        </w:rPr>
        <w:t xml:space="preserve">Rolle</w:t>
      </w:r>
      <w:r>
        <w:t xml:space="preserve">, die einer</w:t>
      </w:r>
      <w:r>
        <w:t xml:space="preserve"> </w:t>
      </w:r>
      <w:r>
        <w:t xml:space="preserve">Person dauerhaft anhaftet, gibt es in der App nur an einer Stelle: als</w:t>
      </w:r>
      <w:r>
        <w:t xml:space="preserve"> </w:t>
      </w:r>
      <w:r>
        <w:rPr>
          <w:b/>
          <w:bCs/>
        </w:rPr>
        <w:t xml:space="preserve">Mitgliedschaft in</w:t>
      </w:r>
      <w:r>
        <w:rPr>
          <w:b/>
          <w:bCs/>
        </w:rPr>
        <w:t xml:space="preserve"> </w:t>
      </w:r>
      <w:r>
        <w:rPr>
          <w:b/>
          <w:bCs/>
        </w:rPr>
        <w:t xml:space="preserve">einem Datenraum</w:t>
      </w:r>
      <w:r>
        <w:t xml:space="preserve"> </w:t>
      </w:r>
      <w:r>
        <w:t xml:space="preserve">(siehe Abschnitt „Rollenbasierte Freigaben”).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Beteiligten-Beziehungen sind Objekt-Eigenschaften mit einer WebID als Ziel:</w:t>
      </w:r>
      <w:r>
        <w:t xml:space="preserve"> </w:t>
      </w:r>
      <w:r>
        <w:rPr>
          <w:rStyle w:val="VerbatimChar"/>
        </w:rPr>
        <w:t xml:space="preserve">rec:ownedBy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rec:operatedBy</w:t>
      </w:r>
      <w:r>
        <w:t xml:space="preserve"> </w:t>
      </w:r>
      <w:r>
        <w:t xml:space="preserve">(Betreiber),</w:t>
      </w:r>
      <w:r>
        <w:t xml:space="preserve"> </w:t>
      </w:r>
      <w:r>
        <w:rPr>
          <w:rStyle w:val="VerbatimChar"/>
        </w:rPr>
        <w:t xml:space="preserve">bldg:investor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bldg:facilityManagedBy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bldg:developedBy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bldg:consultedBy</w:t>
      </w:r>
      <w:r>
        <w:t xml:space="preserve">. Die Datenherkunft ist eine PROV-O-Attribution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prov:qualifiedAttribution → prov:Attribution → prov:agent &lt;webid&gt;</w:t>
      </w:r>
      <w:r>
        <w:t xml:space="preserve">), die der Parser als</w:t>
      </w:r>
      <w:r>
        <w:t xml:space="preserve"> </w:t>
      </w:r>
      <w:r>
        <w:rPr>
          <w:rStyle w:val="VerbatimChar"/>
        </w:rPr>
        <w:t xml:space="preserve">Building.attributedTo</w:t>
      </w:r>
      <w:r>
        <w:t xml:space="preserve"> </w:t>
      </w:r>
      <w:r>
        <w:t xml:space="preserve">liest; ein früher genutztes</w:t>
      </w:r>
      <w:r>
        <w:t xml:space="preserve"> </w:t>
      </w:r>
      <w:r>
        <w:rPr>
          <w:rStyle w:val="VerbatimChar"/>
        </w:rPr>
        <w:t xml:space="preserve">prov:hadRole</w:t>
      </w:r>
      <w:r>
        <w:t xml:space="preserve"> </w:t>
      </w:r>
      <w:r>
        <w:t xml:space="preserve">wird ignoriert. Das</w:t>
      </w:r>
      <w:r>
        <w:t xml:space="preserve"> </w:t>
      </w:r>
      <w:r>
        <w:t xml:space="preserve">Adressbuch ist eine</w:t>
      </w:r>
      <w:r>
        <w:t xml:space="preserve"> </w:t>
      </w:r>
      <w:r>
        <w:rPr>
          <w:rStyle w:val="VerbatimChar"/>
        </w:rPr>
        <w:t xml:space="preserve">vcard:AddressBook</w:t>
      </w:r>
      <w:r>
        <w:t xml:space="preserve">-Datei (</w:t>
      </w:r>
      <w:r>
        <w:rPr>
          <w:rStyle w:val="VerbatimChar"/>
        </w:rPr>
        <w:t xml:space="preserve">agents.ttl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vcard:hasMember</w:t>
      </w:r>
      <w:r>
        <w:t xml:space="preserve">; die</w:t>
      </w:r>
      <w:r>
        <w:t xml:space="preserve"> </w:t>
      </w:r>
      <w:r>
        <w:t xml:space="preserve">eigene Organisation ist ein</w:t>
      </w:r>
      <w:r>
        <w:t xml:space="preserve"> </w:t>
      </w:r>
      <w:r>
        <w:rPr>
          <w:rStyle w:val="VerbatimChar"/>
        </w:rPr>
        <w:t xml:space="preserve">foaf:Organization</w:t>
      </w:r>
      <w:r>
        <w:t xml:space="preserve">-Knoten im WebID-Profil (</w:t>
      </w:r>
      <w:r>
        <w:rPr>
          <w:rStyle w:val="VerbatimChar"/>
        </w:rPr>
        <w:t xml:space="preserve">foaf:name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foaf:logo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foaf:homepage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owl:sameAs</w:t>
      </w:r>
      <w:r>
        <w:t xml:space="preserve">) – ohne</w:t>
      </w:r>
      <w:r>
        <w:t xml:space="preserve"> </w:t>
      </w:r>
      <w:r>
        <w:rPr>
          <w:rStyle w:val="VerbatimChar"/>
        </w:rPr>
        <w:t xml:space="preserve">org:role</w:t>
      </w:r>
      <w:r>
        <w:t xml:space="preserve">.</w:t>
      </w:r>
    </w:p>
    <w:bookmarkEnd w:id="77"/>
    <w:bookmarkStart w:id="78" w:name="welche-energiezahlen-die-app-kennt"/>
    <w:p>
      <w:pPr>
        <w:pStyle w:val="Heading3"/>
      </w:pPr>
      <w:r>
        <w:t xml:space="preserve">Welche Energiezahlen die App kennt</w:t>
      </w:r>
    </w:p>
    <w:p>
      <w:pPr>
        <w:pStyle w:val="FirstParagraph"/>
      </w:pPr>
      <w:r>
        <w:t xml:space="preserve">Die Anwendung unterscheidet zwei grundverschiedene Arten von Zahlen zu einem Gebäude:</w:t>
      </w:r>
      <w:r>
        <w:t xml:space="preserve"> </w:t>
      </w:r>
      <w:r>
        <w:rPr>
          <w:b/>
          <w:bCs/>
        </w:rPr>
        <w:t xml:space="preserve">Stammdaten</w:t>
      </w:r>
      <w:r>
        <w:t xml:space="preserve">, die das Gebäude beschreiben, und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, die seinen</w:t>
      </w:r>
      <w:r>
        <w:t xml:space="preserve"> </w:t>
      </w:r>
      <w:r>
        <w:t xml:space="preserve">Energieeinsatz messen.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Stammdaten</w:t>
      </w:r>
      <w:r>
        <w:t xml:space="preserve"> </w:t>
      </w:r>
      <w:r>
        <w:t xml:space="preserve">umfassen unter anderem: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Lage und Adresse:</w:t>
      </w:r>
      <w:r>
        <w:t xml:space="preserve"> </w:t>
      </w:r>
      <w:r>
        <w:t xml:space="preserve">Straße, Postleitzahl, Ort, Region sowie geografische Koordinaten</w:t>
      </w:r>
      <w:r>
        <w:t xml:space="preserve"> </w:t>
      </w:r>
      <w:r>
        <w:t xml:space="preserve">für die Karte.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Flächen und Maße:</w:t>
      </w:r>
      <w:r>
        <w:t xml:space="preserve"> </w:t>
      </w:r>
      <w:r>
        <w:t xml:space="preserve">Gebäudefläche, Grundstücksfläche, Bürofläche, Hallenfläche,</w:t>
      </w:r>
      <w:r>
        <w:t xml:space="preserve"> </w:t>
      </w:r>
      <w:r>
        <w:t xml:space="preserve">Sozialflächen und Gebäudehöhe.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Bau und Zustand:</w:t>
      </w:r>
      <w:r>
        <w:t xml:space="preserve"> </w:t>
      </w:r>
      <w:r>
        <w:t xml:space="preserve">Baujahr und Sanierungsjahr.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Nutzung:</w:t>
      </w:r>
      <w:r>
        <w:t xml:space="preserve"> </w:t>
      </w:r>
      <w:r>
        <w:t xml:space="preserve">Nutzungsart, Logistikfunktion, Art der Klimatisierung, Schichtbetrieb,</w:t>
      </w:r>
      <w:r>
        <w:t xml:space="preserve"> </w:t>
      </w:r>
      <w:r>
        <w:t xml:space="preserve">Miet- bzw. Pachtform, Anzahl der Ladetore und die Branche des Mieters.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Technische Anlagen:</w:t>
      </w:r>
      <w:r>
        <w:t xml:space="preserve"> </w:t>
      </w:r>
      <w:r>
        <w:t xml:space="preserve">vorhandene Photovoltaik-, Batteriespeicher- oder</w:t>
      </w:r>
      <w:r>
        <w:t xml:space="preserve"> </w:t>
      </w:r>
      <w:r>
        <w:t xml:space="preserve">Blockheizkraftwerks-Anlagen werden als eigene technische Systeme mit eigenen Kennzahlen</w:t>
      </w:r>
      <w:r>
        <w:t xml:space="preserve"> </w:t>
      </w:r>
      <w:r>
        <w:t xml:space="preserve">(etwa der installierten Leistung) hinterlegt.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Kennungen und Beteiligte:</w:t>
      </w:r>
      <w:r>
        <w:t xml:space="preserve"> </w:t>
      </w:r>
      <w:r>
        <w:t xml:space="preserve">interner Gebäudecode, NACE-Wirtschaftszweig sowie die im</w:t>
      </w:r>
      <w:r>
        <w:t xml:space="preserve"> </w:t>
      </w:r>
      <w:r>
        <w:t xml:space="preserve">vorigen Abschnitt beschriebenen Agenten (Eigentümer, Betreiber …).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 </w:t>
      </w:r>
      <w:r>
        <w:t xml:space="preserve">werden je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geführt (siehe Abschnitt „Energiedaten erfassen</w:t>
      </w:r>
      <w:r>
        <w:t xml:space="preserve"> </w:t>
      </w:r>
      <w:r>
        <w:t xml:space="preserve">und aktualisieren”). Pro Jahr erfasst die App die folgenden Größen: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Wärmeverbrauch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Wasserverbrauch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Abwasser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Erneuerbarer Eigenanteil</w:t>
      </w:r>
      <w:r>
        <w:t xml:space="preserve"> </w:t>
      </w:r>
      <w:r>
        <w:t xml:space="preserve">– der selbst erzeugte, erneuerbare Anteil am Strom (%)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Stromerzeugung</w:t>
      </w:r>
      <w:r>
        <w:t xml:space="preserve"> </w:t>
      </w:r>
      <w:r>
        <w:t xml:space="preserve">– etwa aus einer eigenen PV-Anlage (kWh)</w:t>
      </w:r>
    </w:p>
    <w:p>
      <w:pPr>
        <w:pStyle w:val="FirstParagraph"/>
      </w:pPr>
      <w:r>
        <w:t xml:space="preserve">Jedes Jahr lässt sich zudem in zwei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ablegen: als</w:t>
      </w:r>
      <w:r>
        <w:t xml:space="preserve"> </w:t>
      </w:r>
      <w:r>
        <w:rPr>
          <w:b/>
          <w:bCs/>
        </w:rPr>
        <w:t xml:space="preserve">Ist-Wert</w:t>
      </w:r>
      <w:r>
        <w:t xml:space="preserve"> </w:t>
      </w:r>
      <w:r>
        <w:t xml:space="preserve">(tatsächlich</w:t>
      </w:r>
      <w:r>
        <w:t xml:space="preserve"> </w:t>
      </w:r>
      <w:r>
        <w:t xml:space="preserve">gemessen) und als</w:t>
      </w:r>
      <w:r>
        <w:t xml:space="preserve"> </w:t>
      </w:r>
      <w:r>
        <w:rPr>
          <w:b/>
          <w:bCs/>
        </w:rPr>
        <w:t xml:space="preserve">Soll-Wert</w:t>
      </w:r>
      <w:r>
        <w:t xml:space="preserve"> </w:t>
      </w:r>
      <w:r>
        <w:t xml:space="preserve">(geplant). Damit lassen sich Plan und Verbrauch unmittelbar</w:t>
      </w:r>
      <w:r>
        <w:t xml:space="preserve"> </w:t>
      </w:r>
      <w:r>
        <w:t xml:space="preserve">nebeneinanderstellen. Energiedaten können entweder als</w:t>
      </w:r>
      <w:r>
        <w:t xml:space="preserve"> </w:t>
      </w:r>
      <w:r>
        <w:rPr>
          <w:b/>
          <w:bCs/>
        </w:rPr>
        <w:t xml:space="preserve">Jahressumme</w:t>
      </w:r>
      <w:r>
        <w:t xml:space="preserve"> </w:t>
      </w:r>
      <w:r>
        <w:t xml:space="preserve">vorliegen oder – bei</w:t>
      </w:r>
      <w:r>
        <w:t xml:space="preserve"> </w:t>
      </w:r>
      <w:r>
        <w:t xml:space="preserve">feiner Auflösung – als</w:t>
      </w:r>
      <w:r>
        <w:t xml:space="preserve"> </w:t>
      </w:r>
      <w:r>
        <w:rPr>
          <w:b/>
          <w:bCs/>
        </w:rPr>
        <w:t xml:space="preserve">Zeitreihe</w:t>
      </w:r>
      <w:r>
        <w:t xml:space="preserve"> </w:t>
      </w:r>
      <w:r>
        <w:t xml:space="preserve">(etwa Viertelstundenwerte); Zeitreihen lädt die App</w:t>
      </w:r>
      <w:r>
        <w:t xml:space="preserve"> </w:t>
      </w:r>
      <w:r>
        <w:t xml:space="preserve">erst bei Bedarf nach, da sie sehr umfangreich werden können.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Verbrauchswerte sind SOSA-Beobachtungen (</w:t>
      </w:r>
      <w:r>
        <w:rPr>
          <w:rStyle w:val="VerbatimChar"/>
        </w:rPr>
        <w:t xml:space="preserve">sosa:Observation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sosa:observedProperty</w:t>
      </w:r>
      <w:r>
        <w:t xml:space="preserve"> </w:t>
      </w:r>
      <w:r>
        <w:t xml:space="preserve">aus der</w:t>
      </w:r>
      <w:r>
        <w:t xml:space="preserve"> </w:t>
      </w:r>
      <w:r>
        <w:rPr>
          <w:rStyle w:val="VerbatimChar"/>
        </w:rPr>
        <w:t xml:space="preserve">cons</w:t>
      </w:r>
      <w:r>
        <w:t xml:space="preserve">-Ontologie:</w:t>
      </w:r>
      <w:r>
        <w:t xml:space="preserve"> </w:t>
      </w:r>
      <w:r>
        <w:rPr>
          <w:rStyle w:val="VerbatimChar"/>
        </w:rPr>
        <w:t xml:space="preserve">cons:ElectricityConsumption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cons:HeatConsumption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cons:WastewaterConsumption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cons:RenewableSelfGeneratedShare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cons:ElectricityGeneration</w:t>
      </w:r>
      <w:r>
        <w:t xml:space="preserve">. Sie sind je Jahr in einem</w:t>
      </w:r>
      <w:r>
        <w:t xml:space="preserve"> </w:t>
      </w:r>
      <w:r>
        <w:rPr>
          <w:rStyle w:val="VerbatimChar"/>
        </w:rPr>
        <w:t xml:space="preserve">cons:EnergyDataset</w:t>
      </w:r>
      <w:r>
        <w:t xml:space="preserve"> </w:t>
      </w:r>
      <w:r>
        <w:t xml:space="preserve">gebündelt;</w:t>
      </w:r>
      <w:r>
        <w:t xml:space="preserve"> </w:t>
      </w:r>
      <w:r>
        <w:rPr>
          <w:rStyle w:val="VerbatimChar"/>
        </w:rPr>
        <w:t xml:space="preserve">cons:granularity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P1Y</w:t>
      </w:r>
      <w:r>
        <w:t xml:space="preserve"> </w:t>
      </w:r>
      <w:r>
        <w:t xml:space="preserve">für Jahreswerte,</w:t>
      </w:r>
      <w:r>
        <w:t xml:space="preserve"> </w:t>
      </w:r>
      <w:r>
        <w:rPr>
          <w:rStyle w:val="VerbatimChar"/>
        </w:rPr>
        <w:t xml:space="preserve">PT15M</w:t>
      </w:r>
      <w:r>
        <w:t xml:space="preserve"> </w:t>
      </w:r>
      <w:r>
        <w:t xml:space="preserve">für Viertelstunden) steuert</w:t>
      </w:r>
      <w:r>
        <w:t xml:space="preserve"> </w:t>
      </w:r>
      <w:r>
        <w:t xml:space="preserve">das Nachladen,</w:t>
      </w:r>
      <w:r>
        <w:t xml:space="preserve"> </w:t>
      </w:r>
      <w:r>
        <w:rPr>
          <w:rStyle w:val="VerbatimChar"/>
        </w:rPr>
        <w:t xml:space="preserve">cons:scenario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cons:Actual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cons:Planned</w:t>
      </w:r>
      <w:r>
        <w:t xml:space="preserve">) das Soll-Ist-Szenario.</w:t>
      </w:r>
      <w:r>
        <w:t xml:space="preserve"> </w:t>
      </w:r>
      <w:r>
        <w:t xml:space="preserve">Einheiten werden über QUDT bezeichnet (</w:t>
      </w:r>
      <w:r>
        <w:rPr>
          <w:rStyle w:val="VerbatimChar"/>
        </w:rPr>
        <w:t xml:space="preserve">unit:KiloW-HR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unit:M3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unit:PERCENT</w:t>
      </w:r>
      <w:r>
        <w:t xml:space="preserve">).</w:t>
      </w:r>
    </w:p>
    <w:bookmarkEnd w:id="78"/>
    <w:bookmarkEnd w:id="79"/>
    <w:bookmarkStart w:id="83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81" name="Picture"/>
            <a:graphic>
              <a:graphicData uri="http://schemas.openxmlformats.org/drawingml/2006/picture">
                <pic:pic>
                  <pic:nvPicPr>
                    <pic:cNvPr descr="figures/add-building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83"/>
    <w:bookmarkStart w:id="87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ktionen je Gebäude im Tab „Manage”: bearbeiten, Dateien, Energiejahr, teilen, herunterladen, löschen" title="" id="85" name="Picture"/>
            <a:graphic>
              <a:graphicData uri="http://schemas.openxmlformats.org/drawingml/2006/picture">
                <pic:pic>
                  <pic:nvPicPr>
                    <pic:cNvPr descr="figures/manage-action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7"/>
    <w:bookmarkStart w:id="91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9" name="Picture"/>
            <a:graphic>
              <a:graphicData uri="http://schemas.openxmlformats.org/drawingml/2006/picture">
                <pic:pic>
                  <pic:nvPicPr>
                    <pic:cNvPr descr="figures/energy-yea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91"/>
    <w:bookmarkStart w:id="102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Die Farbe der Markierung</w:t>
      </w:r>
      <w:r>
        <w:t xml:space="preserve"> </w:t>
      </w:r>
      <w:r>
        <w:t xml:space="preserve">unterscheidet eigene Gebäude (blau) von mit Ihnen geteilten (orange). Beim</w:t>
      </w:r>
      <w:r>
        <w:t xml:space="preserve"> </w:t>
      </w:r>
      <w:r>
        <w:t xml:space="preserve">Überfahren eines Markers mit der Maus zeigt ein Hinweisfenster Name und Adresse</w:t>
      </w:r>
      <w:r>
        <w:t xml:space="preserve"> </w:t>
      </w:r>
      <w:r>
        <w:t xml:space="preserve">des Gebäudes sowie Firmenname und -logo des jeweiligen Datenproduzenten, sofern</w:t>
      </w:r>
      <w:r>
        <w:t xml:space="preserve"> </w:t>
      </w:r>
      <w:r>
        <w:t xml:space="preserve">diese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5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93" name="Picture"/>
            <a:graphic>
              <a:graphicData uri="http://schemas.openxmlformats.org/drawingml/2006/picture">
                <pic:pic>
                  <pic:nvPicPr>
                    <pic:cNvPr descr="figures/map-tab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6" name="Picture"/>
            <a:graphic>
              <a:graphicData uri="http://schemas.openxmlformats.org/drawingml/2006/picture">
                <pic:pic>
                  <pic:nvPicPr>
                    <pic:cNvPr descr="figures/energy-data-tab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101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9" name="Picture"/>
            <a:graphic>
              <a:graphicData uri="http://schemas.openxmlformats.org/drawingml/2006/picture">
                <pic:pic>
                  <pic:nvPicPr>
                    <pic:cNvPr descr="figures/energy-detail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101"/>
    <w:bookmarkEnd w:id="102"/>
    <w:bookmarkStart w:id="106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„Vertriebsunterstützung”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104" name="Picture"/>
            <a:graphic>
              <a:graphicData uri="http://schemas.openxmlformats.org/drawingml/2006/picture">
                <pic:pic>
                  <pic:nvPicPr>
                    <pic:cNvPr descr="figures/energy-len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106"/>
    <w:bookmarkStart w:id="110" w:name="X102d2470600b66d9e5cbe903cbc8e109338f52e"/>
    <w:p>
      <w:pPr>
        <w:pStyle w:val="Heading2"/>
      </w:pPr>
      <w:r>
        <w:t xml:space="preserve">Regionale Statistiken als Vergleichsmaßstab</w:t>
      </w:r>
    </w:p>
    <w:p>
      <w:pPr>
        <w:pStyle w:val="FirstParagraph"/>
      </w:pPr>
      <w:r>
        <w:t xml:space="preserve">Neben dem Vergleich mit den eigenen und den geteilten Gebäuden (Energie-Linse, Benchmarks)</w:t>
      </w:r>
      <w:r>
        <w:t xml:space="preserve"> </w:t>
      </w:r>
      <w:r>
        <w:t xml:space="preserve">zieht die Granergize-App auch</w:t>
      </w:r>
      <w:r>
        <w:t xml:space="preserve"> </w:t>
      </w:r>
      <w:r>
        <w:rPr>
          <w:b/>
          <w:bCs/>
        </w:rPr>
        <w:t xml:space="preserve">amtliche Statistik</w:t>
      </w:r>
      <w:r>
        <w:t xml:space="preserve"> </w:t>
      </w:r>
      <w:r>
        <w:t xml:space="preserve">als regionalen Bezugsrahmen heran. So</w:t>
      </w:r>
      <w:r>
        <w:t xml:space="preserve"> </w:t>
      </w:r>
      <w:r>
        <w:t xml:space="preserve">lässt sich ein einzelnes Gebäude nicht nur gegen andere Objekte, sondern gegen die</w:t>
      </w:r>
      <w:r>
        <w:t xml:space="preserve"> </w:t>
      </w:r>
      <w:r>
        <w:rPr>
          <w:b/>
          <w:bCs/>
        </w:rPr>
        <w:t xml:space="preserve">Kennzahlen seiner Region</w:t>
      </w:r>
      <w:r>
        <w:t xml:space="preserve"> </w:t>
      </w:r>
      <w:r>
        <w:t xml:space="preserve">einordnen – etwa: Wie hoch ist der Anteil erneuerbaren Stroms</w:t>
      </w:r>
      <w:r>
        <w:t xml:space="preserve"> </w:t>
      </w:r>
      <w:r>
        <w:t xml:space="preserve">im Bundesland? Wie viele Mehrfamilienhäuser im Landkreis entstehen mit Wärmepumpe?</w:t>
      </w:r>
    </w:p>
    <w:p>
      <w:pPr>
        <w:pStyle w:val="BodyText"/>
      </w:pPr>
      <w:r>
        <w:t xml:space="preserve">Diese Zahlen stammen aus</w:t>
      </w:r>
      <w:r>
        <w:t xml:space="preserve"> </w:t>
      </w:r>
      <w:r>
        <w:rPr>
          <w:b/>
          <w:bCs/>
        </w:rPr>
        <w:t xml:space="preserve">offenen Daten der amtlichen Statistik</w:t>
      </w:r>
      <w:r>
        <w:t xml:space="preserve"> </w:t>
      </w:r>
      <w:r>
        <w:t xml:space="preserve">– konkret aus dem</w:t>
      </w:r>
      <w:r>
        <w:t xml:space="preserve"> </w:t>
      </w:r>
      <w:r>
        <w:t xml:space="preserve">gemeinsamen Angebot der Statistischen Ämter des Bundes und der Länder</w:t>
      </w:r>
      <w:r>
        <w:t xml:space="preserve"> </w:t>
      </w:r>
      <w:r>
        <w:t xml:space="preserve">(„Regionalstatistik”/GENESIS, u. a. Bayerisches Landesamt für Statistik und Statistisches</w:t>
      </w:r>
      <w:r>
        <w:t xml:space="preserve"> </w:t>
      </w:r>
      <w:r>
        <w:t xml:space="preserve">Bundesamt). Sie sind öffentlich zugänglich: Für ihre Anzeige ist</w:t>
      </w:r>
      <w:r>
        <w:t xml:space="preserve"> </w:t>
      </w:r>
      <w:r>
        <w:rPr>
          <w:b/>
          <w:bCs/>
        </w:rPr>
        <w:t xml:space="preserve">kein Solid Pod und keine</w:t>
      </w:r>
      <w:r>
        <w:rPr>
          <w:b/>
          <w:bCs/>
        </w:rPr>
        <w:t xml:space="preserve"> </w:t>
      </w:r>
      <w:r>
        <w:rPr>
          <w:b/>
          <w:bCs/>
        </w:rPr>
        <w:t xml:space="preserve">Anmeldung</w:t>
      </w:r>
      <w:r>
        <w:t xml:space="preserve"> </w:t>
      </w:r>
      <w:r>
        <w:t xml:space="preserve">erforderlich, und es werden</w:t>
      </w:r>
      <w:r>
        <w:t xml:space="preserve"> </w:t>
      </w:r>
      <w:r>
        <w:rPr>
          <w:b/>
          <w:bCs/>
        </w:rPr>
        <w:t xml:space="preserve">keine Daten Ihres Gebäudes übertragen</w:t>
      </w:r>
      <w:r>
        <w:t xml:space="preserve">.</w:t>
      </w:r>
    </w:p>
    <w:p>
      <w:pPr>
        <w:pStyle w:val="BodyText"/>
      </w:pPr>
      <w:r>
        <w:t xml:space="preserve">Damit die richtigen Zahlen erscheinen, ordnet die App jedes Gebäude über</w:t>
      </w:r>
      <w:r>
        <w:t xml:space="preserve"> </w:t>
      </w:r>
      <w:r>
        <w:rPr>
          <w:b/>
          <w:bCs/>
        </w:rPr>
        <w:t xml:space="preserve">amtliche</w:t>
      </w:r>
      <w:r>
        <w:rPr>
          <w:b/>
          <w:bCs/>
        </w:rPr>
        <w:t xml:space="preserve"> </w:t>
      </w:r>
      <w:r>
        <w:rPr>
          <w:b/>
          <w:bCs/>
        </w:rPr>
        <w:t xml:space="preserve">Regionalschlüssel</w:t>
      </w:r>
      <w:r>
        <w:t xml:space="preserve"> </w:t>
      </w:r>
      <w:r>
        <w:t xml:space="preserve">seiner Verwaltungsregion zu. In Deutschland ist das der</w:t>
      </w:r>
      <w:r>
        <w:t xml:space="preserve"> </w:t>
      </w:r>
      <w:r>
        <w:rPr>
          <w:b/>
          <w:bCs/>
        </w:rPr>
        <w:t xml:space="preserve">AGS</w:t>
      </w:r>
      <w:r>
        <w:t xml:space="preserve"> </w:t>
      </w:r>
      <w:r>
        <w:t xml:space="preserve">(Amtlicher Gemeindeschlüssel), der hierarchisch das Bundesland (2-stellig), den Kreis</w:t>
      </w:r>
      <w:r>
        <w:t xml:space="preserve"> </w:t>
      </w:r>
      <w:r>
        <w:t xml:space="preserve">(5-stellig) und die Gemeinde (8-stellig) bezeichnet; auf europäischer Ebene entsprechen dem</w:t>
      </w:r>
      <w:r>
        <w:t xml:space="preserve"> </w:t>
      </w:r>
      <w:r>
        <w:t xml:space="preserve">die</w:t>
      </w:r>
      <w:r>
        <w:t xml:space="preserve"> </w:t>
      </w:r>
      <w:r>
        <w:rPr>
          <w:b/>
          <w:bCs/>
        </w:rPr>
        <w:t xml:space="preserve">LAU</w:t>
      </w:r>
      <w:r>
        <w:t xml:space="preserve">-Codes (Gemeinden) und</w:t>
      </w:r>
      <w:r>
        <w:t xml:space="preserve"> </w:t>
      </w:r>
      <w:r>
        <w:rPr>
          <w:b/>
          <w:bCs/>
        </w:rPr>
        <w:t xml:space="preserve">NUTS</w:t>
      </w:r>
      <w:r>
        <w:t xml:space="preserve">-Codes (Kreise und Länder). Die App leitet diese</w:t>
      </w:r>
      <w:r>
        <w:t xml:space="preserve"> </w:t>
      </w:r>
      <w:r>
        <w:t xml:space="preserve">Zuordnung aus dem Standort des Gebäudes ab – Sie müssen den Schlüssel nicht selbst</w:t>
      </w:r>
      <w:r>
        <w:t xml:space="preserve"> </w:t>
      </w:r>
      <w:r>
        <w:t xml:space="preserve">eintragen.</w:t>
      </w:r>
    </w:p>
    <w:p>
      <w:pPr>
        <w:pStyle w:val="BodyText"/>
      </w:pPr>
      <w:r>
        <w:t xml:space="preserve">Je nach Region stehen unter anderem folgende Kennzahlen bereit: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Anteil erneuerbaren Stroms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Primärenergieverbrauch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Fernwärme aus Kraft-Wärme-Kopplung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Treibhausgas-Emissionen je Einwohner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Einsatz erneuerbarer Energien in der Industrie</w:t>
      </w:r>
      <w:r>
        <w:t xml:space="preserve"> </w:t>
      </w:r>
      <w:r>
        <w:t xml:space="preserve">(je Kreis)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Baugenehmigungen und Fertigstellungen von Mehrfamilienhäusern mit Wärmepumpe</w:t>
      </w:r>
      <w:r>
        <w:t xml:space="preserve"> </w:t>
      </w:r>
      <w:r>
        <w:t xml:space="preserve">(je Kreis)</w:t>
      </w:r>
    </w:p>
    <w:p>
      <w:pPr>
        <w:pStyle w:val="FirstParagraph"/>
      </w:pPr>
      <w:r>
        <w:t xml:space="preserve">Auf der</w:t>
      </w:r>
      <w:r>
        <w:t xml:space="preserve"> </w:t>
      </w:r>
      <w:r>
        <w:rPr>
          <w:b/>
          <w:bCs/>
        </w:rPr>
        <w:t xml:space="preserve">Detailseite eines Gebäudes</w:t>
      </w:r>
      <w:r>
        <w:t xml:space="preserve"> </w:t>
      </w:r>
      <w:r>
        <w:t xml:space="preserve">finden Sie diese Werte im Abschnitt zur regionalen</w:t>
      </w:r>
      <w:r>
        <w:t xml:space="preserve"> </w:t>
      </w:r>
      <w:r>
        <w:t xml:space="preserve">Statistik in zwei Ansichten, die Sie über einen Umschalter wechseln: als</w:t>
      </w:r>
      <w:r>
        <w:t xml:space="preserve"> </w:t>
      </w:r>
      <w:r>
        <w:rPr>
          <w:b/>
          <w:bCs/>
        </w:rPr>
        <w:t xml:space="preserve">Tabelle</w:t>
      </w:r>
      <w:r>
        <w:t xml:space="preserve"> </w:t>
      </w:r>
      <w:r>
        <w:t xml:space="preserve">(Kennzahl mit Jahreswerten und Quellenangabe) und als</w:t>
      </w:r>
      <w:r>
        <w:t xml:space="preserve"> </w:t>
      </w:r>
      <w:r>
        <w:rPr>
          <w:b/>
          <w:bCs/>
        </w:rPr>
        <w:t xml:space="preserve">Karte</w:t>
      </w:r>
      <w:r>
        <w:t xml:space="preserve"> </w:t>
      </w:r>
      <w:r>
        <w:t xml:space="preserve">– eine eingefärbte</w:t>
      </w:r>
      <w:r>
        <w:t xml:space="preserve"> </w:t>
      </w:r>
      <w:r>
        <w:t xml:space="preserve">Regionenkarte (Choropleth), auf der alle Regionen nach dem Wert der gewählten Kennzahl</w:t>
      </w:r>
      <w:r>
        <w:t xml:space="preserve"> </w:t>
      </w:r>
      <w:r>
        <w:t xml:space="preserve">schattiert sind und das eigene Gebäude markiert ist. Beim Hineinzoomen wechselt die Karte</w:t>
      </w:r>
      <w:r>
        <w:t xml:space="preserve"> </w:t>
      </w:r>
      <w:r>
        <w:t xml:space="preserve">von der Bundesland- zur Kreisebene. Ein Hinweis unter der Tabelle stellt klar, dass es sich</w:t>
      </w:r>
      <w:r>
        <w:t xml:space="preserve"> </w:t>
      </w:r>
      <w:r>
        <w:t xml:space="preserve">um Werte</w:t>
      </w:r>
      <w:r>
        <w:t xml:space="preserve"> </w:t>
      </w:r>
      <w:r>
        <w:rPr>
          <w:b/>
          <w:bCs/>
        </w:rPr>
        <w:t xml:space="preserve">für die Region</w:t>
      </w:r>
      <w:r>
        <w:t xml:space="preserve"> </w:t>
      </w:r>
      <w:r>
        <w:t xml:space="preserve">handelt, nicht um Messwerte des konkreten Gebäudes – die</w:t>
      </w:r>
      <w:r>
        <w:t xml:space="preserve"> </w:t>
      </w:r>
      <w:r>
        <w:t xml:space="preserve">regionale Statistik liefert den</w:t>
      </w:r>
      <w:r>
        <w:t xml:space="preserve"> </w:t>
      </w:r>
      <w:r>
        <w:rPr>
          <w:b/>
          <w:bCs/>
        </w:rPr>
        <w:t xml:space="preserve">Hintergrund</w:t>
      </w:r>
      <w:r>
        <w:t xml:space="preserve">, vor dem Ihre eigenen Verbrauchszahlen</w:t>
      </w:r>
      <w:r>
        <w:t xml:space="preserve"> </w:t>
      </w:r>
      <w:r>
        <w:t xml:space="preserve">stehen. Dieselben Datensätze lassen sich auch unabhängig von einem Gebäude über die</w:t>
      </w:r>
      <w:r>
        <w:t xml:space="preserve"> </w:t>
      </w:r>
      <w:r>
        <w:t xml:space="preserve">Aggregations-Übersicht öffnen.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etailseite eines Gebäudes: regionale Statistik als Vergleichsmaßstab – die Kennzahlen der Region neben den eigenen Werten, wahlweise als Tabelle oder als eingefärbte Regionenkarte" title="" id="108" name="Picture"/>
            <a:graphic>
              <a:graphicData uri="http://schemas.openxmlformats.org/drawingml/2006/picture">
                <pic:pic>
                  <pic:nvPicPr>
                    <pic:cNvPr descr="figures/regional-contex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Detailseite eines Gebäudes: regionale Statistik als Vergleichsmaßstab – die Kennzahlen der Region neben den eigenen Werten, wahlweise als Tabelle oder als eingefärbte Regionenkarte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Statistiken werden zur Laufzeit von Linked-Data-Diensten abgerufen, die die amtlichen</w:t>
      </w:r>
      <w:r>
        <w:t xml:space="preserve"> </w:t>
      </w:r>
      <w:r>
        <w:t xml:space="preserve">Daten als RDF Data Cube (</w:t>
      </w:r>
      <w:r>
        <w:rPr>
          <w:rStyle w:val="VerbatimChar"/>
        </w:rPr>
        <w:t xml:space="preserve">qb:DataSet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qb:Observation</w:t>
      </w:r>
      <w:r>
        <w:t xml:space="preserve"> </w:t>
      </w:r>
      <w:r>
        <w:t xml:space="preserve">je Region und Jahr)</w:t>
      </w:r>
      <w:r>
        <w:t xml:space="preserve"> </w:t>
      </w:r>
      <w:r>
        <w:t xml:space="preserve">bereitstellen: die</w:t>
      </w:r>
      <w:r>
        <w:t xml:space="preserve"> </w:t>
      </w:r>
      <w:r>
        <w:rPr>
          <w:b/>
          <w:bCs/>
        </w:rPr>
        <w:t xml:space="preserve">Regionalstatistik</w:t>
      </w:r>
      <w:r>
        <w:t xml:space="preserve"> </w:t>
      </w:r>
      <w:r>
        <w:t xml:space="preserve">(</w:t>
      </w:r>
      <w:r>
        <w:rPr>
          <w:rStyle w:val="VerbatimChar"/>
        </w:rPr>
        <w:t xml:space="preserve">VITE_REGIONALSTATISTIK_API_URI</w:t>
      </w:r>
      <w:r>
        <w:t xml:space="preserve">) für die</w:t>
      </w:r>
      <w:r>
        <w:t xml:space="preserve"> </w:t>
      </w:r>
      <w:r>
        <w:t xml:space="preserve">Kennzahlen sowie</w:t>
      </w:r>
      <w:r>
        <w:t xml:space="preserve"> </w:t>
      </w:r>
      <w:r>
        <w:rPr>
          <w:b/>
          <w:bCs/>
        </w:rPr>
        <w:t xml:space="preserve">linked-nuts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linked-lau</w:t>
      </w:r>
      <w:r>
        <w:t xml:space="preserve"> </w:t>
      </w:r>
      <w:r>
        <w:t xml:space="preserve">für die Regionsgeometrien (GeoJSON je</w:t>
      </w:r>
      <w:r>
        <w:t xml:space="preserve"> </w:t>
      </w:r>
      <w:r>
        <w:t xml:space="preserve">Ebene). Ein Gebäude verweist über</w:t>
      </w:r>
      <w:r>
        <w:t xml:space="preserve"> </w:t>
      </w:r>
      <w:r>
        <w:rPr>
          <w:rStyle w:val="VerbatimChar"/>
        </w:rPr>
        <w:t xml:space="preserve">dcterms:spatial</w:t>
      </w:r>
      <w:r>
        <w:t xml:space="preserve"> </w:t>
      </w:r>
      <w:r>
        <w:t xml:space="preserve">auf den</w:t>
      </w:r>
      <w:r>
        <w:t xml:space="preserve"> </w:t>
      </w:r>
      <w:r>
        <w:rPr>
          <w:rStyle w:val="VerbatimChar"/>
        </w:rPr>
        <w:t xml:space="preserve">skos:Concept</w:t>
      </w:r>
      <w:r>
        <w:t xml:space="preserve"> </w:t>
      </w:r>
      <w:r>
        <w:t xml:space="preserve">seiner Region</w:t>
      </w:r>
      <w:r>
        <w:t xml:space="preserve"> </w:t>
      </w:r>
      <w:r>
        <w:t xml:space="preserve">(LAU/NUTS); der bare AGS wird bei Bedarf durch Dereferenzieren dieses Konzepts</w:t>
      </w:r>
      <w:r>
        <w:t xml:space="preserve"> </w:t>
      </w:r>
      <w:r>
        <w:t xml:space="preserve">(</w:t>
      </w:r>
      <w:r>
        <w:rPr>
          <w:rStyle w:val="VerbatimChar"/>
        </w:rPr>
        <w:t xml:space="preserve">dcterms:identifier</w:t>
      </w:r>
      <w:r>
        <w:t xml:space="preserve">) aufgelöst. Es findet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SPARQL gegen die Dienste statt – die</w:t>
      </w:r>
      <w:r>
        <w:t xml:space="preserve"> </w:t>
      </w:r>
      <w:r>
        <w:t xml:space="preserve">App dereferenziert nur die jeweils benötigten Ressourcen.</w:t>
      </w:r>
    </w:p>
    <w:bookmarkEnd w:id="110"/>
    <w:bookmarkEnd w:id="111"/>
    <w:bookmarkStart w:id="144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18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13" name="Picture"/>
            <a:graphic>
              <a:graphicData uri="http://schemas.openxmlformats.org/drawingml/2006/picture">
                <pic:pic>
                  <pic:nvPicPr>
                    <pic:cNvPr descr="figures/sharing-vergleich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15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15"/>
    <w:bookmarkStart w:id="116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16"/>
    <w:bookmarkStart w:id="117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17"/>
    <w:bookmarkEnd w:id="118"/>
    <w:bookmarkStart w:id="143" w:name="vorgehensweise-beim-datenteilen"/>
    <w:p>
      <w:pPr>
        <w:pStyle w:val="Heading2"/>
      </w:pPr>
      <w:r>
        <w:t xml:space="preserve">Vorgehensweise beim Datenteilen</w:t>
      </w:r>
    </w:p>
    <w:bookmarkStart w:id="122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20" name="Picture"/>
            <a:graphic>
              <a:graphicData uri="http://schemas.openxmlformats.org/drawingml/2006/picture">
                <pic:pic>
                  <pic:nvPicPr>
                    <pic:cNvPr descr="figures/room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22"/>
    <w:bookmarkStart w:id="126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24" name="Picture"/>
            <a:graphic>
              <a:graphicData uri="http://schemas.openxmlformats.org/drawingml/2006/picture">
                <pic:pic>
                  <pic:nvPicPr>
                    <pic:cNvPr descr="figures/contact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26"/>
    <w:bookmarkStart w:id="130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3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3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3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28" name="Picture"/>
            <a:graphic>
              <a:graphicData uri="http://schemas.openxmlformats.org/drawingml/2006/picture">
                <pic:pic>
                  <pic:nvPicPr>
                    <pic:cNvPr descr="figures/share-building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30"/>
    <w:bookmarkStart w:id="137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4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4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4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4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4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32" name="Picture"/>
            <a:graphic>
              <a:graphicData uri="http://schemas.openxmlformats.org/drawingml/2006/picture">
                <pic:pic>
                  <pic:nvPicPr>
                    <pic:cNvPr descr="figures/create-view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35" name="Picture"/>
            <a:graphic>
              <a:graphicData uri="http://schemas.openxmlformats.org/drawingml/2006/picture">
                <pic:pic>
                  <pic:nvPicPr>
                    <pic:cNvPr descr="figures/aggregated-view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37"/>
    <w:bookmarkStart w:id="141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39" name="Picture"/>
            <a:graphic>
              <a:graphicData uri="http://schemas.openxmlformats.org/drawingml/2006/picture">
                <pic:pic>
                  <pic:nvPicPr>
                    <pic:cNvPr descr="figures/shared-with-you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41"/>
    <w:bookmarkStart w:id="142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42"/>
    <w:bookmarkEnd w:id="143"/>
    <w:bookmarkEnd w:id="144"/>
    <w:bookmarkStart w:id="166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Vertriebsunterstützung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48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6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6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6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1376670"/>
            <wp:effectExtent b="0" l="0" r="0" t="0"/>
            <wp:docPr descr="Die Pointe des Soll-Ist-Vergleichs: In der Jahresübersicht steht der Plan-Eintrag („planned”) neben den Ist-Jahren desselben Gebäudes" title="" id="146" name="Picture"/>
            <a:graphic>
              <a:graphicData uri="http://schemas.openxmlformats.org/drawingml/2006/picture">
                <pic:pic>
                  <pic:nvPicPr>
                    <pic:cNvPr descr="figures/soll-ist-payoff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6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48"/>
    <w:bookmarkStart w:id="155" w:name="X1c14a2b4ca7b4b091a43ee943415f1e3cd031fc"/>
    <w:p>
      <w:pPr>
        <w:pStyle w:val="Heading2"/>
      </w:pPr>
      <w:r>
        <w:t xml:space="preserve">Vertriebsunterstützung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ihr Makler bzw. Berater, der diese Energiedaten für die Vermarktung des</w:t>
      </w:r>
      <w:r>
        <w:t xml:space="preserve"> </w:t>
      </w:r>
      <w:r>
        <w:t xml:space="preserve">Objekts einsehen soll (der Anwendungsfall „Vertriebsunterstützung”) – ohne dass</w:t>
      </w:r>
      <w:r>
        <w:t xml:space="preserve"> </w:t>
      </w:r>
      <w:r>
        <w:t xml:space="preserve">A dafür die Hoheit über ihre Daten aufgibt.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7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7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. B’s WebID hat A von B selbst erhalten – eine WebID</w:t>
      </w:r>
      <w:r>
        <w:t xml:space="preserve"> </w:t>
      </w:r>
      <w:r>
        <w:t xml:space="preserve">gibt man weiter wie eine E-Mail-Adresse, etwa in der Signatur oder auf der</w:t>
      </w:r>
      <w:r>
        <w:t xml:space="preserve"> </w:t>
      </w:r>
      <w:r>
        <w:t xml:space="preserve">Visitenkarte. Einmal unter „Contacts” abgelegt (siehe „Kontakte</w:t>
      </w:r>
      <w:r>
        <w:t xml:space="preserve"> </w:t>
      </w:r>
      <w:r>
        <w:t xml:space="preserve">verwalten”), schlägt die App B fortan mit Namen und Profilbild als</w:t>
      </w:r>
      <w:r>
        <w:t xml:space="preserve"> </w:t>
      </w:r>
      <w:r>
        <w:t xml:space="preserve">Empfänger vor – die WebID muss nie wieder eingetippt werden.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7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8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8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8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8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" title="" id="150" name="Picture"/>
            <a:graphic>
              <a:graphicData uri="http://schemas.openxmlformats.org/drawingml/2006/picture">
                <pic:pic>
                  <pic:nvPicPr>
                    <pic:cNvPr descr="figures/teilen-payoff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53" name="Picture"/>
            <a:graphic>
              <a:graphicData uri="http://schemas.openxmlformats.org/drawingml/2006/picture">
                <pic:pic>
                  <pic:nvPicPr>
                    <pic:cNvPr descr="figures/szenario-teilen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55"/>
    <w:bookmarkStart w:id="165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30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„Vertriebsunterstützung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 C’s WebID liegt dabei längst im Adressbuch – sie kam mit der</w:t>
      </w:r>
      <w:r>
        <w:t xml:space="preserve"> </w:t>
      </w:r>
      <w:r>
        <w:t xml:space="preserve">Beauftragung des Dienstleisters, wie eine E-Mail-Adresse –, sodass der</w:t>
      </w:r>
      <w:r>
        <w:t xml:space="preserve"> </w:t>
      </w:r>
      <w:r>
        <w:t xml:space="preserve">Teilen-Dialog C mit Namen und Profilbild vorschlägt.</w:t>
      </w:r>
    </w:p>
    <w:p>
      <w:pPr>
        <w:pStyle w:val="Compact"/>
        <w:numPr>
          <w:ilvl w:val="0"/>
          <w:numId w:val="1030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31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31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31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31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32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32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1376670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57" name="Picture"/>
            <a:graphic>
              <a:graphicData uri="http://schemas.openxmlformats.org/drawingml/2006/picture">
                <pic:pic>
                  <pic:nvPicPr>
                    <pic:cNvPr descr="figures/benchmark-payoff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6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60" name="Picture"/>
            <a:graphic>
              <a:graphicData uri="http://schemas.openxmlformats.org/drawingml/2006/picture">
                <pic:pic>
                  <pic:nvPicPr>
                    <pic:cNvPr descr="figures/szenario-benchmark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63" name="Picture"/>
            <a:graphic>
              <a:graphicData uri="http://schemas.openxmlformats.org/drawingml/2006/picture">
                <pic:pic>
                  <pic:nvPicPr>
                    <pic:cNvPr descr="figures/benchmark-share-back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65"/>
    <w:bookmarkEnd w:id="166"/>
    <w:bookmarkStart w:id="175" w:name="X76283297b0a301ff0e2fa9e2abdbd0305565ba5"/>
    <w:p>
      <w:pPr>
        <w:pStyle w:val="Heading1"/>
      </w:pPr>
      <w:r>
        <w:t xml:space="preserve">Aktionen und Abfragen über die Befehlspalette</w:t>
      </w:r>
    </w:p>
    <w:p>
      <w:pPr>
        <w:pStyle w:val="FirstParagraph"/>
      </w:pPr>
      <w:r>
        <w:t xml:space="preserve">Jede Aktion in der Granergize-App – ein Gebäude anlegen, ein Energiejahr erfassen, ein</w:t>
      </w:r>
      <w:r>
        <w:t xml:space="preserve"> </w:t>
      </w:r>
      <w:r>
        <w:t xml:space="preserve">Gebäude teilen, eine Aggregation berechnen – lässt sich nicht nur über die jeweilige</w:t>
      </w:r>
      <w:r>
        <w:t xml:space="preserve"> </w:t>
      </w:r>
      <w:r>
        <w:t xml:space="preserve">Schaltfläche auslösen, sondern auch zentral über die</w:t>
      </w:r>
      <w:r>
        <w:t xml:space="preserve"> </w:t>
      </w:r>
      <w:r>
        <w:rPr>
          <w:b/>
          <w:bCs/>
        </w:rPr>
        <w:t xml:space="preserve">Befehlspalette</w:t>
      </w:r>
      <w:r>
        <w:t xml:space="preserve">. Sie ist ein</w:t>
      </w:r>
      <w:r>
        <w:t xml:space="preserve"> </w:t>
      </w:r>
      <w:r>
        <w:t xml:space="preserve">einzelnes Suchfeld, das Sie jederzeit mit</w:t>
      </w:r>
      <w:r>
        <w:t xml:space="preserve"> </w:t>
      </w:r>
      <w:r>
        <w:rPr>
          <w:b/>
          <w:bCs/>
        </w:rPr>
        <w:t xml:space="preserve">Cmd+K</w:t>
      </w:r>
      <w:r>
        <w:t xml:space="preserve"> </w:t>
      </w:r>
      <w:r>
        <w:t xml:space="preserve">(macOS) bzw.</w:t>
      </w:r>
      <w:r>
        <w:t xml:space="preserve"> </w:t>
      </w:r>
      <w:r>
        <w:rPr>
          <w:b/>
          <w:bCs/>
        </w:rPr>
        <w:t xml:space="preserve">Strg+K</w:t>
      </w:r>
      <w:r>
        <w:t xml:space="preserve"> </w:t>
      </w:r>
      <w:r>
        <w:t xml:space="preserve">(Windows/Linux)</w:t>
      </w:r>
      <w:r>
        <w:t xml:space="preserve"> </w:t>
      </w:r>
      <w:r>
        <w:t xml:space="preserve">oder über die Schaltfläche in der Kopfzeile öffnen. Darüber erreichen Sie dieselben</w:t>
      </w:r>
      <w:r>
        <w:t xml:space="preserve"> </w:t>
      </w:r>
      <w:r>
        <w:t xml:space="preserve">Funktionen schneller – und können Ihren Gebäudebestand gezielt</w:t>
      </w:r>
      <w:r>
        <w:t xml:space="preserve"> </w:t>
      </w:r>
      <w:r>
        <w:rPr>
          <w:b/>
          <w:bCs/>
        </w:rPr>
        <w:t xml:space="preserve">durchsuchen</w:t>
      </w:r>
      <w:r>
        <w:t xml:space="preserve">.</w:t>
      </w:r>
    </w:p>
    <w:bookmarkStart w:id="167" w:name="was-ein-intent-ist"/>
    <w:p>
      <w:pPr>
        <w:pStyle w:val="Heading2"/>
      </w:pPr>
      <w:r>
        <w:t xml:space="preserve">Was ein „Intent” ist</w:t>
      </w:r>
    </w:p>
    <w:p>
      <w:pPr>
        <w:pStyle w:val="FirstParagraph"/>
      </w:pPr>
      <w:r>
        <w:t xml:space="preserve">Hinter jeder Aktion steht ein benannter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(eine „Absicht”). Die App kennt rund</w:t>
      </w:r>
      <w:r>
        <w:t xml:space="preserve"> </w:t>
      </w:r>
      <w:r>
        <w:t xml:space="preserve">vier Dutzend davon, gruppiert nach dem Gegenstand, auf den sie sich beziehen – Gebäude,</w:t>
      </w:r>
      <w:r>
        <w:t xml:space="preserve"> </w:t>
      </w:r>
      <w:r>
        <w:t xml:space="preserve">Energiedaten, Anhänge, Aggregationen, Freigaben, Datenräume, Agenten und Kontodaten. Ein</w:t>
      </w:r>
      <w:r>
        <w:t xml:space="preserve"> </w:t>
      </w:r>
      <w:r>
        <w:t xml:space="preserve">Intent ist entweder</w:t>
      </w:r>
    </w:p>
    <w:p>
      <w:pPr>
        <w:pStyle w:val="Compact"/>
        <w:numPr>
          <w:ilvl w:val="0"/>
          <w:numId w:val="1033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Aktion</w:t>
      </w:r>
      <w:r>
        <w:t xml:space="preserve">, die etwas verändert (etwa</w:t>
      </w:r>
      <w:r>
        <w:t xml:space="preserve"> </w:t>
      </w:r>
      <w:r>
        <w:rPr>
          <w:i/>
          <w:iCs/>
        </w:rPr>
        <w:t xml:space="preserve">Gebäude anlegen</w:t>
      </w:r>
      <w:r>
        <w:t xml:space="preserve">,</w:t>
      </w:r>
      <w:r>
        <w:t xml:space="preserve"> </w:t>
      </w:r>
      <w:r>
        <w:rPr>
          <w:i/>
          <w:iCs/>
        </w:rPr>
        <w:t xml:space="preserve">Gebäude teilen</w:t>
      </w:r>
      <w:r>
        <w:t xml:space="preserve">,</w:t>
      </w:r>
      <w:r>
        <w:t xml:space="preserve"> </w:t>
      </w:r>
      <w:r>
        <w:rPr>
          <w:i/>
          <w:iCs/>
        </w:rPr>
        <w:t xml:space="preserve">Energiejahr speichern</w:t>
      </w:r>
      <w:r>
        <w:t xml:space="preserve">),</w:t>
      </w:r>
    </w:p>
    <w:p>
      <w:pPr>
        <w:pStyle w:val="Compact"/>
        <w:numPr>
          <w:ilvl w:val="0"/>
          <w:numId w:val="1033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Abfrage</w:t>
      </w:r>
      <w:r>
        <w:t xml:space="preserve">, die etwas nachschlägt, ohne etwas zu ändern (etwa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,</w:t>
      </w:r>
      <w:r>
        <w:t xml:space="preserve"> </w:t>
      </w:r>
      <w:r>
        <w:rPr>
          <w:i/>
          <w:iCs/>
        </w:rPr>
        <w:t xml:space="preserve">Wer hat Zugriff</w:t>
      </w:r>
      <w:r>
        <w:t xml:space="preserve">), oder</w:t>
      </w:r>
    </w:p>
    <w:p>
      <w:pPr>
        <w:pStyle w:val="Compact"/>
        <w:numPr>
          <w:ilvl w:val="0"/>
          <w:numId w:val="1033"/>
        </w:numPr>
      </w:pPr>
      <w:r>
        <w:t xml:space="preserve">ein</w:t>
      </w:r>
      <w:r>
        <w:t xml:space="preserve"> </w:t>
      </w:r>
      <w:r>
        <w:rPr>
          <w:b/>
          <w:bCs/>
        </w:rPr>
        <w:t xml:space="preserve">Sprung</w:t>
      </w:r>
      <w:r>
        <w:t xml:space="preserve"> </w:t>
      </w:r>
      <w:r>
        <w:t xml:space="preserve">zu einer Ansicht.</w:t>
      </w:r>
    </w:p>
    <w:p>
      <w:pPr>
        <w:pStyle w:val="FirstParagraph"/>
      </w:pPr>
      <w:r>
        <w:t xml:space="preserve">Entscheidend ist: Es ist</w:t>
      </w:r>
      <w:r>
        <w:t xml:space="preserve"> </w:t>
      </w:r>
      <w:r>
        <w:rPr>
          <w:b/>
          <w:bCs/>
        </w:rPr>
        <w:t xml:space="preserve">dieselbe</w:t>
      </w:r>
      <w:r>
        <w:t xml:space="preserve"> </w:t>
      </w:r>
      <w:r>
        <w:t xml:space="preserve">benannte Aktion, ob Sie sie über eine Schaltfläche,</w:t>
      </w:r>
      <w:r>
        <w:t xml:space="preserve"> </w:t>
      </w:r>
      <w:r>
        <w:t xml:space="preserve">über die Befehlspalette oder über eine Abfrage auslösen – so verhält sich die App überall</w:t>
      </w:r>
      <w:r>
        <w:t xml:space="preserve"> </w:t>
      </w:r>
      <w:r>
        <w:t xml:space="preserve">gleich.</w:t>
      </w:r>
    </w:p>
    <w:bookmarkEnd w:id="167"/>
    <w:bookmarkStart w:id="171" w:name="die-befehlspalette-nutzen"/>
    <w:p>
      <w:pPr>
        <w:pStyle w:val="Heading2"/>
      </w:pPr>
      <w:r>
        <w:t xml:space="preserve">Die Befehlspalette nutzen</w:t>
      </w:r>
    </w:p>
    <w:p>
      <w:pPr>
        <w:pStyle w:val="FirstParagraph"/>
      </w:pPr>
      <w:r>
        <w:t xml:space="preserve">Nach dem Öffnen tippen Sie in das Feld, um die Liste der Befehle zu filtern. Die Palette</w:t>
      </w:r>
      <w:r>
        <w:t xml:space="preserve"> </w:t>
      </w:r>
      <w:r>
        <w:t xml:space="preserve">zeigt</w:t>
      </w:r>
      <w:r>
        <w:t xml:space="preserve"> </w:t>
      </w:r>
      <w:r>
        <w:rPr>
          <w:b/>
          <w:bCs/>
        </w:rPr>
        <w:t xml:space="preserve">kontextbezogen</w:t>
      </w:r>
      <w:r>
        <w:t xml:space="preserve"> </w:t>
      </w:r>
      <w:r>
        <w:t xml:space="preserve">nur die Aktionen, die zum gerade betrachteten Gegenstand passen –</w:t>
      </w:r>
      <w:r>
        <w:t xml:space="preserve"> </w:t>
      </w:r>
      <w:r>
        <w:t xml:space="preserve">zu einem eigenen Gebäude etwa</w:t>
      </w:r>
      <w:r>
        <w:t xml:space="preserve"> </w:t>
      </w:r>
      <w:r>
        <w:rPr>
          <w:i/>
          <w:iCs/>
        </w:rPr>
        <w:t xml:space="preserve">Bearbeiten</w:t>
      </w:r>
      <w:r>
        <w:t xml:space="preserve">,</w:t>
      </w:r>
      <w:r>
        <w:t xml:space="preserve"> </w:t>
      </w:r>
      <w:r>
        <w:rPr>
          <w:i/>
          <w:iCs/>
        </w:rPr>
        <w:t xml:space="preserve">Teilen</w:t>
      </w:r>
      <w:r>
        <w:t xml:space="preserve"> </w:t>
      </w:r>
      <w:r>
        <w:t xml:space="preserve">oder</w:t>
      </w:r>
      <w:r>
        <w:t xml:space="preserve"> </w:t>
      </w:r>
      <w:r>
        <w:rPr>
          <w:i/>
          <w:iCs/>
        </w:rPr>
        <w:t xml:space="preserve">Löschen</w:t>
      </w:r>
      <w:r>
        <w:t xml:space="preserve">, zu einem geteilten</w:t>
      </w:r>
      <w:r>
        <w:t xml:space="preserve"> </w:t>
      </w:r>
      <w:r>
        <w:t xml:space="preserve">Gebäude hingegen nur die sinnvollen Verben. Mit den</w:t>
      </w:r>
      <w:r>
        <w:t xml:space="preserve"> </w:t>
      </w:r>
      <w:r>
        <w:rPr>
          <w:b/>
          <w:bCs/>
        </w:rPr>
        <w:t xml:space="preserve">Pfeiltasten</w:t>
      </w:r>
      <w:r>
        <w:t xml:space="preserve"> </w:t>
      </w:r>
      <w:r>
        <w:t xml:space="preserve">wählen Sie einen</w:t>
      </w:r>
      <w:r>
        <w:t xml:space="preserve"> </w:t>
      </w:r>
      <w:r>
        <w:t xml:space="preserve">Eintrag, mit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lösen Sie ihn aus. Benötigt eine Aktion noch Angaben (etwa die</w:t>
      </w:r>
      <w:r>
        <w:t xml:space="preserve"> </w:t>
      </w:r>
      <w:r>
        <w:t xml:space="preserve">Empfänger einer Freigabe), öffnet die Palette ein passendes</w:t>
      </w:r>
      <w:r>
        <w:t xml:space="preserve"> </w:t>
      </w:r>
      <w:r>
        <w:rPr>
          <w:b/>
          <w:bCs/>
        </w:rPr>
        <w:t xml:space="preserve">Formular</w:t>
      </w:r>
      <w:r>
        <w:t xml:space="preserve"> </w:t>
      </w:r>
      <w:r>
        <w:t xml:space="preserve">oder führt Sie zum</w:t>
      </w:r>
      <w:r>
        <w:t xml:space="preserve"> </w:t>
      </w:r>
      <w:r>
        <w:t xml:space="preserve">zugehörigen Dialog.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Befehlspalette (Cmd+K/Strg+K): ein Suchfeld mit den zum aktuellen Gegenstand passenden Aktionen und Abfragen" title="" id="169" name="Picture"/>
            <a:graphic>
              <a:graphicData uri="http://schemas.openxmlformats.org/drawingml/2006/picture">
                <pic:pic>
                  <pic:nvPicPr>
                    <pic:cNvPr descr="figures/command-palette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Befehlspalette (Cmd+K/Strg+K): ein Suchfeld mit den zum aktuellen Gegenstand passenden Aktionen und Abfragen</w:t>
      </w:r>
    </w:p>
    <w:bookmarkEnd w:id="171"/>
    <w:bookmarkStart w:id="172" w:name="gebäude-gezielt-finden-das-abfragemodell"/>
    <w:p>
      <w:pPr>
        <w:pStyle w:val="Heading2"/>
      </w:pPr>
      <w:r>
        <w:t xml:space="preserve">Gebäude gezielt finden: das Abfragemodell</w:t>
      </w:r>
    </w:p>
    <w:p>
      <w:pPr>
        <w:pStyle w:val="FirstParagraph"/>
      </w:pPr>
      <w:r>
        <w:t xml:space="preserve">Die Abfrage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 </w:t>
      </w:r>
      <w:r>
        <w:t xml:space="preserve">filtert Ihren sichtbaren Bestand (eigene und geteilte Gebäude)</w:t>
      </w:r>
      <w:r>
        <w:t xml:space="preserve"> </w:t>
      </w:r>
      <w:r>
        <w:t xml:space="preserve">anhand der</w:t>
      </w:r>
      <w:r>
        <w:t xml:space="preserve"> </w:t>
      </w:r>
      <w:r>
        <w:rPr>
          <w:b/>
          <w:bCs/>
        </w:rPr>
        <w:t xml:space="preserve">Stammdaten</w:t>
      </w:r>
      <w:r>
        <w:t xml:space="preserve">. Eine Abfrage besteht aus einer oder mehreren</w:t>
      </w:r>
      <w:r>
        <w:t xml:space="preserve"> </w:t>
      </w:r>
      <w:r>
        <w:rPr>
          <w:b/>
          <w:bCs/>
        </w:rPr>
        <w:t xml:space="preserve">Bedingungen</w:t>
      </w:r>
      <w:r>
        <w:t xml:space="preserve">,</w:t>
      </w:r>
      <w:r>
        <w:t xml:space="preserve"> </w:t>
      </w:r>
      <w:r>
        <w:t xml:space="preserve">die jeweils ein</w:t>
      </w:r>
      <w:r>
        <w:t xml:space="preserve"> </w:t>
      </w:r>
      <w:r>
        <w:rPr>
          <w:b/>
          <w:bCs/>
        </w:rPr>
        <w:t xml:space="preserve">Feld</w:t>
      </w:r>
      <w:r>
        <w:t xml:space="preserve">, einen</w:t>
      </w:r>
      <w:r>
        <w:t xml:space="preserve"> </w:t>
      </w:r>
      <w:r>
        <w:rPr>
          <w:b/>
          <w:bCs/>
        </w:rPr>
        <w:t xml:space="preserve">Vergleich</w:t>
      </w:r>
      <w:r>
        <w:t xml:space="preserve"> </w:t>
      </w:r>
      <w:r>
        <w:t xml:space="preserve">und einen</w:t>
      </w:r>
      <w:r>
        <w:t xml:space="preserve"> </w:t>
      </w:r>
      <w:r>
        <w:rPr>
          <w:b/>
          <w:bCs/>
        </w:rPr>
        <w:t xml:space="preserve">Wert</w:t>
      </w:r>
      <w:r>
        <w:t xml:space="preserve"> </w:t>
      </w:r>
      <w:r>
        <w:t xml:space="preserve">verbinden; mehrere</w:t>
      </w:r>
      <w:r>
        <w:t xml:space="preserve"> </w:t>
      </w:r>
      <w:r>
        <w:t xml:space="preserve">Bedingungen werden</w:t>
      </w:r>
      <w:r>
        <w:t xml:space="preserve"> </w:t>
      </w:r>
      <w:r>
        <w:rPr>
          <w:b/>
          <w:bCs/>
        </w:rPr>
        <w:t xml:space="preserve">logisch UND-verknüpft</w:t>
      </w:r>
      <w:r>
        <w:t xml:space="preserve"> </w:t>
      </w:r>
      <w:r>
        <w:t xml:space="preserve">(alle müssen zutreffen).</w:t>
      </w:r>
    </w:p>
    <w:p>
      <w:pPr>
        <w:pStyle w:val="BodyText"/>
      </w:pPr>
      <w:r>
        <w:t xml:space="preserve">Filtern können Sie nach Feldern wie</w:t>
      </w:r>
      <w:r>
        <w:t xml:space="preserve"> </w:t>
      </w:r>
      <w:r>
        <w:rPr>
          <w:b/>
          <w:bCs/>
        </w:rPr>
        <w:t xml:space="preserve">Hallenfläche</w:t>
      </w:r>
      <w:r>
        <w:t xml:space="preserve">,</w:t>
      </w:r>
      <w:r>
        <w:t xml:space="preserve"> </w:t>
      </w:r>
      <w:r>
        <w:rPr>
          <w:b/>
          <w:bCs/>
        </w:rPr>
        <w:t xml:space="preserve">Gebäudefläche</w:t>
      </w:r>
      <w:r>
        <w:t xml:space="preserve">,</w:t>
      </w:r>
      <w:r>
        <w:t xml:space="preserve"> </w:t>
      </w:r>
      <w:r>
        <w:rPr>
          <w:b/>
          <w:bCs/>
        </w:rPr>
        <w:t xml:space="preserve">Baujahr</w:t>
      </w:r>
      <w:r>
        <w:t xml:space="preserve">,</w:t>
      </w:r>
      <w:r>
        <w:t xml:space="preserve"> </w:t>
      </w:r>
      <w:r>
        <w:rPr>
          <w:b/>
          <w:bCs/>
        </w:rPr>
        <w:t xml:space="preserve">Ort</w:t>
      </w:r>
      <w:r>
        <w:t xml:space="preserve">,</w:t>
      </w:r>
      <w:r>
        <w:t xml:space="preserve"> </w:t>
      </w:r>
      <w:r>
        <w:rPr>
          <w:b/>
          <w:bCs/>
        </w:rPr>
        <w:t xml:space="preserve">Postleitzahl</w:t>
      </w:r>
      <w:r>
        <w:t xml:space="preserve">,</w:t>
      </w:r>
      <w:r>
        <w:t xml:space="preserve"> </w:t>
      </w:r>
      <w:r>
        <w:rPr>
          <w:b/>
          <w:bCs/>
        </w:rPr>
        <w:t xml:space="preserve">Region</w:t>
      </w:r>
      <w:r>
        <w:t xml:space="preserve">,</w:t>
      </w:r>
      <w:r>
        <w:t xml:space="preserve"> </w:t>
      </w:r>
      <w:r>
        <w:rPr>
          <w:b/>
          <w:bCs/>
        </w:rPr>
        <w:t xml:space="preserve">Nutzungsart</w:t>
      </w:r>
      <w:r>
        <w:t xml:space="preserve">,</w:t>
      </w:r>
      <w:r>
        <w:t xml:space="preserve"> </w:t>
      </w:r>
      <w:r>
        <w:rPr>
          <w:b/>
          <w:bCs/>
        </w:rPr>
        <w:t xml:space="preserve">Mieterbranche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Eigentümer/Betreiber</w:t>
      </w:r>
      <w:r>
        <w:t xml:space="preserve">. Als Vergleiche stehen je nach Feldart zur Verfügung: bei Zahlen</w:t>
      </w:r>
      <w:r>
        <w:t xml:space="preserve"> </w:t>
      </w:r>
      <w:r>
        <w:rPr>
          <w:b/>
          <w:bCs/>
        </w:rPr>
        <w:t xml:space="preserve">größer/kleiner/gleich</w:t>
      </w:r>
      <w:r>
        <w:t xml:space="preserve">, bei Texten</w:t>
      </w:r>
      <w:r>
        <w:t xml:space="preserve"> </w:t>
      </w:r>
      <w:r>
        <w:rPr>
          <w:b/>
          <w:bCs/>
        </w:rPr>
        <w:t xml:space="preserve">gleich</w:t>
      </w:r>
      <w:r>
        <w:t xml:space="preserve">,</w:t>
      </w:r>
      <w:r>
        <w:t xml:space="preserve"> </w:t>
      </w:r>
      <w:r>
        <w:rPr>
          <w:b/>
          <w:bCs/>
        </w:rPr>
        <w:t xml:space="preserve">enthält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einer aus</w:t>
      </w:r>
      <w:r>
        <w:t xml:space="preserve"> </w:t>
      </w:r>
      <w:r>
        <w:t xml:space="preserve">einer</w:t>
      </w:r>
      <w:r>
        <w:t xml:space="preserve"> </w:t>
      </w:r>
      <w:r>
        <w:t xml:space="preserve">Liste, dazu</w:t>
      </w:r>
      <w:r>
        <w:t xml:space="preserve"> </w:t>
      </w:r>
      <w:r>
        <w:rPr>
          <w:b/>
          <w:bCs/>
        </w:rPr>
        <w:t xml:space="preserve">vorhanden</w:t>
      </w:r>
      <w:r>
        <w:t xml:space="preserve"> </w:t>
      </w:r>
      <w:r>
        <w:t xml:space="preserve">bzw.</w:t>
      </w:r>
      <w:r>
        <w:t xml:space="preserve"> </w:t>
      </w:r>
      <w:r>
        <w:rPr>
          <w:b/>
          <w:bCs/>
        </w:rPr>
        <w:t xml:space="preserve">fehlt</w:t>
      </w:r>
      <w:r>
        <w:t xml:space="preserve"> </w:t>
      </w:r>
      <w:r>
        <w:t xml:space="preserve">für die An- oder Abwesenheit eines Werts. So findet</w:t>
      </w:r>
      <w:r>
        <w:t xml:space="preserve"> </w:t>
      </w:r>
      <w:r>
        <w:t xml:space="preserve">etwa „Hallenfläche größer 5000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Ort gleich Fürth” alle großen Hallen in Fürth. (Die</w:t>
      </w:r>
      <w:r>
        <w:t xml:space="preserve"> </w:t>
      </w:r>
      <w:r>
        <w:t xml:space="preserve">Filter beziehen sich auf die Stammdaten; nach Verbrauchswerten wird nicht unmittelbar</w:t>
      </w:r>
      <w:r>
        <w:t xml:space="preserve"> </w:t>
      </w:r>
      <w:r>
        <w:t xml:space="preserve">gefiltert.)</w:t>
      </w:r>
    </w:p>
    <w:bookmarkEnd w:id="172"/>
    <w:bookmarkStart w:id="173" w:name="abfragen-in-natürlicher-sprache"/>
    <w:p>
      <w:pPr>
        <w:pStyle w:val="Heading2"/>
      </w:pPr>
      <w:r>
        <w:t xml:space="preserve">Abfragen in natürlicher Sprache</w:t>
      </w:r>
    </w:p>
    <w:p>
      <w:pPr>
        <w:pStyle w:val="FirstParagraph"/>
      </w:pPr>
      <w:r>
        <w:t xml:space="preserve">Sie müssen Bedingungen nicht von Hand zusammenstellen. Beginnen Sie eine Eingabe in der</w:t>
      </w:r>
      <w:r>
        <w:t xml:space="preserve"> </w:t>
      </w:r>
      <w:r>
        <w:t xml:space="preserve">Palette mit</w:t>
      </w:r>
      <w:r>
        <w:t xml:space="preserve"> </w:t>
      </w:r>
      <w:r>
        <w:rPr>
          <w:b/>
          <w:bCs/>
        </w:rPr>
        <w:t xml:space="preserve">„&gt;“</w:t>
      </w:r>
      <w:r>
        <w:t xml:space="preserve">, formulieren Sie Ihr Anliegen in</w:t>
      </w:r>
      <w:r>
        <w:t xml:space="preserve"> </w:t>
      </w:r>
      <w:r>
        <w:rPr>
          <w:b/>
          <w:bCs/>
        </w:rPr>
        <w:t xml:space="preserve">normaler Sprache</w:t>
      </w:r>
      <w:r>
        <w:t xml:space="preserve"> </w:t>
      </w:r>
      <w:r>
        <w:t xml:space="preserve">– etwa</w:t>
      </w:r>
      <w:r>
        <w:t xml:space="preserve"> </w:t>
      </w:r>
      <w:r>
        <w:rPr>
          <w:i/>
          <w:iCs/>
        </w:rPr>
        <w:t xml:space="preserve">„Bürogebäude in Bayern, gebaut vor 2000”</w:t>
      </w:r>
      <w:r>
        <w:t xml:space="preserve"> </w:t>
      </w:r>
      <w:r>
        <w:t xml:space="preserve">–, und die App übersetzt es in den passenden</w:t>
      </w:r>
      <w:r>
        <w:t xml:space="preserve"> </w:t>
      </w:r>
      <w:r>
        <w:t xml:space="preserve">Intent samt Filter. Das Ergebnis erscheint zunächst als</w:t>
      </w:r>
      <w:r>
        <w:t xml:space="preserve"> </w:t>
      </w:r>
      <w:r>
        <w:rPr>
          <w:b/>
          <w:bCs/>
        </w:rPr>
        <w:t xml:space="preserve">bearbeitbarer Vorschlag</w:t>
      </w:r>
      <w:r>
        <w:t xml:space="preserve">, den Sie</w:t>
      </w:r>
      <w:r>
        <w:t xml:space="preserve"> </w:t>
      </w:r>
      <w:r>
        <w:t xml:space="preserve">vor dem Ausführen prüfen (und bei Bedarf korrigieren) können. Wer die genaue Form kennt, kann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„{“</w:t>
      </w:r>
      <w:r>
        <w:t xml:space="preserve"> </w:t>
      </w:r>
      <w:r>
        <w:t xml:space="preserve">auch direkt einen Intent als JSON einfügen und starten.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Eine Abfrage ist ein</w:t>
      </w:r>
      <w:r>
        <w:t xml:space="preserve"> </w:t>
      </w:r>
      <w:r>
        <w:rPr>
          <w:rStyle w:val="VerbatimChar"/>
        </w:rPr>
        <w:t xml:space="preserve">Selector</w:t>
      </w:r>
      <w:r>
        <w:t xml:space="preserve"> </w:t>
      </w:r>
      <w:r>
        <w:t xml:space="preserve">der Form</w:t>
      </w:r>
      <w:r>
        <w:t xml:space="preserve"> </w:t>
      </w:r>
      <w:r>
        <w:rPr>
          <w:rStyle w:val="VerbatimChar"/>
        </w:rPr>
        <w:t xml:space="preserve">{"and":[{"field","op","value"}, …]}</w:t>
      </w:r>
      <w:r>
        <w:t xml:space="preserve"> </w:t>
      </w:r>
      <w:r>
        <w:t xml:space="preserve">– eine</w:t>
      </w:r>
      <w:r>
        <w:t xml:space="preserve"> </w:t>
      </w:r>
      <w:r>
        <w:t xml:space="preserve">UND-Konjunktion von Bedingungen (kein ODER; Negation über</w:t>
      </w:r>
      <w:r>
        <w:t xml:space="preserve"> </w:t>
      </w:r>
      <w:r>
        <w:rPr>
          <w:rStyle w:val="VerbatimChar"/>
        </w:rPr>
        <w:t xml:space="preserve">ne</w:t>
      </w:r>
      <w:r>
        <w:t xml:space="preserve">/</w:t>
      </w:r>
      <w:r>
        <w:rPr>
          <w:rStyle w:val="VerbatimChar"/>
        </w:rPr>
        <w:t xml:space="preserve">lacks</w:t>
      </w:r>
      <w:r>
        <w:t xml:space="preserve">). Die Felder sind</w:t>
      </w:r>
      <w:r>
        <w:t xml:space="preserve"> </w:t>
      </w:r>
      <w:r>
        <w:t xml:space="preserve">die Gebäude-Stammdatenfelder (</w:t>
      </w:r>
      <w:r>
        <w:rPr>
          <w:rStyle w:val="VerbatimChar"/>
        </w:rPr>
        <w:t xml:space="preserve">buildingConfig.ts</w:t>
      </w:r>
      <w:r>
        <w:t xml:space="preserve">); die Operatoren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ne</w:t>
      </w:r>
      <w:r>
        <w:t xml:space="preserve">,</w:t>
      </w:r>
      <w:r>
        <w:t xml:space="preserve"> </w:t>
      </w:r>
      <w:r>
        <w:rPr>
          <w:rStyle w:val="VerbatimChar"/>
        </w:rPr>
        <w:t xml:space="preserve">lt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t xml:space="preserve">,</w:t>
      </w:r>
      <w:r>
        <w:t xml:space="preserve"> </w:t>
      </w:r>
      <w:r>
        <w:rPr>
          <w:rStyle w:val="VerbatimChar"/>
        </w:rPr>
        <w:t xml:space="preserve">gt</w:t>
      </w:r>
      <w:r>
        <w:t xml:space="preserve">,</w:t>
      </w:r>
      <w:r>
        <w:t xml:space="preserve"> </w:t>
      </w:r>
      <w:r>
        <w:rPr>
          <w:rStyle w:val="VerbatimChar"/>
        </w:rPr>
        <w:t xml:space="preserve">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</w:t>
      </w:r>
      <w:r>
        <w:t xml:space="preserve">,</w:t>
      </w:r>
      <w:r>
        <w:t xml:space="preserve"> </w:t>
      </w:r>
      <w:r>
        <w:rPr>
          <w:rStyle w:val="VerbatimChar"/>
        </w:rPr>
        <w:t xml:space="preserve">lacks</w:t>
      </w:r>
      <w:r>
        <w:t xml:space="preserve"> </w:t>
      </w:r>
      <w:r>
        <w:t xml:space="preserve">gelten je nach Feldart (numerisch/Text). Die</w:t>
      </w:r>
      <w:r>
        <w:t xml:space="preserve"> </w:t>
      </w:r>
      <w:r>
        <w:t xml:space="preserve">Natürlichsprach-Eingabe wird von einem Sprachmodell (konfigurierbar über</w:t>
      </w:r>
      <w:r>
        <w:t xml:space="preserve"> </w:t>
      </w:r>
      <w:r>
        <w:rPr>
          <w:rStyle w:val="VerbatimChar"/>
        </w:rPr>
        <w:t xml:space="preserve">VITE_LLM_API_URI</w:t>
      </w:r>
      <w:r>
        <w:t xml:space="preserve">/</w:t>
      </w:r>
      <w:r>
        <w:rPr>
          <w:rStyle w:val="VerbatimChar"/>
        </w:rPr>
        <w:t xml:space="preserve">VITE_LLM_MODEL</w:t>
      </w:r>
      <w:r>
        <w:t xml:space="preserve">) in ein</w:t>
      </w:r>
      <w:r>
        <w:t xml:space="preserve"> </w:t>
      </w:r>
      <w:r>
        <w:rPr>
          <w:rStyle w:val="VerbatimChar"/>
        </w:rPr>
        <w:t xml:space="preserve">{"name","params"}</w:t>
      </w:r>
      <w:r>
        <w:t xml:space="preserve">-JSON übersetzt und stets</w:t>
      </w:r>
      <w:r>
        <w:t xml:space="preserve"> </w:t>
      </w:r>
      <w:r>
        <w:rPr>
          <w:b/>
          <w:bCs/>
        </w:rPr>
        <w:t xml:space="preserve">dem Nutzer zur Bestätigung</w:t>
      </w:r>
      <w:r>
        <w:t xml:space="preserve"> </w:t>
      </w:r>
      <w:r>
        <w:t xml:space="preserve">angezeigt, bevor es ausgeführt wird.</w:t>
      </w:r>
    </w:p>
    <w:bookmarkEnd w:id="173"/>
    <w:bookmarkStart w:id="174" w:name="X59d3c3747619d70f64c1f9fc5f0d218f835c8cd"/>
    <w:p>
      <w:pPr>
        <w:pStyle w:val="Heading2"/>
      </w:pPr>
      <w:r>
        <w:t xml:space="preserve">Wie Alice, Bob und Charlie die Palette nutzen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Alice</w:t>
      </w:r>
      <w:r>
        <w:t xml:space="preserve"> </w:t>
      </w:r>
      <w:r>
        <w:t xml:space="preserve">legt mit</w:t>
      </w:r>
      <w:r>
        <w:t xml:space="preserve"> </w:t>
      </w:r>
      <w:r>
        <w:rPr>
          <w:b/>
          <w:bCs/>
        </w:rPr>
        <w:t xml:space="preserve">Cmd+K →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Gebäude anlegen</w:t>
      </w:r>
      <w:r>
        <w:t xml:space="preserve"> </w:t>
      </w:r>
      <w:r>
        <w:t xml:space="preserve">eine neue Halle an, erfasst über</w:t>
      </w:r>
      <w:r>
        <w:t xml:space="preserve"> </w:t>
      </w:r>
      <w:r>
        <w:rPr>
          <w:b/>
          <w:bCs/>
          <w:i/>
          <w:iCs/>
        </w:rPr>
        <w:t xml:space="preserve">Energiejahr speichern</w:t>
      </w:r>
      <w:r>
        <w:t xml:space="preserve"> </w:t>
      </w:r>
      <w:r>
        <w:t xml:space="preserve">den Verbrauch und gibt das Gebäude per</w:t>
      </w:r>
      <w:r>
        <w:t xml:space="preserve"> </w:t>
      </w:r>
      <w:r>
        <w:rPr>
          <w:b/>
          <w:bCs/>
          <w:i/>
          <w:iCs/>
        </w:rPr>
        <w:t xml:space="preserve">Gebäude teilen</w:t>
      </w:r>
      <w:r>
        <w:t xml:space="preserve"> </w:t>
      </w:r>
      <w:r>
        <w:t xml:space="preserve">an</w:t>
      </w:r>
      <w:r>
        <w:t xml:space="preserve"> </w:t>
      </w:r>
      <w:r>
        <w:t xml:space="preserve">Bob frei – alles aus dem Suchfeld heraus.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Bob</w:t>
      </w:r>
      <w:r>
        <w:t xml:space="preserve"> </w:t>
      </w:r>
      <w:r>
        <w:t xml:space="preserve">sucht mit</w:t>
      </w:r>
      <w:r>
        <w:t xml:space="preserve"> </w:t>
      </w:r>
      <w:r>
        <w:rPr>
          <w:b/>
          <w:bCs/>
        </w:rPr>
        <w:t xml:space="preserve">„&gt; Bürogebäude in Bayern vor 2000”</w:t>
      </w:r>
      <w:r>
        <w:t xml:space="preserve"> </w:t>
      </w:r>
      <w:r>
        <w:t xml:space="preserve">die passenden Objekte, fasst die</w:t>
      </w:r>
      <w:r>
        <w:t xml:space="preserve"> </w:t>
      </w:r>
      <w:r>
        <w:t xml:space="preserve">Treffer über</w:t>
      </w:r>
      <w:r>
        <w:t xml:space="preserve"> </w:t>
      </w:r>
      <w:r>
        <w:rPr>
          <w:b/>
          <w:bCs/>
          <w:i/>
          <w:iCs/>
        </w:rPr>
        <w:t xml:space="preserve">Aggregation erstellen</w:t>
      </w:r>
      <w:r>
        <w:t xml:space="preserve"> </w:t>
      </w:r>
      <w:r>
        <w:t xml:space="preserve">zu einer Auswertung zusammen und teilt deren</w:t>
      </w:r>
      <w:r>
        <w:t xml:space="preserve"> </w:t>
      </w:r>
      <w:r>
        <w:t xml:space="preserve">Momentaufnahme.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Charlie</w:t>
      </w:r>
      <w:r>
        <w:t xml:space="preserve"> </w:t>
      </w:r>
      <w:r>
        <w:t xml:space="preserve">richtet über</w:t>
      </w:r>
      <w:r>
        <w:t xml:space="preserve"> </w:t>
      </w:r>
      <w:r>
        <w:rPr>
          <w:b/>
          <w:bCs/>
          <w:i/>
          <w:iCs/>
        </w:rPr>
        <w:t xml:space="preserve">Datenraum erstellen</w:t>
      </w:r>
      <w:r>
        <w:t xml:space="preserve"> </w:t>
      </w:r>
      <w:r>
        <w:t xml:space="preserve">eine Arbeitsgruppe ein, pflegt mit</w:t>
      </w:r>
      <w:r>
        <w:t xml:space="preserve"> </w:t>
      </w:r>
      <w:r>
        <w:rPr>
          <w:b/>
          <w:bCs/>
          <w:i/>
          <w:iCs/>
        </w:rPr>
        <w:t xml:space="preserve">Organisation speichern</w:t>
      </w:r>
      <w:r>
        <w:t xml:space="preserve"> </w:t>
      </w:r>
      <w:r>
        <w:t xml:space="preserve">Name und Logo seines Benchmark-Dienstes und sichert seinen</w:t>
      </w:r>
      <w:r>
        <w:t xml:space="preserve"> </w:t>
      </w:r>
      <w:r>
        <w:t xml:space="preserve">Bestand über den Archiv-Export.</w:t>
      </w:r>
    </w:p>
    <w:bookmarkEnd w:id="174"/>
    <w:bookmarkEnd w:id="175"/>
    <w:bookmarkStart w:id="176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76"/>
    <w:bookmarkStart w:id="178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77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134" Target="media/rId134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56" Target="media/rId156.png" /><Relationship Type="http://schemas.openxmlformats.org/officeDocument/2006/relationships/image" Id="rId162" Target="media/rId16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168" Target="media/rId168.png" /><Relationship Type="http://schemas.openxmlformats.org/officeDocument/2006/relationships/image" Id="rId38" Target="media/rId38.png" /><Relationship Type="http://schemas.openxmlformats.org/officeDocument/2006/relationships/image" Id="rId123" Target="media/rId123.png" /><Relationship Type="http://schemas.openxmlformats.org/officeDocument/2006/relationships/image" Id="rId131" Target="media/rId131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84" Target="media/rId84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138" Target="media/rId138.png" /><Relationship Type="http://schemas.openxmlformats.org/officeDocument/2006/relationships/image" Id="rId112" Target="media/rId112.png" /><Relationship Type="http://schemas.openxmlformats.org/officeDocument/2006/relationships/image" Id="rId145" Target="media/rId145.png" /><Relationship Type="http://schemas.openxmlformats.org/officeDocument/2006/relationships/image" Id="rId159" Target="media/rId159.png" /><Relationship Type="http://schemas.openxmlformats.org/officeDocument/2006/relationships/image" Id="rId152" Target="media/rId152.png" /><Relationship Type="http://schemas.openxmlformats.org/officeDocument/2006/relationships/image" Id="rId149" Target="media/rId149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77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77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2026-06-28T12:21:37Z</dcterms:created>
  <dcterms:modified xsi:type="dcterms:W3CDTF">2026-06-28T12:21:37Z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1be32f1+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