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3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63.png" ContentType="image/png"/>
  <Override PartName="/word/media/rId160.png" ContentType="image/png"/>
  <Override PartName="/word/media/rId29.png" ContentType="image/png"/>
  <Override PartName="/word/media/rId35.png" ContentType="image/png"/>
  <Override PartName="/word/media/rId172.png" ContentType="image/png"/>
  <Override PartName="/word/media/rId38.png" ContentType="image/png"/>
  <Override PartName="/word/media/rId127.png" ContentType="image/png"/>
  <Override PartName="/word/media/rId135.png" ContentType="image/png"/>
  <Override PartName="/word/media/rId95.png" ContentType="image/png"/>
  <Override PartName="/word/media/rId98.png" ContentType="image/png"/>
  <Override PartName="/word/media/rId103.png" ContentType="image/png"/>
  <Override PartName="/word/media/rId88.png" ContentType="image/png"/>
  <Override PartName="/word/media/rId63.png" ContentType="image/png"/>
  <Override PartName="/word/media/rId84.png" ContentType="image/png"/>
  <Override PartName="/word/media/rId92.png" ContentType="image/png"/>
  <Override PartName="/word/media/rId107.png" ContentType="image/png"/>
  <Override PartName="/word/media/rId111.png" ContentType="image/png"/>
  <Override PartName="/word/media/rId123.png" ContentType="image/png"/>
  <Override PartName="/word/media/rId131.png" ContentType="image/png"/>
  <Override PartName="/word/media/rId142.png" ContentType="image/png"/>
  <Override PartName="/word/media/rId116.png" ContentType="image/png"/>
  <Override PartName="/word/media/rId149.png" ContentType="image/png"/>
  <Override PartName="/word/media/rId166.png" ContentType="image/png"/>
  <Override PartName="/word/media/rId156.png" ContentType="image/png"/>
  <Override PartName="/word/media/rId15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September 2026 · Version b5b03fc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Den Soll-Wert müssen Sie nicht raten. Das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zeigt aus offenen Daten, wie viel Photovoltaik-Potenzial das</w:t>
      </w:r>
      <w:r>
        <w:t xml:space="preserve"> </w:t>
      </w:r>
      <w:r>
        <w:t xml:space="preserve">Dach noch hergibt (die „Ausbaulücke”) – ein belastbares Ziel, an dem sich die geplante</w:t>
      </w:r>
      <w:r>
        <w:t xml:space="preserve"> </w:t>
      </w:r>
      <w:r>
        <w:t xml:space="preserve">Eigenerzeugung ausrichten lässt.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ordnet Ihren Plan zudem in</w:t>
      </w:r>
      <w:r>
        <w:t xml:space="preserve"> </w:t>
      </w:r>
      <w:r>
        <w:t xml:space="preserve">den Trend des Bundeslands ein, etwa den steigenden Anteil erneuerbaren Stroms (siehe</w:t>
      </w:r>
      <w:r>
        <w:t xml:space="preserve"> </w:t>
      </w:r>
      <w:r>
        <w:t xml:space="preserve">Abschnitt „Regionale Statistiken als Vergleichsmaßstab”). Bereits nutzbar sind die</w:t>
      </w:r>
      <w:r>
        <w:t xml:space="preserve"> </w:t>
      </w:r>
      <w:r>
        <w:t xml:space="preserve">Wetterdaten je Gebäude; in Vorbereitung ist, den Ist-Verbrauch darüber automatisch um</w:t>
      </w:r>
      <w:r>
        <w:t xml:space="preserve"> </w:t>
      </w:r>
      <w:r>
        <w:t xml:space="preserve">Witterungseinflüsse (Heizgradtage) zu bereinigen – erst dann zeigt der Vergleich die</w:t>
      </w:r>
      <w:r>
        <w:t xml:space="preserve"> </w:t>
      </w:r>
      <w:r>
        <w:t xml:space="preserve">reine Wirkung einer Maßnahme, unabhängig von einem kalten oder milden Jahr.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Aus der Bestandsaufnahme wird so eine Chancen-Darstellung. Geben</w:t>
      </w:r>
      <w:r>
        <w:t xml:space="preserve"> </w:t>
      </w:r>
      <w:r>
        <w:t xml:space="preserve">Sie ein Gebäude samt seinem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frei, sieht der Makler oder</w:t>
      </w:r>
      <w:r>
        <w:t xml:space="preserve"> </w:t>
      </w:r>
      <w:r>
        <w:t xml:space="preserve">Investor nicht nur den heutigen Verbrauch, sondern auch das ungenutzte Dach- und</w:t>
      </w:r>
      <w:r>
        <w:t xml:space="preserve"> </w:t>
      </w:r>
      <w:r>
        <w:t xml:space="preserve">Freiflächen-Photovoltaik-Potenzial, den lokalen Grünstrom-Mix und die Erzeugung in der</w:t>
      </w:r>
      <w:r>
        <w:t xml:space="preserve"> </w:t>
      </w:r>
      <w:r>
        <w:t xml:space="preserve">Nähe – konkrete Hebel zur Wertsteigerung.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liefert die</w:t>
      </w:r>
      <w:r>
        <w:t xml:space="preserve"> </w:t>
      </w:r>
      <w:r>
        <w:t xml:space="preserve">Einordnung gleich mit (Wärmepumpen-Quote im Landkreis, Treibhausgase je Einwohner; siehe</w:t>
      </w:r>
      <w:r>
        <w:t xml:space="preserve"> </w:t>
      </w:r>
      <w:r>
        <w:t xml:space="preserve">Abschnitt „Regionale Statistiken als Vergleichsmaßstab”), ohne eigene Recherche. Weil</w:t>
      </w:r>
      <w:r>
        <w:t xml:space="preserve"> </w:t>
      </w:r>
      <w:r>
        <w:t xml:space="preserve">diese Zahlen aus</w:t>
      </w:r>
      <w:r>
        <w:t xml:space="preserve"> </w:t>
      </w:r>
      <w:r>
        <w:rPr>
          <w:b/>
          <w:bCs/>
        </w:rPr>
        <w:t xml:space="preserve">amtlichen, offenen Quellen</w:t>
      </w:r>
      <w:r>
        <w:t xml:space="preserve"> </w:t>
      </w:r>
      <w:r>
        <w:t xml:space="preserve">stammen, sind sie unabhängig von Ihren</w:t>
      </w:r>
      <w:r>
        <w:t xml:space="preserve"> </w:t>
      </w:r>
      <w:r>
        <w:t xml:space="preserve">eigenen Angaben überprüfbar – ein stärkeres Argument im Vertrieb. In Vorbereitung ist,</w:t>
      </w:r>
      <w:r>
        <w:t xml:space="preserve"> </w:t>
      </w:r>
      <w:r>
        <w:t xml:space="preserve">die Befehlspalette so zu erweitern, dass sich ein geteilter Bestand gezielt nach Potenzial</w:t>
      </w:r>
      <w:r>
        <w:t xml:space="preserve"> </w:t>
      </w:r>
      <w:r>
        <w:t xml:space="preserve">durchsuchen lässt („Hallen mit hohem ungenutztem PV-Potenzial”).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Neben die privaten Vergleichswerte (Portfolio, Betreiber,</w:t>
      </w:r>
      <w:r>
        <w:t xml:space="preserve"> </w:t>
      </w:r>
      <w:r>
        <w:t xml:space="preserve">Benchmark-Dienstleister) tritt ein</w:t>
      </w:r>
      <w:r>
        <w:t xml:space="preserve"> </w:t>
      </w:r>
      <w:r>
        <w:rPr>
          <w:b/>
          <w:bCs/>
        </w:rPr>
        <w:t xml:space="preserve">öffentlicher</w:t>
      </w:r>
      <w:r>
        <w:t xml:space="preserve"> </w:t>
      </w:r>
      <w:r>
        <w:t xml:space="preserve">Maßstab, den niemand schönrechnen</w:t>
      </w:r>
      <w:r>
        <w:t xml:space="preserve"> </w:t>
      </w:r>
      <w:r>
        <w:t xml:space="preserve">kann. Die</w:t>
      </w:r>
      <w:r>
        <w:t xml:space="preserve"> </w:t>
      </w:r>
      <w:r>
        <w:rPr>
          <w:b/>
          <w:bCs/>
        </w:rPr>
        <w:t xml:space="preserve">amtliche Regionalstatistik</w:t>
      </w:r>
      <w:r>
        <w:t xml:space="preserve"> </w:t>
      </w:r>
      <w:r>
        <w:t xml:space="preserve">stellt den Verbrauch dem Durchschnitt des</w:t>
      </w:r>
      <w:r>
        <w:t xml:space="preserve"> </w:t>
      </w:r>
      <w:r>
        <w:t xml:space="preserve">Bundeslands bzw. der Branche gegenüber, und eine</w:t>
      </w:r>
      <w:r>
        <w:t xml:space="preserve"> </w:t>
      </w:r>
      <w:r>
        <w:rPr>
          <w:b/>
          <w:bCs/>
        </w:rPr>
        <w:t xml:space="preserve">Choropleth-Karte</w:t>
      </w:r>
      <w:r>
        <w:t xml:space="preserve"> </w:t>
      </w:r>
      <w:r>
        <w:t xml:space="preserve">verortet die</w:t>
      </w:r>
      <w:r>
        <w:t xml:space="preserve"> </w:t>
      </w:r>
      <w:r>
        <w:t xml:space="preserve">verglichenen Gebäude in ihren Regionen – so werden unterschiedliche Ausgangslagen (etwa</w:t>
      </w:r>
      <w:r>
        <w:t xml:space="preserve"> </w:t>
      </w:r>
      <w:r>
        <w:t xml:space="preserve">ein grünerer oder schmutzigerer Netzstrom je Kreis) sichtbar (siehe Abschnitt „Regionale</w:t>
      </w:r>
      <w:r>
        <w:t xml:space="preserve"> </w:t>
      </w:r>
      <w:r>
        <w:t xml:space="preserve">Statistiken als Vergleichsmaßstab”). Zusätzlich lassen sich die</w:t>
      </w:r>
      <w:r>
        <w:t xml:space="preserve"> </w:t>
      </w:r>
      <w:r>
        <w:rPr>
          <w:b/>
          <w:bCs/>
        </w:rPr>
        <w:t xml:space="preserve">offen verfügbaren</w:t>
      </w:r>
      <w:r>
        <w:rPr>
          <w:b/>
          <w:bCs/>
        </w:rP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(frei zugängliche LoD2-/MaStR-Objekte auf der Karte) als öffentliche Basislinie</w:t>
      </w:r>
      <w:r>
        <w:t xml:space="preserve"> </w:t>
      </w:r>
      <w:r>
        <w:t xml:space="preserve">heranziehen – ein breiteres Vergleichsfeld, ohne dass jemand mehr teilen muss. In</w:t>
      </w:r>
      <w:r>
        <w:t xml:space="preserve"> </w:t>
      </w:r>
      <w:r>
        <w:t xml:space="preserve">Vorbereitung ist, den amtlichen Wert als eigene Vergleichszeile direkt neben Portfolio-</w:t>
      </w:r>
      <w:r>
        <w:t xml:space="preserve"> </w:t>
      </w:r>
      <w:r>
        <w:t xml:space="preserve">und Betreiber-Durchschnitt zu führen.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1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liegen der Anwendung</w:t>
      </w:r>
      <w:r>
        <w:t xml:space="preserve"> </w:t>
      </w:r>
      <w:r>
        <w:rPr>
          <w:b/>
          <w:bCs/>
        </w:rPr>
        <w:t xml:space="preserve">Beispieldateien</w:t>
      </w:r>
      <w:r>
        <w:t xml:space="preserve"> </w:t>
      </w:r>
      <w:r>
        <w:t xml:space="preserve">bei: Öffnen Sie „Autofill from file” und wählen Sie unter „…or try one of the</w:t>
      </w:r>
      <w:r>
        <w:t xml:space="preserve"> </w:t>
      </w:r>
      <w:r>
        <w:t xml:space="preserve">bundled example files” eine davon aus. Sie werden genauso eingelesen wie eine</w:t>
      </w:r>
      <w:r>
        <w:t xml:space="preserve"> </w:t>
      </w:r>
      <w:r>
        <w:t xml:space="preserve">eigene Excel-Datei – Sie sehen die erkannten Gebäude also vor dem Speichern und</w:t>
      </w:r>
      <w:r>
        <w:t xml:space="preserve"> </w:t>
      </w:r>
      <w:r>
        <w:t xml:space="preserve">bestätigen mit „Add Buildings”. Zur Wahl stehen ein</w:t>
      </w:r>
      <w:r>
        <w:t xml:space="preserve"> </w:t>
      </w:r>
      <w:r>
        <w:rPr>
          <w:b/>
          <w:bCs/>
        </w:rPr>
        <w:t xml:space="preserve">Logistikportfolio</w:t>
      </w:r>
      <w:r>
        <w:rPr>
          <w:b/>
          <w:bCs/>
        </w:rPr>
        <w:t xml:space="preserve"> </w:t>
      </w:r>
      <w:r>
        <w:rPr>
          <w:b/>
          <w:bCs/>
        </w:rPr>
        <w:t xml:space="preserve">Nürnberg</w:t>
      </w:r>
      <w:r>
        <w:t xml:space="preserve"> </w:t>
      </w:r>
      <w:r>
        <w:t xml:space="preserve">(37 reale Logistikgebäude mit Jahreswerten 2022–2024), ein</w:t>
      </w:r>
      <w:r>
        <w:t xml:space="preserve"> </w:t>
      </w:r>
      <w:r>
        <w:rPr>
          <w:b/>
          <w:bCs/>
        </w:rPr>
        <w:t xml:space="preserve">Beispiel-Portfolio</w:t>
      </w:r>
      <w:r>
        <w:t xml:space="preserve"> </w:t>
      </w:r>
      <w:r>
        <w:t xml:space="preserve">aus vier fiktiven Gebäuden im Zeilenbeschriftungs-Format</w:t>
      </w:r>
      <w:r>
        <w:t xml:space="preserve"> </w:t>
      </w:r>
      <w:r>
        <w:t xml:space="preserve">(ohne Koordinaten – die Anwendung ermittelt sie beim Import) und ein</w:t>
      </w:r>
      <w:r>
        <w:t xml:space="preserve"> </w:t>
      </w:r>
      <w:r>
        <w:rPr>
          <w:b/>
          <w:bCs/>
        </w:rPr>
        <w:t xml:space="preserve">15-Minuten-Lastgang</w:t>
      </w:r>
      <w:r>
        <w:t xml:space="preserve">. Die Abbildungen in diesem Handbuch zeigen genau diese</w:t>
      </w:r>
      <w:r>
        <w:t xml:space="preserve"> </w:t>
      </w:r>
      <w:r>
        <w:t xml:space="preserve">Beispielgebäude.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ist sie noch leer – der Einstieg beginnt mit dem Anlegen oder Einles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ist sie noch leer – der Einstieg beginnt mit dem Anlegen oder Einlesen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Die App kennt überhaupt keine Rollen mehr – wer Sie sind,</w:t>
      </w:r>
      <w:r>
        <w:t xml:space="preserve"> </w:t>
      </w:r>
      <w:r>
        <w:t xml:space="preserve">sagt Ihre WebID.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9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(„Data source”)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76"/>
    <w:bookmarkStart w:id="77" w:name="X281f121eaba919283ac5d8908b9b09fc550d04f"/>
    <w:p>
      <w:pPr>
        <w:pStyle w:val="Heading3"/>
      </w:pPr>
      <w:r>
        <w:t xml:space="preserve">Wer mit einem Gebäude verbunden ist: Akteure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einrichten”) eindeutig benannt sind. Ein Gebäude verweist auf solche Akteure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„Data source”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Akteure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Akteure,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Akteure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Akteur: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festlegen”)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„Eigentümer”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Akteur</w:t>
      </w:r>
      <w:r>
        <w:t xml:space="preserve"> </w:t>
      </w:r>
      <w:r>
        <w:t xml:space="preserve">– keine feste Eigenschaft des Akteurs.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nicht.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77"/>
    <w:bookmarkStart w:id="78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Akteure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aktualisieren”).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78"/>
    <w:bookmarkEnd w:id="79"/>
    <w:bookmarkStart w:id="83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auch die mitgelieferten Beispieldateien, die „Autofill from file”</w:t>
      </w:r>
      <w:r>
        <w:t xml:space="preserve"> </w:t>
      </w:r>
      <w:r>
        <w:t xml:space="preserve">direkt zum Ausprobieren anbietet.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81" name="Picture"/>
            <a:graphic>
              <a:graphicData uri="http://schemas.openxmlformats.org/drawingml/2006/picture">
                <pic:pic>
                  <pic:nvPicPr>
                    <pic:cNvPr descr="figures/add-build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3"/>
    <w:bookmarkStart w:id="87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ktionen je Gebäude im Tab „Manage”: bearbeiten, Dateien, Energiejahr, teilen, herunterladen, löschen" title="" id="85" name="Picture"/>
            <a:graphic>
              <a:graphicData uri="http://schemas.openxmlformats.org/drawingml/2006/picture">
                <pic:pic>
                  <pic:nvPicPr>
                    <pic:cNvPr descr="figures/manage-action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7"/>
    <w:bookmarkStart w:id="91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9" name="Picture"/>
            <a:graphic>
              <a:graphicData uri="http://schemas.openxmlformats.org/drawingml/2006/picture">
                <pic:pic>
                  <pic:nvPicPr>
                    <pic:cNvPr descr="figures/energy-yea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91"/>
    <w:bookmarkStart w:id="102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(etwa</w:t>
      </w:r>
      <w:r>
        <w:t xml:space="preserve"> </w:t>
      </w:r>
      <w:r>
        <w:t xml:space="preserve">wenn Sie zum importierten Lastgang-Beispiel noch Jahreswerte erfassen).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Tab „Gebäude“ mit Reitern" title="" id="93" name="Picture"/>
            <a:graphic>
              <a:graphicData uri="http://schemas.openxmlformats.org/drawingml/2006/picture">
                <pic:pic>
                  <pic:nvPicPr>
                    <pic:cNvPr descr="figures/map-tab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Tab „Gebäude“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6" name="Picture"/>
            <a:graphic>
              <a:graphicData uri="http://schemas.openxmlformats.org/drawingml/2006/picture">
                <pic:pic>
                  <pic:nvPicPr>
                    <pic:cNvPr descr="figures/energy-data-ta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101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9" name="Picture"/>
            <a:graphic>
              <a:graphicData uri="http://schemas.openxmlformats.org/drawingml/2006/picture">
                <pic:pic>
                  <pic:nvPicPr>
                    <pic:cNvPr descr="figures/energy-detail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101"/>
    <w:bookmarkEnd w:id="102"/>
    <w:bookmarkStart w:id="106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„Vertriebsunterstützung”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Beobachtungen”: die Karte mit aktiver Energie-Linse – die Marker sind nach Energieintensität eingefärbt, die Legende zeigt die Kategorien" title="" id="104" name="Picture"/>
            <a:graphic>
              <a:graphicData uri="http://schemas.openxmlformats.org/drawingml/2006/picture">
                <pic:pic>
                  <pic:nvPicPr>
                    <pic:cNvPr descr="figures/energy-le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„Beobachtungen”: die Karte mit aktiver Energie-Linse – die Marker sind nach Energieintensität eingefärbt, die Legende zeigt die Kategorien</w:t>
      </w:r>
    </w:p>
    <w:bookmarkEnd w:id="106"/>
    <w:bookmarkStart w:id="110" w:name="Xef6a279b9530bf340c8855c6358ef17f03b22fb"/>
    <w:p>
      <w:pPr>
        <w:pStyle w:val="Heading2"/>
      </w:pPr>
      <w:r>
        <w:t xml:space="preserve">Die Entwicklung über die Jahre lesen (Ansicht „Im Zeitverlauf”)</w:t>
      </w:r>
    </w:p>
    <w:p>
      <w:pPr>
        <w:pStyle w:val="FirstParagraph"/>
      </w:pPr>
      <w:r>
        <w:t xml:space="preserve">Die Karte zeigt den gesamten Bestand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Jahr. Die Ansicht</w:t>
      </w:r>
      <w:r>
        <w:t xml:space="preserve"> </w:t>
      </w:r>
      <w:r>
        <w:rPr>
          <w:b/>
          <w:bCs/>
        </w:rPr>
        <w:t xml:space="preserve">Im</w:t>
      </w:r>
      <w:r>
        <w:rPr>
          <w:b/>
          <w:bCs/>
        </w:rPr>
        <w:t xml:space="preserve"> </w:t>
      </w:r>
      <w:r>
        <w:rPr>
          <w:b/>
          <w:bCs/>
        </w:rPr>
        <w:t xml:space="preserve">Zeitverlauf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dreht dieselben Daten um 90 Grad: Zeilen</w:t>
      </w:r>
      <w:r>
        <w:t xml:space="preserve"> </w:t>
      </w:r>
      <w:r>
        <w:t xml:space="preserve">sind die Gebäude, Spalten die erfassten Jahre, und jede Zelle steht für ein</w:t>
      </w:r>
      <w:r>
        <w:t xml:space="preserve"> </w:t>
      </w:r>
      <w:r>
        <w:t xml:space="preserve">Gebäude in einem Jahr. Eine abschließende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fasst die Richtung</w:t>
      </w:r>
      <w:r>
        <w:t xml:space="preserve"> </w:t>
      </w:r>
      <w:r>
        <w:t xml:space="preserve">zusammen. So lesen Sie die gesamte zeitliche Entwicklung Ihres Portfolios auf</w:t>
      </w:r>
      <w:r>
        <w:t xml:space="preserve"> </w:t>
      </w:r>
      <w:r>
        <w:t xml:space="preserve">einmal. Ein Klick auf eine Zelle führt zur Energie-Detailseite des Gebäudes.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Zellfarbe</w:t>
      </w:r>
      <w:r>
        <w:t xml:space="preserve"> </w:t>
      </w:r>
      <w:r>
        <w:t xml:space="preserve">benutzt dieselben Kategorien wie die Energie-Linse („More</w:t>
      </w:r>
      <w:r>
        <w:t xml:space="preserve"> </w:t>
      </w:r>
      <w:r>
        <w:t xml:space="preserve">efficient”, „Typical”, „Less efficient”), berechnet sie aber</w:t>
      </w:r>
      <w:r>
        <w:t xml:space="preserve"> </w:t>
      </w:r>
      <w:r>
        <w:rPr>
          <w:b/>
          <w:bCs/>
        </w:rPr>
        <w:t xml:space="preserve">je Spalte neu</w:t>
      </w:r>
      <w:r>
        <w:t xml:space="preserve">:</w:t>
      </w:r>
      <w:r>
        <w:t xml:space="preserve"> </w:t>
      </w:r>
      <w:r>
        <w:t xml:space="preserve">Ein Gebäude wird gegen die</w:t>
      </w:r>
      <w:r>
        <w:t xml:space="preserve"> </w:t>
      </w:r>
      <w:r>
        <w:rPr>
          <w:b/>
          <w:bCs/>
        </w:rPr>
        <w:t xml:space="preserve">im selben Jahr angezeigten</w:t>
      </w:r>
      <w:r>
        <w:t xml:space="preserve"> </w:t>
      </w:r>
      <w:r>
        <w:t xml:space="preserve">Gebäude eingeordnet.</w:t>
      </w:r>
      <w:r>
        <w:t xml:space="preserve"> </w:t>
      </w:r>
      <w:r>
        <w:t xml:space="preserve">Maßgeblich ist wie auf der Karte die</w:t>
      </w:r>
      <w:r>
        <w:t xml:space="preserve"> </w:t>
      </w:r>
      <w:r>
        <w:rPr>
          <w:b/>
          <w:bCs/>
        </w:rPr>
        <w:t xml:space="preserve">Intensität</w:t>
      </w:r>
      <w:r>
        <w:t xml:space="preserve"> </w:t>
      </w:r>
      <w:r>
        <w:t xml:space="preserve">(kWh/m²/a bzw. m³/m²/a),</w:t>
      </w:r>
      <w:r>
        <w:t xml:space="preserve"> </w:t>
      </w:r>
      <w:r>
        <w:t xml:space="preserve">nicht der absolute Verbrauch. Daraus folgt eine Eigenschaft, die man kennen</w:t>
      </w:r>
      <w:r>
        <w:t xml:space="preserve"> </w:t>
      </w:r>
      <w:r>
        <w:t xml:space="preserve">muss:</w:t>
      </w:r>
      <w:r>
        <w:t xml:space="preserve"> </w:t>
      </w:r>
      <w:r>
        <w:rPr>
          <w:b/>
          <w:bCs/>
        </w:rPr>
        <w:t xml:space="preserve">Suchen oder Filtern verschiebt den Vergleichsmaßstab</w:t>
      </w:r>
      <w:r>
        <w:t xml:space="preserve"> </w:t>
      </w:r>
      <w:r>
        <w:t xml:space="preserve">und damit die</w:t>
      </w:r>
      <w:r>
        <w:t xml:space="preserve"> </w:t>
      </w:r>
      <w:r>
        <w:t xml:space="preserve">Farben. Eine Farbe ist eine Aussage über die Nachbarschaft in genau diesem Jahr,</w:t>
      </w:r>
      <w:r>
        <w:t xml:space="preserve"> </w:t>
      </w:r>
      <w:r>
        <w:t xml:space="preserve">kein absolutes Gütesiegel. Fehlt ein Jahreswert oder die Fläche, bleibt die</w:t>
      </w:r>
      <w:r>
        <w:t xml:space="preserve"> </w:t>
      </w:r>
      <w:r>
        <w:t xml:space="preserve">Zelle als gestrichelte Lücke stehen – ein Loch bleibt ein Loch und wird nicht</w:t>
      </w:r>
      <w:r>
        <w:t xml:space="preserve"> </w:t>
      </w:r>
      <w:r>
        <w:t xml:space="preserve">als Null dargestellt.</w:t>
      </w:r>
    </w:p>
    <w:p>
      <w:pPr>
        <w:pStyle w:val="BodyText"/>
      </w:pPr>
      <w:r>
        <w:t xml:space="preserve">Wählen Sie als Kennzahl die</w:t>
      </w:r>
      <w:r>
        <w:t xml:space="preserve"> </w:t>
      </w:r>
      <w:r>
        <w:rPr>
          <w:b/>
          <w:bCs/>
        </w:rPr>
        <w:t xml:space="preserve">Stromerzeugung</w:t>
      </w:r>
      <w:r>
        <w:t xml:space="preserve">, wechselt die Skala auf eine</w:t>
      </w:r>
      <w:r>
        <w:t xml:space="preserve"> </w:t>
      </w:r>
      <w:r>
        <w:rPr>
          <w:b/>
          <w:bCs/>
        </w:rPr>
        <w:t xml:space="preserve">neutrale</w:t>
      </w:r>
      <w:r>
        <w:t xml:space="preserve"> </w:t>
      </w:r>
      <w:r>
        <w:t xml:space="preserve">Rampe („Niedriger”, „Mittel”, „Höher”). Mehr Ertrag aus einer</w:t>
      </w:r>
      <w:r>
        <w:t xml:space="preserve"> </w:t>
      </w:r>
      <w:r>
        <w:t xml:space="preserve">PV-Anlage ist nicht „ineffizient”; eine Effizienznote wäre hier sinnlos.</w:t>
      </w:r>
    </w:p>
    <w:p>
      <w:pPr>
        <w:pStyle w:val="BodyText"/>
      </w:pPr>
      <w:r>
        <w:t xml:space="preserve">Die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vergleicht jedes Gebäude dagegen</w:t>
      </w:r>
      <w:r>
        <w:t xml:space="preserve"> </w:t>
      </w:r>
      <w:r>
        <w:rPr>
          <w:b/>
          <w:bCs/>
        </w:rPr>
        <w:t xml:space="preserve">mit sich selbst</w:t>
      </w:r>
      <w:r>
        <w:t xml:space="preserve">:</w:t>
      </w:r>
      <w:r>
        <w:t xml:space="preserve"> </w:t>
      </w:r>
      <w:r>
        <w:t xml:space="preserve">herangezogen werden die beiden</w:t>
      </w:r>
      <w:r>
        <w:t xml:space="preserve"> </w:t>
      </w:r>
      <w:r>
        <w:rPr>
          <w:b/>
          <w:bCs/>
        </w:rPr>
        <w:t xml:space="preserve">jüngsten vergleichbaren Jahre</w:t>
      </w:r>
      <w:r>
        <w:t xml:space="preserve">. Jahre ohne</w:t>
      </w:r>
      <w:r>
        <w:t xml:space="preserve"> </w:t>
      </w:r>
      <w:r>
        <w:t xml:space="preserve">auswertbaren Wert werden dabei übersprungen – es sind also nicht zwingend die</w:t>
      </w:r>
      <w:r>
        <w:t xml:space="preserve"> </w:t>
      </w:r>
      <w:r>
        <w:t xml:space="preserve">beiden letzten Kalenderjahre. Eine Veränderung von</w:t>
      </w:r>
      <w:r>
        <w:t xml:space="preserve"> </w:t>
      </w:r>
      <w:r>
        <w:rPr>
          <w:b/>
          <w:bCs/>
        </w:rPr>
        <w:t xml:space="preserve">höchstens ±5 %</w:t>
      </w:r>
      <w:r>
        <w:t xml:space="preserve"> </w:t>
      </w:r>
      <w:r>
        <w:t xml:space="preserve">gilt als</w:t>
      </w:r>
      <w:r>
        <w:t xml:space="preserve"> </w:t>
      </w:r>
      <w:r>
        <w:t xml:space="preserve">„Kaum Veränderung”, damit Ablese- und Rundungsrauschen nicht als Trend</w:t>
      </w:r>
      <w:r>
        <w:t xml:space="preserve"> </w:t>
      </w:r>
      <w:r>
        <w:t xml:space="preserve">erscheint. Eine sinkende Intensität bedeutet „Verbessert sich”; bei der</w:t>
      </w:r>
      <w:r>
        <w:t xml:space="preserve"> </w:t>
      </w:r>
      <w:r>
        <w:t xml:space="preserve">Erzeugung ist es umgekehrt, dort ist mehr Ertrag die Verbesserung. Liegen</w:t>
      </w:r>
      <w:r>
        <w:t xml:space="preserve"> </w:t>
      </w:r>
      <w:r>
        <w:t xml:space="preserve">weniger als zwei vergleichbare Jahre vor, steht dort „Noch kein Trend”. Weil der</w:t>
      </w:r>
      <w:r>
        <w:t xml:space="preserve"> </w:t>
      </w:r>
      <w:r>
        <w:t xml:space="preserve">Trend selbstbezogen ist,</w:t>
      </w:r>
      <w:r>
        <w:t xml:space="preserve"> </w:t>
      </w:r>
      <w:r>
        <w:rPr>
          <w:b/>
          <w:bCs/>
        </w:rPr>
        <w:t xml:space="preserve">ändert er sich beim Filtern nicht</w:t>
      </w:r>
      <w:r>
        <w:t xml:space="preserve"> </w:t>
      </w:r>
      <w:r>
        <w:t xml:space="preserve">– anders als die</w:t>
      </w:r>
      <w:r>
        <w:t xml:space="preserve"> </w:t>
      </w:r>
      <w:r>
        <w:t xml:space="preserve">Zellfarbe. Welche beiden Jahre verglichen wurden und wie groß die Veränderung</w:t>
      </w:r>
      <w:r>
        <w:t xml:space="preserve"> </w:t>
      </w:r>
      <w:r>
        <w:t xml:space="preserve">tatsächlich ausfiel, nennt der Tooltip auf dem Trend-Punkt.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Zellwert und Zellfarbe stammen aus denselben Bausteinen wie die Karte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energyTimeCut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energyMatrix</w:t>
      </w:r>
      <w:r>
        <w:t xml:space="preserve">); Karte und Heatmap färben ein Paar aus</w:t>
      </w:r>
      <w:r>
        <w:t xml:space="preserve"> </w:t>
      </w:r>
      <w:r>
        <w:t xml:space="preserve">Gebäude und Jahr daher identisch ein. Die Terzil-Grenzen werden</w:t>
      </w:r>
      <w:r>
        <w:t xml:space="preserve"> </w:t>
      </w:r>
      <w:r>
        <w:rPr>
          <w:b/>
          <w:bCs/>
        </w:rPr>
        <w:t xml:space="preserve">je</w:t>
      </w:r>
      <w:r>
        <w:rPr>
          <w:b/>
          <w:bCs/>
        </w:rPr>
        <w:t xml:space="preserve"> </w:t>
      </w:r>
      <w:r>
        <w:rPr>
          <w:b/>
          <w:bCs/>
        </w:rPr>
        <w:t xml:space="preserve">Jahresspalte</w:t>
      </w:r>
      <w:r>
        <w:t xml:space="preserve"> </w:t>
      </w:r>
      <w:r>
        <w:t xml:space="preserve">über die gerade sichtbare Menge berechnet. Der Trend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energyTrend</w:t>
      </w:r>
      <w:r>
        <w:t xml:space="preserve">) ist die relative Änderung der Intensität zwischen den beiden</w:t>
      </w:r>
      <w:r>
        <w:t xml:space="preserve"> </w:t>
      </w:r>
      <w:r>
        <w:t xml:space="preserve">jüngsten vergleichbaren Jahren; das Flachband beträgt ±5 %</w:t>
      </w:r>
      <w:r>
        <w:t xml:space="preserve"> </w:t>
      </w:r>
      <w:r>
        <w:t xml:space="preserve">(</w:t>
      </w:r>
      <w:r>
        <w:rPr>
          <w:rStyle w:val="VerbatimChar"/>
        </w:rPr>
        <w:t xml:space="preserve">TREND_FLAT_BAND</w:t>
      </w:r>
      <w:r>
        <w:t xml:space="preserve">). Beide Berechnungen sind ohne Karte und ohne Oberfläche</w:t>
      </w:r>
      <w:r>
        <w:t xml:space="preserve"> </w:t>
      </w:r>
      <w:r>
        <w:t xml:space="preserve">unit-getestet.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sicht „Im Zeitverlauf”: Gebäude (Zeilen) über die erfassten Jahre (Spalten), mit der Trend-Spalte und der Legende zu beiden Farbsystemen" title="" id="108" name="Picture"/>
            <a:graphic>
              <a:graphicData uri="http://schemas.openxmlformats.org/drawingml/2006/picture">
                <pic:pic>
                  <pic:nvPicPr>
                    <pic:cNvPr descr="figures/overtime-heatma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Ansicht „Im Zeitverlauf”: Gebäude (Zeilen) über die erfassten Jahre (Spalten), mit der Trend-Spalte und der Legende zu beiden Farbsystemen</w:t>
      </w:r>
    </w:p>
    <w:bookmarkEnd w:id="110"/>
    <w:bookmarkStart w:id="114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(„Regionalstatistik”/GENESIS,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Detailseite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Aggregations-Übersicht öffnen.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tailseite eines Gebäudes: regionale Statistik als Vergleichsmaßstab – die Kennzahlen der Region neben den eigenen Werten, wahlweise als Tabelle oder als eingefärbte Regionenkarte" title="" id="112" name="Picture"/>
            <a:graphic>
              <a:graphicData uri="http://schemas.openxmlformats.org/drawingml/2006/picture">
                <pic:pic>
                  <pic:nvPicPr>
                    <pic:cNvPr descr="figures/regional-contex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Detailseite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14"/>
    <w:bookmarkEnd w:id="115"/>
    <w:bookmarkStart w:id="14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2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Benchmarks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17" name="Picture"/>
            <a:graphic>
              <a:graphicData uri="http://schemas.openxmlformats.org/drawingml/2006/picture">
                <pic:pic>
                  <pic:nvPicPr>
                    <pic:cNvPr descr="figures/sharing-vergleich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1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19"/>
    <w:bookmarkStart w:id="12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20"/>
    <w:bookmarkStart w:id="121" w:name="datenzimmer-als-webid-verzeichnis"/>
    <w:p>
      <w:pPr>
        <w:pStyle w:val="Heading3"/>
      </w:pPr>
      <w:r>
        <w:t xml:space="preserve">Datenzimmer als WebID-Verzeichnis</w:t>
      </w:r>
    </w:p>
    <w:p>
      <w:pPr>
        <w:pStyle w:val="FirstParagraph"/>
      </w:pPr>
      <w:r>
        <w:t xml:space="preserve">Eine Freigabe geht immer an eine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also an eine bestimmte Person oder</w:t>
      </w:r>
      <w:r>
        <w:t xml:space="preserve"> </w:t>
      </w:r>
      <w:r>
        <w:t xml:space="preserve">Organisation. Damit stellt sich in der Praxis zuerst eine ganz andere Frage:</w:t>
      </w:r>
      <w:r>
        <w:t xml:space="preserve"> </w:t>
      </w:r>
      <w:r>
        <w:rPr>
          <w:i/>
          <w:iCs/>
        </w:rPr>
        <w:t xml:space="preserve">Mit</w:t>
      </w:r>
      <w:r>
        <w:rPr>
          <w:i/>
          <w:iCs/>
        </w:rPr>
        <w:t xml:space="preserve"> </w:t>
      </w:r>
      <w:r>
        <w:rPr>
          <w:i/>
          <w:iCs/>
        </w:rPr>
        <w:t xml:space="preserve">wem eigentlich, und wie lautet deren WebID?</w:t>
      </w:r>
      <w:r>
        <w:t xml:space="preserve"> </w:t>
      </w:r>
      <w:r>
        <w:t xml:space="preserve">Genau dafür gibt es</w:t>
      </w:r>
      <w:r>
        <w:t xml:space="preserve"> </w:t>
      </w:r>
      <w:r>
        <w:rPr>
          <w:b/>
          <w:bCs/>
        </w:rPr>
        <w:t xml:space="preserve">Datenzimmer</w:t>
      </w:r>
      <w:r>
        <w:t xml:space="preserve">.</w:t>
      </w:r>
    </w:p>
    <w:p>
      <w:pPr>
        <w:pStyle w:val="BodyText"/>
      </w:pPr>
      <w:r>
        <w:t xml:space="preserve">Ein Datenzimmer ist ein gemeinsamer Raum, dem Partner über einen Einladungslink</w:t>
      </w:r>
      <w:r>
        <w:t xml:space="preserve"> </w:t>
      </w:r>
      <w:r>
        <w:t xml:space="preserve">beitreten, und es zeigt schlicht,</w:t>
      </w:r>
      <w:r>
        <w:t xml:space="preserve"> </w:t>
      </w:r>
      <w:r>
        <w:rPr>
          <w:b/>
          <w:bCs/>
        </w:rPr>
        <w:t xml:space="preserve">wer darin ist</w:t>
      </w:r>
      <w:r>
        <w:t xml:space="preserve">: Name und zugehörige WebID</w:t>
      </w:r>
      <w:r>
        <w:t xml:space="preserve"> </w:t>
      </w:r>
      <w:r>
        <w:t xml:space="preserve">jedes Mitglieds. Aus dieser Liste übernehmen Sie die WebID (ein Klick auf „WebID</w:t>
      </w:r>
      <w:r>
        <w:t xml:space="preserve"> </w:t>
      </w:r>
      <w:r>
        <w:t xml:space="preserve">kopieren”); beim Teilen schlägt Ihnen das Empfängerfeld die Mitglieder Ihrer</w:t>
      </w:r>
      <w:r>
        <w:t xml:space="preserve"> </w:t>
      </w:r>
      <w:r>
        <w:t xml:space="preserve">Datenzimmer ohnehin direkt zur Auswahl vor.</w:t>
      </w:r>
    </w:p>
    <w:p>
      <w:pPr>
        <w:pStyle w:val="BodyText"/>
      </w:pPr>
      <w:r>
        <w:t xml:space="preserve">Wichtig:</w:t>
      </w:r>
      <w:r>
        <w:t xml:space="preserve"> </w:t>
      </w:r>
      <w:r>
        <w:rPr>
          <w:b/>
          <w:bCs/>
        </w:rPr>
        <w:t xml:space="preserve">Ein Datenzimmer vergibt selbst keine Berechtigungen.</w:t>
      </w:r>
      <w:r>
        <w:t xml:space="preserve"> </w:t>
      </w:r>
      <w:r>
        <w:t xml:space="preserve">Wer in einem</w:t>
      </w:r>
      <w:r>
        <w:t xml:space="preserve"> </w:t>
      </w:r>
      <w:r>
        <w:t xml:space="preserve">Datenzimmer ist, sieht dadurch keine Daten – er ist auffindbar, mehr nicht. Jede</w:t>
      </w:r>
      <w:r>
        <w:t xml:space="preserve"> </w:t>
      </w:r>
      <w:r>
        <w:t xml:space="preserve">Freigabe geht an die WebID eines Mitglieds und bleibt eine einzelne, jederzeit</w:t>
      </w:r>
      <w:r>
        <w:t xml:space="preserve"> </w:t>
      </w:r>
      <w:r>
        <w:t xml:space="preserve">widerrufbare Entscheidung für eine bestimmte WebID und ein bestimmtes Gebäude.</w:t>
      </w:r>
    </w:p>
    <w:bookmarkEnd w:id="121"/>
    <w:bookmarkEnd w:id="122"/>
    <w:bookmarkStart w:id="147" w:name="vorgehensweise-beim-datenteilen"/>
    <w:p>
      <w:pPr>
        <w:pStyle w:val="Heading2"/>
      </w:pPr>
      <w:r>
        <w:t xml:space="preserve">Vorgehensweise beim Datenteilen</w:t>
      </w:r>
    </w:p>
    <w:bookmarkStart w:id="126" w:name="ein-datenzimmer-eröffnen-und-beitreten"/>
    <w:p>
      <w:pPr>
        <w:pStyle w:val="Heading3"/>
      </w:pPr>
      <w:r>
        <w:t xml:space="preserve">Ein Datenzimmer eröffnen und beitreten</w:t>
      </w:r>
    </w:p>
    <w:p>
      <w:pPr>
        <w:pStyle w:val="FirstParagraph"/>
      </w:pPr>
      <w:r>
        <w:t xml:space="preserve">Der Ablauf in vier Schritten, am Beispiel von A (Alice Ahlmann) und ihrem Partner</w:t>
      </w:r>
      <w:r>
        <w:t xml:space="preserve"> </w:t>
      </w:r>
      <w:r>
        <w:t xml:space="preserve">B (Bob Bauer):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Datenzimmer eröffnen:</w:t>
      </w:r>
      <w:r>
        <w:t xml:space="preserve"> </w:t>
      </w:r>
      <w:r>
        <w:t xml:space="preserve">A wechselt in den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„Datenzimmer hosten”</w:t>
      </w:r>
      <w:r>
        <w:t xml:space="preserve">. Die App legt das Datenzimmer auf A’s Pod an und</w:t>
      </w:r>
      <w:r>
        <w:t xml:space="preserve"> </w:t>
      </w:r>
      <w:r>
        <w:t xml:space="preserve">öffnet seine Seite.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Einladen: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„Einladung”</w:t>
      </w:r>
      <w:r>
        <w:t xml:space="preserve"> </w:t>
      </w:r>
      <w:r>
        <w:t xml:space="preserve">stehen Einladungslink und QR-Code.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„Einladungslink kopieren”</w:t>
      </w:r>
      <w:r>
        <w:t xml:space="preserve"> </w:t>
      </w:r>
      <w:r>
        <w:t xml:space="preserve">übernimmt A den Link und gibt ihn an B weiter</w:t>
      </w:r>
      <w:r>
        <w:t xml:space="preserve"> </w:t>
      </w:r>
      <w:r>
        <w:t xml:space="preserve">– wie eine Einladung per E-Mail.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B fügt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den Link in das Feld</w:t>
      </w:r>
      <w:r>
        <w:t xml:space="preserve"> </w:t>
      </w:r>
      <w:r>
        <w:rPr>
          <w:b/>
          <w:bCs/>
        </w:rPr>
        <w:t xml:space="preserve">„Datenzimmer-URI”</w:t>
      </w:r>
      <w:r>
        <w:t xml:space="preserve"> </w:t>
      </w:r>
      <w:r>
        <w:t xml:space="preserve">ein und klickt</w:t>
      </w:r>
      <w:r>
        <w:t xml:space="preserve"> </w:t>
      </w:r>
      <w:r>
        <w:rPr>
          <w:b/>
          <w:bCs/>
        </w:rPr>
        <w:t xml:space="preserve">„Hinzufügen”</w:t>
      </w:r>
      <w:r>
        <w:t xml:space="preserve"> </w:t>
      </w:r>
      <w:r>
        <w:t xml:space="preserve">– alternativ über</w:t>
      </w:r>
      <w:r>
        <w:t xml:space="preserve"> </w:t>
      </w:r>
      <w:r>
        <w:rPr>
          <w:b/>
          <w:bCs/>
        </w:rPr>
        <w:t xml:space="preserve">„QR-Code scannen”</w:t>
      </w:r>
      <w:r>
        <w:t xml:space="preserve">. Verweigert der Browser den Kamerazugriff, erscheint ein</w:t>
      </w:r>
      <w:r>
        <w:t xml:space="preserve"> </w:t>
      </w:r>
      <w:r>
        <w:t xml:space="preserve">verständlicher Hinweis. Auf der Seite des Datenzimmers listet der Abschnitt</w:t>
      </w:r>
      <w:r>
        <w:t xml:space="preserve"> </w:t>
      </w:r>
      <w:r>
        <w:rPr>
          <w:b/>
          <w:bCs/>
        </w:rPr>
        <w:t xml:space="preserve">„Mitglieder”</w:t>
      </w:r>
      <w:r>
        <w:t xml:space="preserve"> </w:t>
      </w:r>
      <w:r>
        <w:t xml:space="preserve">nun alle Mitglieder mit Namen und WebID – genau die</w:t>
      </w:r>
      <w:r>
        <w:t xml:space="preserve"> </w:t>
      </w:r>
      <w:r>
        <w:t xml:space="preserve">Adressen, an die andere Daten freigeben.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Teilen über das Datenzimmer:</w:t>
      </w:r>
      <w:r>
        <w:t xml:space="preserve"> </w:t>
      </w:r>
      <w:r>
        <w:t xml:space="preserve">Öffnet A beim Teilen eines Gebäudes (siehe</w:t>
      </w:r>
      <w:r>
        <w:t xml:space="preserve"> </w:t>
      </w:r>
      <w:r>
        <w:t xml:space="preserve">„Ein Gebäude teilen”) das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steht B dort mit</w:t>
      </w:r>
      <w:r>
        <w:t xml:space="preserve"> </w:t>
      </w:r>
      <w:r>
        <w:t xml:space="preserve">Namen zur Auswahl, weil beide im selben Datenzimmer sind. Freigegeben wird an</w:t>
      </w:r>
      <w:r>
        <w:t xml:space="preserve"> </w:t>
      </w:r>
      <w:r>
        <w:t xml:space="preserve">B’s WebID; B findet das Gebäude anschließend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eite eines Datenzimmers: Einladung per Link und QR-Code und die Mitgliederliste mit Namen und WebIDs" title="" id="124" name="Picture"/>
            <a:graphic>
              <a:graphicData uri="http://schemas.openxmlformats.org/drawingml/2006/picture">
                <pic:pic>
                  <pic:nvPicPr>
                    <pic:cNvPr descr="figures/room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Seite eines Datenzimmers: Einladung per Link und QR-Code und die Mitgliederliste mit Namen und WebIDs</w:t>
      </w:r>
    </w:p>
    <w:bookmarkEnd w:id="126"/>
    <w:bookmarkStart w:id="130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28" name="Picture"/>
            <a:graphic>
              <a:graphicData uri="http://schemas.openxmlformats.org/drawingml/2006/picture">
                <pic:pic>
                  <pic:nvPicPr>
                    <pic:cNvPr descr="figures/contact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30"/>
    <w:bookmarkStart w:id="13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1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1"/>
        </w:numPr>
      </w:pPr>
      <w:r>
        <w:t xml:space="preserve">Wählen Sie, an wen geteilt wird: eine oder mehrere</w:t>
      </w:r>
      <w:r>
        <w:t xml:space="preserve"> </w:t>
      </w:r>
      <w:r>
        <w:rPr>
          <w:b/>
          <w:bCs/>
        </w:rPr>
        <w:t xml:space="preserve">WebIDs</w:t>
      </w:r>
      <w:r>
        <w:t xml:space="preserve">. Das Feld</w:t>
      </w:r>
      <w:r>
        <w:t xml:space="preserve"> </w:t>
      </w:r>
      <w:r>
        <w:t xml:space="preserve">schlägt Ihre Kontakte und die Mitglieder Ihrer Datenzimmer vor; eine unbekannte</w:t>
      </w:r>
      <w:r>
        <w:t xml:space="preserve"> </w:t>
      </w:r>
      <w:r>
        <w:t xml:space="preserve">WebID tippen Sie ein und bestätigen mit Enter.</w:t>
      </w:r>
    </w:p>
    <w:p>
      <w:pPr>
        <w:pStyle w:val="Compact"/>
        <w:numPr>
          <w:ilvl w:val="0"/>
          <w:numId w:val="1021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32" name="Picture"/>
            <a:graphic>
              <a:graphicData uri="http://schemas.openxmlformats.org/drawingml/2006/picture">
                <pic:pic>
                  <pic:nvPicPr>
                    <pic:cNvPr descr="figures/share-building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34"/>
    <w:bookmarkStart w:id="14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2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2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2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2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2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36" name="Picture"/>
            <a:graphic>
              <a:graphicData uri="http://schemas.openxmlformats.org/drawingml/2006/picture">
                <pic:pic>
                  <pic:nvPicPr>
                    <pic:cNvPr descr="figures/create-view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39" name="Picture"/>
            <a:graphic>
              <a:graphicData uri="http://schemas.openxmlformats.org/drawingml/2006/picture">
                <pic:pic>
                  <pic:nvPicPr>
                    <pic:cNvPr descr="figures/aggregated-view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41"/>
    <w:bookmarkStart w:id="14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43" name="Picture"/>
            <a:graphic>
              <a:graphicData uri="http://schemas.openxmlformats.org/drawingml/2006/picture">
                <pic:pic>
                  <pic:nvPicPr>
                    <pic:cNvPr descr="figures/shared-with-you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45"/>
    <w:bookmarkStart w:id="14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46"/>
    <w:bookmarkEnd w:id="147"/>
    <w:bookmarkEnd w:id="148"/>
    <w:bookmarkStart w:id="17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vorgestellt. Als</w:t>
      </w:r>
      <w:r>
        <w:t xml:space="preserve"> </w:t>
      </w:r>
      <w:r>
        <w:t xml:space="preserve">Gebäude dient jeweils A’s Logistikhalle „Thomas-Dachser-Str.” aus den</w:t>
      </w:r>
      <w:r>
        <w:t xml:space="preserve"> </w:t>
      </w:r>
      <w:r>
        <w:t xml:space="preserve">Beispieldaten.</w:t>
      </w:r>
    </w:p>
    <w:bookmarkStart w:id="15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Bestandshalterin und Betreiberin ihrer</w:t>
      </w:r>
      <w:r>
        <w:t xml:space="preserve"> </w:t>
      </w:r>
      <w:r>
        <w:t xml:space="preserve">Hallen. Sie hat sich Einsparungen vorgenommen und möchte prüfen, ob der Betrieb</w:t>
      </w:r>
      <w:r>
        <w:t xml:space="preserve"> </w:t>
      </w:r>
      <w:r>
        <w:t xml:space="preserve">sie auch liefert. Alles spielt sich auf A’s eigenem Pod ab – geteilt wird nichts.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Zuerst das Ist: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ihre</w:t>
      </w:r>
      <w:r>
        <w:t xml:space="preserve"> </w:t>
      </w:r>
      <w:r>
        <w:t xml:space="preserve">Halle und wechselt auf deren Energie-Detailseite. Dort klickt sie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; der Jahres-Editor öffnet sich direkt auf der</w:t>
      </w:r>
      <w:r>
        <w:t xml:space="preserve"> </w:t>
      </w:r>
      <w:r>
        <w:t xml:space="preserve">Seite. A trägt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(2025) und die tatsächlichen Jahresverbräuche ein</w:t>
      </w:r>
      <w:r>
        <w:t xml:space="preserve"> </w:t>
      </w:r>
      <w:r>
        <w:t xml:space="preserve">– etwa</w:t>
      </w:r>
      <w:r>
        <w:t xml:space="preserve"> </w:t>
      </w:r>
      <w:r>
        <w:rPr>
          <w:b/>
          <w:bCs/>
        </w:rPr>
        <w:t xml:space="preserve">Stromverbrauch</w:t>
      </w:r>
      <w:r>
        <w:t xml:space="preserve"> </w:t>
      </w:r>
      <w:r>
        <w:t xml:space="preserve">98.000 kWh und</w:t>
      </w:r>
      <w:r>
        <w:t xml:space="preserve"> </w:t>
      </w:r>
      <w:r>
        <w:rPr>
          <w:b/>
          <w:bCs/>
        </w:rPr>
        <w:t xml:space="preserve">Wärmeverbrauch</w:t>
      </w:r>
      <w:r>
        <w:t xml:space="preserve"> </w:t>
      </w:r>
      <w:r>
        <w:t xml:space="preserve">64.000 kWh –,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„Speichern”</w:t>
      </w:r>
      <w:r>
        <w:t xml:space="preserve"> </w:t>
      </w:r>
      <w:r>
        <w:t xml:space="preserve">(Meldung „Energiedaten gespeichert”) und schließt den</w:t>
      </w:r>
      <w:r>
        <w:t xml:space="preserve"> </w:t>
      </w:r>
      <w:r>
        <w:t xml:space="preserve">Editor (siehe „Energiedaten erfassen und aktualisieren”).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Dann das Soll: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 </w:t>
      </w:r>
      <w:r>
        <w:t xml:space="preserve">legt A für dasselbe</w:t>
      </w:r>
      <w:r>
        <w:t xml:space="preserve"> </w:t>
      </w:r>
      <w:r>
        <w:t xml:space="preserve">Jahr einen zweiten Eintrag an und wählt 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 </w:t>
      </w:r>
      <w:r>
        <w:t xml:space="preserve">– etwa 90.000 kWh Strom und 60.000 kWh Wärme als</w:t>
      </w:r>
      <w:r>
        <w:t xml:space="preserve"> </w:t>
      </w:r>
      <w:r>
        <w:t xml:space="preserve">Zielwerte, z. B. aus dem Energieausweis oder nach einer Umrüstung auf</w:t>
      </w:r>
      <w:r>
        <w:t xml:space="preserve"> </w:t>
      </w:r>
      <w:r>
        <w:t xml:space="preserve">LED-Beleuchtung. Das Szenario hält den Planwert getrennt vom Ist.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Die Gegenüberstellung:</w:t>
      </w:r>
      <w:r>
        <w:t xml:space="preserve"> </w:t>
      </w:r>
      <w:r>
        <w:t xml:space="preserve">Die Jahresübersicht auf der Energie-Detailseite</w:t>
      </w:r>
      <w:r>
        <w:t xml:space="preserve"> </w:t>
      </w:r>
      <w:r>
        <w:t xml:space="preserve">zeigt den Soll-Eintrag (markiert mit „planned”) direkt neben dem Ist</w:t>
      </w:r>
      <w:r>
        <w:t xml:space="preserve"> </w:t>
      </w:r>
      <w:r>
        <w:t xml:space="preserve">desselben Jahres – auf einen Blick, ob der Verbrauch den Plan einhält.</w:t>
      </w:r>
      <w:r>
        <w:t xml:space="preserve"> </w:t>
      </w:r>
      <w:r>
        <w:t xml:space="preserve">Das ist die Grundlage für Nachsteuern und Budgetplanung.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Soll-Ist-Vergleichs: In der Jahresübersicht steht der Plan-Eintrag („planned”) neben dem Ist desselben Jahres" title="" id="150" name="Picture"/>
            <a:graphic>
              <a:graphicData uri="http://schemas.openxmlformats.org/drawingml/2006/picture">
                <pic:pic>
                  <pic:nvPicPr>
                    <pic:cNvPr descr="figures/soll-ist-payoff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dem Ist desselben Jahres</w:t>
      </w:r>
    </w:p>
    <w:bookmarkEnd w:id="152"/>
    <w:bookmarkStart w:id="159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deren energieeffiziente Halle ein Verkaufsargument ist –</w:t>
      </w:r>
      <w:r>
        <w:t xml:space="preserve"> </w:t>
      </w:r>
      <w:r>
        <w:t xml:space="preserve">wenn es belegbar ist –,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 Halle</w:t>
      </w:r>
      <w:r>
        <w:t xml:space="preserve"> </w:t>
      </w:r>
      <w:r>
        <w:t xml:space="preserve">vermarktet und dafür belastbare Energiedaten braucht (der Anwendungsfall</w:t>
      </w:r>
      <w:r>
        <w:t xml:space="preserve"> </w:t>
      </w:r>
      <w:r>
        <w:t xml:space="preserve">„Vertriebsunterstützung”). A soll dafür die Hoheit über ihre Daten nicht</w:t>
      </w:r>
      <w:r>
        <w:t xml:space="preserve"> </w:t>
      </w:r>
      <w:r>
        <w:t xml:space="preserve">aufgeben. Wichtig vorab: Die Daten werden zu keinem Zeitpunkt kopiert oder an</w:t>
      </w:r>
      <w:r>
        <w:t xml:space="preserve"> </w:t>
      </w:r>
      <w:r>
        <w:t xml:space="preserve">einen zentralen Dienst übertragen – sie bleiben auf A’s Pod, und B liest sie</w:t>
      </w:r>
      <w:r>
        <w:t xml:space="preserve"> </w:t>
      </w:r>
      <w:r>
        <w:t xml:space="preserve">dort 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 ins Adressbuch aufnehmen:</w:t>
      </w:r>
      <w:r>
        <w:t xml:space="preserve"> </w:t>
      </w:r>
      <w:r>
        <w:t xml:space="preserve">B’s WebID hat A von B selbst erhalten – eine</w:t>
      </w:r>
      <w:r>
        <w:t xml:space="preserve"> </w:t>
      </w:r>
      <w:r>
        <w:t xml:space="preserve">WebID gibt man weiter wie eine E-Mail-Adresse, etwa in der Signatur oder auf</w:t>
      </w:r>
      <w:r>
        <w:t xml:space="preserve"> </w:t>
      </w:r>
      <w:r>
        <w:t xml:space="preserve">der Visitenkarte. A trägt sie 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 und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„Akteur hinzufügen”</w:t>
      </w:r>
      <w:r>
        <w:t xml:space="preserve">. Der Eintrag erscheint sofort mit B’s Namen</w:t>
      </w:r>
      <w:r>
        <w:t xml:space="preserve"> </w:t>
      </w:r>
      <w:r>
        <w:t xml:space="preserve">und Profilbild statt der rohen Adresse (siehe „Kontakte verwalten”). Sind</w:t>
      </w:r>
      <w:r>
        <w:t xml:space="preserve"> </w:t>
      </w:r>
      <w:r>
        <w:t xml:space="preserve">beide Mitglied desselben Datenzimmers, entfällt dieser Schritt (siehe</w:t>
      </w:r>
      <w:r>
        <w:t xml:space="preserve"> </w:t>
      </w:r>
      <w:r>
        <w:t xml:space="preserve">„Datenzimmer als WebID-Verzeichnis”).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Teilen öffnen: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die</w:t>
      </w:r>
      <w:r>
        <w:t xml:space="preserve"> </w:t>
      </w:r>
      <w:r>
        <w:t xml:space="preserve">Detailseite ihrer Halle und klickt dort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Empfänger wählen:</w:t>
      </w:r>
      <w:r>
        <w:t xml:space="preserve"> </w:t>
      </w:r>
      <w:r>
        <w:t xml:space="preserve">Im Feld **„Empfänger-WebID(s)</w:t>
      </w:r>
      <w:r>
        <w:t xml:space="preserve">“</w:t>
      </w:r>
      <w:r>
        <w:t xml:space="preserve">** schlägt die App B aus</w:t>
      </w:r>
      <w:r>
        <w:t xml:space="preserve"> </w:t>
      </w:r>
      <w:r>
        <w:t xml:space="preserve">dem Adressbuch mit Namen vor – die WebID muss nicht erneut eingetippt werden.</w:t>
      </w:r>
      <w:r>
        <w:t xml:space="preserve"> </w:t>
      </w:r>
      <w:r>
        <w:t xml:space="preserve">Den Umfang der Freigabe (nur Stammdaten, alle Energiewerte oder bestimmte</w:t>
      </w:r>
      <w:r>
        <w:t xml:space="preserve"> </w:t>
      </w:r>
      <w:r>
        <w:t xml:space="preserve">Jahre) legt A wie unter „Individuelle Gebäudedaten teilen</w:t>
      </w:r>
      <w:r>
        <w:t xml:space="preserve">”</w:t>
      </w:r>
      <w:r>
        <w:t xml:space="preserve"> </w:t>
      </w:r>
      <w:r>
        <w:t xml:space="preserve">beschrieben fest.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Bestätigen: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 </w:t>
      </w:r>
      <w:r>
        <w:t xml:space="preserve">zeigt der Dialog eine</w:t>
      </w:r>
      <w:r>
        <w:t xml:space="preserve"> </w:t>
      </w:r>
      <w:r>
        <w:t xml:space="preserve">Zusammenfassung;</w:t>
      </w:r>
      <w:r>
        <w:t xml:space="preserve"> </w:t>
      </w:r>
      <w:r>
        <w:rPr>
          <w:b/>
          <w:bCs/>
        </w:rPr>
        <w:t xml:space="preserve">„Teilen bestätigen”</w:t>
      </w:r>
      <w:r>
        <w:t xml:space="preserve"> </w:t>
      </w:r>
      <w:r>
        <w:t xml:space="preserve">erteilt B Lesezugriff,</w:t>
      </w:r>
      <w:r>
        <w:t xml:space="preserve"> </w:t>
      </w:r>
      <w:r>
        <w:rPr>
          <w:b/>
          <w:bCs/>
        </w:rPr>
        <w:t xml:space="preserve">„Fertig”</w:t>
      </w:r>
      <w:r>
        <w:t xml:space="preserve"> </w:t>
      </w:r>
      <w:r>
        <w:t xml:space="preserve">schließt den Dialog.</w:t>
      </w:r>
    </w:p>
    <w:p>
      <w:pPr>
        <w:pStyle w:val="FirstParagraph"/>
      </w:pPr>
      <w:r>
        <w:t xml:space="preserve">Anschließend sieht A die Freigabe direkt auf der Detailseite des Gebäudes und</w:t>
      </w:r>
      <w:r>
        <w:t xml:space="preserve"> </w:t>
      </w:r>
      <w:r>
        <w:t xml:space="preserve">kann sie dort jederzeit wieder entfernen.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Die Freigabe kommt an:</w:t>
      </w:r>
      <w:r>
        <w:t xml:space="preserve"> </w:t>
      </w:r>
      <w:r>
        <w:t xml:space="preserve">Die Freigabe-Benachrichtigung landet im Posteingang</w:t>
      </w:r>
      <w:r>
        <w:t xml:space="preserve"> </w:t>
      </w:r>
      <w:r>
        <w:t xml:space="preserve">von B’s Pod. Beim nächsten Öffnen der App verarbeitet B’s Anwendung sie</w:t>
      </w:r>
      <w:r>
        <w:t xml:space="preserve"> </w:t>
      </w:r>
      <w:r>
        <w:t xml:space="preserve">automatisch; A’s Gebäude liegt nun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Auf der Karte: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steht A’s Halle –</w:t>
      </w:r>
      <w:r>
        <w:t xml:space="preserve"> </w:t>
      </w:r>
      <w:r>
        <w:t xml:space="preserve">orange markiert – neben B’s eigenen Objekten; gegebenenfalls zoomt B etwas</w:t>
      </w:r>
      <w:r>
        <w:t xml:space="preserve"> </w:t>
      </w:r>
      <w:r>
        <w:t xml:space="preserve">heraus, um sie ins Bild zu holen. Das Hinweisfenster zum Marker nennt A’s</w:t>
      </w:r>
      <w:r>
        <w:t xml:space="preserve"> </w:t>
      </w:r>
      <w:r>
        <w:t xml:space="preserve">Firma samt Logo.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Live von A’s Pod:</w:t>
      </w:r>
      <w:r>
        <w:t xml:space="preserve"> </w:t>
      </w:r>
      <w:r>
        <w:t xml:space="preserve">Ein Klick auf den Marker öffnet die Detailseite des</w:t>
      </w:r>
      <w:r>
        <w:t xml:space="preserve"> </w:t>
      </w:r>
      <w:r>
        <w:t xml:space="preserve">Gebäudes. B sieht genau das, was A freigegeben hat – Stammdaten und, je nach</w:t>
      </w:r>
      <w:r>
        <w:t xml:space="preserve"> </w:t>
      </w:r>
      <w:r>
        <w:t xml:space="preserve">Umfang, die Energiedaten –, live aus A’s Pod gelesen. Damit kann B die</w:t>
      </w:r>
      <w:r>
        <w:t xml:space="preserve"> </w:t>
      </w:r>
      <w:r>
        <w:t xml:space="preserve">Effizienz der Halle im Vertrieb belegen; die Datenhoheit bleibt bei der</w:t>
      </w:r>
      <w:r>
        <w:t xml:space="preserve"> </w:t>
      </w:r>
      <w:r>
        <w:t xml:space="preserve">Eigentümerin.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seite zeigt A’s Daten, live von A’s Pod gelesen" title="" id="154" name="Picture"/>
            <a:graphic>
              <a:graphicData uri="http://schemas.openxmlformats.org/drawingml/2006/picture">
                <pic:pic>
                  <pic:nvPicPr>
                    <pic:cNvPr descr="figures/teilen-payoff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Detailseite zeigt A’s 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57" name="Picture"/>
            <a:graphic>
              <a:graphicData uri="http://schemas.openxmlformats.org/drawingml/2006/picture">
                <pic:pic>
                  <pic:nvPicPr>
                    <pic:cNvPr descr="figures/szenario-teilen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59"/>
    <w:bookmarkStart w:id="16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„Wo steht meine Halle im</w:t>
      </w:r>
      <w:r>
        <w:t xml:space="preserve"> </w:t>
      </w:r>
      <w:r>
        <w:t xml:space="preserve">Branchenvergleich?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Aggregationen, mit drei Beteiligten: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ist Bestandshalterin und möchte wissen, wo ihre Halle im</w:t>
      </w:r>
      <w:r>
        <w:t xml:space="preserve"> </w:t>
      </w:r>
      <w:r>
        <w:t xml:space="preserve">Branchenvergleich steht.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ist ebenfalls Bestandshalter und will denselben Vergleich – ohne A seine</w:t>
      </w:r>
      <w:r>
        <w:t xml:space="preserve"> </w:t>
      </w:r>
      <w:r>
        <w:t xml:space="preserve">Zahlen zu zeigen. A und B sehen gegenseitig keine Daten.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, der den Branchenwert aus geteilten</w:t>
      </w:r>
      <w:r>
        <w:t xml:space="preserve"> </w:t>
      </w:r>
      <w:r>
        <w:t xml:space="preserve">Gebäuden berechnet – kein Server und kein Sonderkonto, sondern ein</w:t>
      </w:r>
      <w:r>
        <w:t xml:space="preserve"> </w:t>
      </w:r>
      <w:r>
        <w:t xml:space="preserve">gewöhnlicher Nutzer derselben App 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8"/>
        </w:numPr>
      </w:pPr>
      <w:r>
        <w:t xml:space="preserve">A teilt ihre Halle an C – genau die Schritte aus „Vertriebsunterstützung</w:t>
      </w:r>
      <w:r>
        <w:t xml:space="preserve"> </w:t>
      </w:r>
      <w:r>
        <w:t xml:space="preserve">durchgespielt”, nur dass sie als Umfang diesmal</w:t>
      </w:r>
      <w:r>
        <w:t xml:space="preserve"> </w:t>
      </w:r>
      <w:r>
        <w:rPr>
          <w:b/>
          <w:bCs/>
        </w:rPr>
        <w:t xml:space="preserve">„Statische Gebäudedaten und</w:t>
      </w:r>
      <w:r>
        <w:rPr>
          <w:b/>
          <w:bCs/>
        </w:rPr>
        <w:t xml:space="preserve"> </w:t>
      </w:r>
      <w:r>
        <w:rPr>
          <w:b/>
          <w:bCs/>
        </w:rPr>
        <w:t xml:space="preserve">alle Energiewerte”</w:t>
      </w:r>
      <w:r>
        <w:t xml:space="preserve"> </w:t>
      </w:r>
      <w:r>
        <w:t xml:space="preserve">wählt. C’s WebID liegt dabei längst im Adressbuch – sie</w:t>
      </w:r>
      <w:r>
        <w:t xml:space="preserve"> </w:t>
      </w:r>
      <w:r>
        <w:t xml:space="preserve">kam mit der Beauftragung des Dienstleisters, wie eine E-Mail-Adresse –, sodass</w:t>
      </w:r>
      <w:r>
        <w:t xml:space="preserve"> </w:t>
      </w:r>
      <w:r>
        <w:t xml:space="preserve">das Feld „Empfänger-WebID(s)” C mit Namen vorschlägt. Sind alle Beteiligten</w:t>
      </w:r>
      <w:r>
        <w:t xml:space="preserve"> </w:t>
      </w:r>
      <w:r>
        <w:t xml:space="preserve">Mitglied desselben Datenzimmers, steht C dort ohnehin zur Auswahl.</w:t>
      </w:r>
    </w:p>
    <w:p>
      <w:pPr>
        <w:pStyle w:val="Compact"/>
        <w:numPr>
          <w:ilvl w:val="0"/>
          <w:numId w:val="1028"/>
        </w:numPr>
      </w:pPr>
      <w:r>
        <w:t xml:space="preserve">B teilt sein Gebäude auf dieselbe Weise an C. Keiner der beiden sieht dabei</w:t>
      </w:r>
      <w:r>
        <w:t xml:space="preserve"> </w:t>
      </w:r>
      <w:r>
        <w:t xml:space="preserve">die Daten des anderen.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9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 wechselt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erstellen”</w:t>
      </w:r>
      <w:r>
        <w:t xml:space="preserve">. Als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 </w:t>
      </w:r>
      <w:r>
        <w:t xml:space="preserve">wählt C</w:t>
      </w:r>
      <w:r>
        <w:t xml:space="preserve"> </w:t>
      </w:r>
      <w:r>
        <w:rPr>
          <w:b/>
          <w:bCs/>
        </w:rPr>
        <w:t xml:space="preserve">„Geteilte Gebäude</w:t>
      </w:r>
      <w:r>
        <w:rPr>
          <w:b/>
          <w:bCs/>
        </w:rPr>
        <w:t xml:space="preserve"> </w:t>
      </w:r>
      <w:r>
        <w:rPr>
          <w:b/>
          <w:bCs/>
        </w:rPr>
        <w:t xml:space="preserve">vergleichen”</w:t>
      </w:r>
      <w:r>
        <w:t xml:space="preserve">; zur Auswahl stehen dann genau die Gebäude, die</w:t>
      </w:r>
      <w:r>
        <w:t xml:space="preserve"> </w:t>
      </w:r>
      <w:r>
        <w:rPr>
          <w:b/>
          <w:bCs/>
        </w:rPr>
        <w:t xml:space="preserve">mit C</w:t>
      </w:r>
      <w:r>
        <w:rPr>
          <w:b/>
          <w:bCs/>
        </w:rPr>
        <w:t xml:space="preserve"> </w:t>
      </w:r>
      <w:r>
        <w:rPr>
          <w:b/>
          <w:bCs/>
        </w:rPr>
        <w:t xml:space="preserve">geteilt</w:t>
      </w:r>
      <w:r>
        <w:t xml:space="preserve"> </w:t>
      </w:r>
      <w:r>
        <w:t xml:space="preserve">wurden.</w:t>
      </w:r>
    </w:p>
    <w:p>
      <w:pPr>
        <w:pStyle w:val="Compact"/>
        <w:numPr>
          <w:ilvl w:val="0"/>
          <w:numId w:val="1029"/>
        </w:numPr>
      </w:pPr>
      <w:r>
        <w:t xml:space="preserve">C vergibt unter</w:t>
      </w:r>
      <w:r>
        <w:t xml:space="preserve"> </w:t>
      </w:r>
      <w:r>
        <w:rPr>
          <w:b/>
          <w:bCs/>
        </w:rPr>
        <w:t xml:space="preserve">„Name der Aggregation”</w:t>
      </w:r>
      <w:r>
        <w:t xml:space="preserve"> </w:t>
      </w:r>
      <w:r>
        <w:t xml:space="preserve">einen Namen (etwa</w:t>
      </w:r>
      <w:r>
        <w:t xml:space="preserve"> </w:t>
      </w:r>
      <w:r>
        <w:t xml:space="preserve">„Energie-Benchmark”) und wählt unter</w:t>
      </w:r>
      <w:r>
        <w:t xml:space="preserve"> </w:t>
      </w:r>
      <w:r>
        <w:rPr>
          <w:b/>
          <w:bCs/>
        </w:rPr>
        <w:t xml:space="preserve">„Gebäude auswählen”</w:t>
      </w:r>
      <w:r>
        <w:t xml:space="preserve"> </w:t>
      </w:r>
      <w:r>
        <w:t xml:space="preserve">die beiden</w:t>
      </w:r>
      <w:r>
        <w:t xml:space="preserve"> </w:t>
      </w:r>
      <w:r>
        <w:t xml:space="preserve">Beiträge von A und B. Die Verbrauchskennzahlen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sind für diese Art bereits voreingestellt. Ein Klick auf</w:t>
      </w:r>
      <w:r>
        <w:t xml:space="preserve"> </w:t>
      </w:r>
      <w:r>
        <w:rPr>
          <w:b/>
          <w:bCs/>
        </w:rPr>
        <w:t xml:space="preserve">„Aggregation erstellen”</w:t>
      </w:r>
      <w:r>
        <w:t xml:space="preserve"> </w:t>
      </w:r>
      <w:r>
        <w:t xml:space="preserve">berechnet das Ergebnis als Snapshot (siehe</w:t>
      </w:r>
      <w:r>
        <w:t xml:space="preserve"> </w:t>
      </w:r>
      <w:r>
        <w:t xml:space="preserve">„Aggregierte Ansicht erstellen und teilen”).</w:t>
      </w:r>
    </w:p>
    <w:p>
      <w:pPr>
        <w:pStyle w:val="Compact"/>
        <w:numPr>
          <w:ilvl w:val="0"/>
          <w:numId w:val="1029"/>
        </w:numPr>
      </w:pPr>
      <w:r>
        <w:t xml:space="preserve">C teilt die fertige Aggregation über ihr Teilen-Symbol („Aggregation teilen”)</w:t>
      </w:r>
      <w:r>
        <w:t xml:space="preserve"> </w:t>
      </w:r>
      <w:r>
        <w:t xml:space="preserve">an alle Beitragenden zurück. Im Teilen-Dialog trägt</w:t>
      </w:r>
      <w:r>
        <w:t xml:space="preserve"> </w:t>
      </w:r>
      <w:r>
        <w:rPr>
          <w:b/>
          <w:bCs/>
        </w:rPr>
        <w:t xml:space="preserve">„Alle Beitragenden</w:t>
      </w:r>
      <w:r>
        <w:rPr>
          <w:b/>
          <w:bCs/>
        </w:rPr>
        <w:t xml:space="preserve"> </w:t>
      </w:r>
      <w:r>
        <w:rPr>
          <w:b/>
          <w:bCs/>
        </w:rPr>
        <w:t xml:space="preserve">hinzufügen”</w:t>
      </w:r>
      <w:r>
        <w:t xml:space="preserve"> </w:t>
      </w:r>
      <w:r>
        <w:t xml:space="preserve">mit einem Klick alle ein, deren Gebäude in den Benchmark</w:t>
      </w:r>
      <w:r>
        <w:t xml:space="preserve"> </w:t>
      </w:r>
      <w:r>
        <w:t xml:space="preserve">eingeflossen sind – hier A und B. Nach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„Teilen</w:t>
      </w:r>
      <w:r>
        <w:rPr>
          <w:b/>
          <w:bCs/>
        </w:rPr>
        <w:t xml:space="preserve"> </w:t>
      </w:r>
      <w:r>
        <w:rPr>
          <w:b/>
          <w:bCs/>
        </w:rPr>
        <w:t xml:space="preserve">bestätigen”</w:t>
      </w:r>
      <w:r>
        <w:t xml:space="preserve"> </w:t>
      </w:r>
      <w:r>
        <w:t xml:space="preserve">meldet der Dialog „Erfolgreich geteilt mit …“. Zurück wandert</w:t>
      </w:r>
      <w:r>
        <w:t xml:space="preserve"> </w:t>
      </w:r>
      <w:r>
        <w:t xml:space="preserve">nur der berechnete Snapshot – nicht die Gebäude der Beitragenden.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lle Beitragenden hinzufügen” trägt alle Beitragenden mit einem Klick als Empfänger ein" title="" id="161" name="Picture"/>
            <a:graphic>
              <a:graphicData uri="http://schemas.openxmlformats.org/drawingml/2006/picture">
                <pic:pic>
                  <pic:nvPicPr>
                    <pic:cNvPr descr="figures/benchmark-share-back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„Alle Beitragenden hinzufügen” trägt alle Beitragenden mit einem Klick als Empfänger ein</w:t>
      </w:r>
    </w:p>
    <w:p>
      <w:pPr>
        <w:pStyle w:val="BodyText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0"/>
        </w:numPr>
      </w:pPr>
      <w:r>
        <w:t xml:space="preserve">Die zurückerhaltene Aggregation erscheint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„Mit mir geteilt”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Zeile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steht nun dem externen</w:t>
      </w:r>
      <w:r>
        <w:t xml:space="preserve"> </w:t>
      </w:r>
      <w:r>
        <w:t xml:space="preserve">Branchenwert gegenüber statt nur dem eigenen Portfolio-Durchschnitt, und der</w:t>
      </w:r>
      <w:r>
        <w:t xml:space="preserve"> </w:t>
      </w:r>
      <w:r>
        <w:t xml:space="preserve">Hinweis „Benchmark bereitgestellt von …” nennt den Dienstleister, der den</w:t>
      </w:r>
      <w:r>
        <w:t xml:space="preserve"> </w:t>
      </w:r>
      <w:r>
        <w:t xml:space="preserve">Benchmark berechnet hat.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Roundtrips: Auf der Energie-Detailseite von A (und ebenso von B) steht der eigene Verbrauch jetzt einer gefüllten Zeile „Benchmark” gegenüber – den von C zurückgeteilten Branchenwerten über die Gebäude aller Beitragenden" title="" id="164" name="Picture"/>
            <a:graphic>
              <a:graphicData uri="http://schemas.openxmlformats.org/drawingml/2006/picture">
                <pic:pic>
                  <pic:nvPicPr>
                    <pic:cNvPr descr="figures/benchmark-payoff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Zeile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67" name="Picture"/>
            <a:graphic>
              <a:graphicData uri="http://schemas.openxmlformats.org/drawingml/2006/picture">
                <pic:pic>
                  <pic:nvPicPr>
                    <pic:cNvPr descr="figures/szenario-benchmark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– sie enthält die IRIs der beitragenden Gebäude –</w:t>
      </w:r>
      <w:r>
        <w:t xml:space="preserve"> </w:t>
      </w:r>
      <w:r>
        <w:t xml:space="preserve">bleibt auf C’s Pod und wird nie geteilt; nur der berechnete Snapshot wandert</w:t>
      </w:r>
      <w:r>
        <w:t xml:space="preserve"> </w:t>
      </w:r>
      <w:r>
        <w:t xml:space="preserve">zu den Empfängern. Der Snapshot ist dabei als Benchmark-Ergebnis typisiert und</w:t>
      </w:r>
      <w:r>
        <w:t xml:space="preserve"> </w:t>
      </w:r>
      <w:r>
        <w:t xml:space="preserve">vermerkt den berechnenden Akteur und den abgedeckten Zeitraum, sodass die</w:t>
      </w:r>
      <w:r>
        <w:t xml:space="preserve"> </w:t>
      </w:r>
      <w:r>
        <w:t xml:space="preserve">Energie-Ansicht der Empfänger ihn von gewöhnlichen geteilten Aggregationen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69"/>
    <w:bookmarkEnd w:id="170"/>
    <w:bookmarkStart w:id="179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71" w:name="was-ein-intent-ist"/>
    <w:p>
      <w:pPr>
        <w:pStyle w:val="Heading2"/>
      </w:pPr>
      <w:r>
        <w:t xml:space="preserve">Was ein „Intent”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„Absicht”).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Datenzimmer, Akteure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1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1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1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71"/>
    <w:bookmarkStart w:id="175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73" name="Picture"/>
            <a:graphic>
              <a:graphicData uri="http://schemas.openxmlformats.org/drawingml/2006/picture">
                <pic:pic>
                  <pic:nvPicPr>
                    <pic:cNvPr descr="figures/command-palett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75"/>
    <w:bookmarkStart w:id="176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Fürth”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76"/>
    <w:bookmarkStart w:id="177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2000”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77"/>
    <w:bookmarkStart w:id="178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anlegen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Energiejahr speichern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2000”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über</w:t>
      </w:r>
      <w:r>
        <w:t xml:space="preserve"> </w:t>
      </w:r>
      <w:r>
        <w:rPr>
          <w:b/>
          <w:bCs/>
          <w:i/>
          <w:iCs/>
        </w:rPr>
        <w:t xml:space="preserve">Datenzimmer hosten</w:t>
      </w:r>
      <w:r>
        <w:t xml:space="preserve"> </w:t>
      </w:r>
      <w:r>
        <w:t xml:space="preserve">eine Arbeitsgruppe ein, pflegt mit</w:t>
      </w:r>
      <w:r>
        <w:t xml:space="preserve"> </w:t>
      </w:r>
      <w:r>
        <w:rPr>
          <w:b/>
          <w:bCs/>
          <w:i/>
          <w:iCs/>
        </w:rPr>
        <w:t xml:space="preserve">Organisation speichern</w:t>
      </w:r>
      <w:r>
        <w:t xml:space="preserve"> </w:t>
      </w:r>
      <w:r>
        <w:t xml:space="preserve">Name und Logo seines Benchmark-Dienstes und sichert seinen</w:t>
      </w:r>
      <w:r>
        <w:t xml:space="preserve"> </w:t>
      </w:r>
      <w:r>
        <w:t xml:space="preserve">Bestand über den Archiv-Export.</w:t>
      </w:r>
    </w:p>
    <w:bookmarkEnd w:id="178"/>
    <w:bookmarkEnd w:id="179"/>
    <w:bookmarkStart w:id="18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80"/>
    <w:bookmarkStart w:id="18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8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138" Target="media/rId13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172" Target="media/rId172.png" /><Relationship Type="http://schemas.openxmlformats.org/officeDocument/2006/relationships/image" Id="rId38" Target="media/rId38.png" /><Relationship Type="http://schemas.openxmlformats.org/officeDocument/2006/relationships/image" Id="rId127" Target="media/rId127.png" /><Relationship Type="http://schemas.openxmlformats.org/officeDocument/2006/relationships/image" Id="rId135" Target="media/rId13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84" Target="media/rId84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23" Target="media/rId123.png" /><Relationship Type="http://schemas.openxmlformats.org/officeDocument/2006/relationships/image" Id="rId131" Target="media/rId131.png" /><Relationship Type="http://schemas.openxmlformats.org/officeDocument/2006/relationships/image" Id="rId142" Target="media/rId142.png" /><Relationship Type="http://schemas.openxmlformats.org/officeDocument/2006/relationships/image" Id="rId116" Target="media/rId11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1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1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2026-09-30T13:59:10Z</dcterms:created>
  <dcterms:modified xsi:type="dcterms:W3CDTF">2026-09-30T13:59:10Z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September 2026 · Version b5b03fc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