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38.png" ContentType="image/png"/>
  <Override PartName="/word/media/rId26.png" ContentType="image/png"/>
  <Override PartName="/word/media/rId23.png" ContentType="image/png"/>
  <Override PartName="/word/media/rId60.png" ContentType="image/png"/>
  <Override PartName="/word/media/rId46.png" ContentType="image/png"/>
  <Override PartName="/word/media/rId32.png" ContentType="image/png"/>
  <Override PartName="/word/media/rId160.png" ContentType="image/png"/>
  <Override PartName="/word/media/rId166.png" ContentType="image/png"/>
  <Override PartName="/word/media/rId29.png" ContentType="image/png"/>
  <Override PartName="/word/media/rId35.png" ContentType="image/png"/>
  <Override PartName="/word/media/rId172.png" ContentType="image/png"/>
  <Override PartName="/word/media/rId38.png" ContentType="image/png"/>
  <Override PartName="/word/media/rId127.png" ContentType="image/png"/>
  <Override PartName="/word/media/rId135.png" ContentType="image/png"/>
  <Override PartName="/word/media/rId95.png" ContentType="image/png"/>
  <Override PartName="/word/media/rId98.png" ContentType="image/png"/>
  <Override PartName="/word/media/rId103.png" ContentType="image/png"/>
  <Override PartName="/word/media/rId88.png" ContentType="image/png"/>
  <Override PartName="/word/media/rId63.png" ContentType="image/png"/>
  <Override PartName="/word/media/rId84.png" ContentType="image/png"/>
  <Override PartName="/word/media/rId92.png" ContentType="image/png"/>
  <Override PartName="/word/media/rId107.png" ContentType="image/png"/>
  <Override PartName="/word/media/rId111.png" ContentType="image/png"/>
  <Override PartName="/word/media/rId123.png" ContentType="image/png"/>
  <Override PartName="/word/media/rId131.png" ContentType="image/png"/>
  <Override PartName="/word/media/rId142.png" ContentType="image/png"/>
  <Override PartName="/word/media/rId116.png" ContentType="image/png"/>
  <Override PartName="/word/media/rId149.png" ContentType="image/png"/>
  <Override PartName="/word/media/rId163.png" ContentType="image/png"/>
  <Override PartName="/word/media/rId156.png" ContentType="image/png"/>
  <Override PartName="/word/media/rId153.png" ContentType="image/png"/>
  <Override PartName="/word/media/rId68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 bei 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 Veres-Homm, Bereich Supply Chain Services des Fraunhofer IIS</w:t>
      </w:r>
    </w:p>
    <w:p>
      <w:pPr>
        <w:pStyle w:val="Author"/>
      </w:pPr>
      <w:r>
        <w:t xml:space="preserve">Heike Weber, Bereich Supply Chain Services des Fraunhofer IIS</w:t>
      </w:r>
    </w:p>
    <w:p>
      <w:pPr>
        <w:pStyle w:val="Author"/>
      </w:pPr>
      <w:r>
        <w:t xml:space="preserve">Prof. Dr. Andreas Harth, Friedrich-Alexander-Universität Erlangen-Nürnberg</w:t>
      </w:r>
    </w:p>
    <w:p>
      <w:pPr>
        <w:pStyle w:val="Author"/>
      </w:pPr>
      <w:r>
        <w:t xml:space="preserve">Thomas Wehr, Friedrich-Alexander-Universität Erlangen-Nürnberg</w:t>
      </w:r>
    </w:p>
    <w:p>
      <w:pPr>
        <w:pStyle w:val="Date"/>
      </w:pPr>
      <w:r>
        <w:t xml:space="preserve">Juni 2026 · Version d49c9b7+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45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44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Vertriebsunterstützung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p>
      <w:pPr>
        <w:pStyle w:val="BodyText"/>
      </w:pPr>
      <w:r>
        <w:t xml:space="preserve">Durch das gesamte Handbuch begleitet dabei ein festes Beispiel-Ensemble aus</w:t>
      </w:r>
      <w:r>
        <w:t xml:space="preserve"> </w:t>
      </w:r>
      <w:r>
        <w:t xml:space="preserve">drei Personen mit ihren Firmen: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502919" cy="3771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alice-avat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19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ahlmann-logistik-log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A — Alice Ahlmann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Ahlmann Logistik GmbH</w:t>
      </w:r>
      <w:r>
        <w:t xml:space="preserve">, einer Logistikfirma,</w:t>
      </w:r>
      <w:r>
        <w:t xml:space="preserve"> </w:t>
      </w:r>
      <w:r>
        <w:t xml:space="preserve">die ihre eigenen Hallen nutzt. Im Soll-Ist-Vergleich agiert sie allein; in</w:t>
      </w:r>
      <w:r>
        <w:t xml:space="preserve"> </w:t>
      </w:r>
      <w:r>
        <w:t xml:space="preserve">den beiden anderen Anwendungsfällen ist sie die Bestandshalterin, die ihre</w:t>
      </w:r>
      <w:r>
        <w:t xml:space="preserve"> </w:t>
      </w:r>
      <w:r>
        <w:t xml:space="preserve">Daten teilt.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5896" cy="37719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bob-avata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6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bauer-grundbesitz-logo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B — Bob Bauer</w:t>
      </w:r>
      <w:r>
        <w:t xml:space="preserve"> </w:t>
      </w:r>
      <w:r>
        <w:t xml:space="preserve">von</w:t>
      </w:r>
      <w:r>
        <w:t xml:space="preserve"> </w:t>
      </w:r>
      <w:r>
        <w:rPr>
          <w:b/>
          <w:bCs/>
        </w:rPr>
        <w:t xml:space="preserve">Bauer Grundbesitz</w:t>
      </w:r>
      <w:r>
        <w:t xml:space="preserve">, ein Geschäftspartner von A — je</w:t>
      </w:r>
      <w:r>
        <w:t xml:space="preserve"> </w:t>
      </w:r>
      <w:r>
        <w:t xml:space="preserve">nach Anwendungsfall Investor, Makler oder Berater, der geteilte Daten</w:t>
      </w:r>
      <w:r>
        <w:t xml:space="preserve"> </w:t>
      </w:r>
      <w:r>
        <w:t xml:space="preserve">einsieht, und im Benchmark selbst Bestandshalter.</w:t>
      </w:r>
    </w:p>
    <w:p>
      <w:pPr>
        <w:pStyle w:val="Compact"/>
        <w:numPr>
          <w:ilvl w:val="0"/>
          <w:numId w:val="1001"/>
        </w:numPr>
      </w:pPr>
      <w:r>
        <w:drawing>
          <wp:inline>
            <wp:extent cx="313768" cy="37719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charlie-avata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68" cy="37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005840" cy="2514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conrad-kennwert-log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C — Charlie Conrad</w:t>
      </w:r>
      <w:r>
        <w:t xml:space="preserve"> </w:t>
      </w:r>
      <w:r>
        <w:t xml:space="preserve">von der</w:t>
      </w:r>
      <w:r>
        <w:t xml:space="preserve"> </w:t>
      </w:r>
      <w:r>
        <w:rPr>
          <w:b/>
          <w:bCs/>
        </w:rPr>
        <w:t xml:space="preserve">Conrad Kennwert GmbH</w:t>
      </w:r>
      <w:r>
        <w:t xml:space="preserve">, ein</w:t>
      </w:r>
      <w:r>
        <w:t xml:space="preserve"> </w:t>
      </w:r>
      <w:r>
        <w:t xml:space="preserve">Benchmark-Dienstleister (Benchmark Service Provider), der die Gebäude von A</w:t>
      </w:r>
      <w:r>
        <w:t xml:space="preserve"> </w:t>
      </w:r>
      <w:r>
        <w:t xml:space="preserve">und B vergleichbar macht.</w:t>
      </w:r>
    </w:p>
    <w:p>
      <w:pPr>
        <w:pStyle w:val="FirstParagraph"/>
      </w:pPr>
      <w:r>
        <w:t xml:space="preserve">Alle Bildschirmfotos dieses Handbuchs zeigen diese drei: Avatar und Firmenlogo</w:t>
      </w:r>
      <w:r>
        <w:t xml:space="preserve"> </w:t>
      </w:r>
      <w:r>
        <w:t xml:space="preserve">erscheinen in der App in der Kopfzeile und an den Gebäude-Markern auf der</w:t>
      </w:r>
      <w:r>
        <w:t xml:space="preserve"> </w:t>
      </w:r>
      <w:r>
        <w:t xml:space="preserve">Karte, sodass in jedem Bild erkennbar ist, wessen Sicht gerade gezeigt wird.</w:t>
      </w:r>
    </w:p>
    <w:bookmarkStart w:id="41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Den Soll-Wert müssen Sie nicht raten. Das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zeigt aus offenen Daten, wie viel Photovoltaik-Potenzial das</w:t>
      </w:r>
      <w:r>
        <w:t xml:space="preserve"> </w:t>
      </w:r>
      <w:r>
        <w:t xml:space="preserve">Dach noch hergibt (die „Ausbaulücke”) – ein belastbares Ziel, an dem sich die geplante</w:t>
      </w:r>
      <w:r>
        <w:t xml:space="preserve"> </w:t>
      </w:r>
      <w:r>
        <w:t xml:space="preserve">Eigenerzeugung ausrichten lässt.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ordnet Ihren Plan zudem in</w:t>
      </w:r>
      <w:r>
        <w:t xml:space="preserve"> </w:t>
      </w:r>
      <w:r>
        <w:t xml:space="preserve">den Trend des Bundeslands ein, etwa den steigenden Anteil erneuerbaren Stroms (siehe</w:t>
      </w:r>
      <w:r>
        <w:t xml:space="preserve"> </w:t>
      </w:r>
      <w:r>
        <w:t xml:space="preserve">Abschnitt „Regionale Statistiken als Vergleichsmaßstab”). Bereits nutzbar sind die</w:t>
      </w:r>
      <w:r>
        <w:t xml:space="preserve"> </w:t>
      </w:r>
      <w:r>
        <w:t xml:space="preserve">Wetterdaten je Gebäude; in Vorbereitung ist, den Ist-Verbrauch darüber automatisch um</w:t>
      </w:r>
      <w:r>
        <w:t xml:space="preserve"> </w:t>
      </w:r>
      <w:r>
        <w:t xml:space="preserve">Witterungseinflüsse (Heizgradtage) zu bereinigen – erst dann zeigt der Vergleich die</w:t>
      </w:r>
      <w:r>
        <w:t xml:space="preserve"> </w:t>
      </w:r>
      <w:r>
        <w:t xml:space="preserve">reine Wirkung einer Maßnahme, unabhängig von einem kalten oder milden Jahr.</w:t>
      </w:r>
    </w:p>
    <w:bookmarkEnd w:id="41"/>
    <w:bookmarkStart w:id="42" w:name="vertriebsunterstützung"/>
    <w:p>
      <w:pPr>
        <w:pStyle w:val="Heading3"/>
      </w:pPr>
      <w:r>
        <w:t xml:space="preserve">Vertriebsunterstützung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Die energetische</w:t>
      </w:r>
      <w:r>
        <w:t xml:space="preserve"> </w:t>
      </w:r>
      <w:r>
        <w:t xml:space="preserve">Qualität eines Objekts ist bei der Vermietung und beim Verkauf von Logistik- und</w:t>
      </w:r>
      <w:r>
        <w:t xml:space="preserve"> </w:t>
      </w:r>
      <w:r>
        <w:t xml:space="preserve">Gewerbeimmobilien zunehmend ein Argument – aber nur, wenn sie belegbar ist. Kern</w:t>
      </w:r>
      <w:r>
        <w:t xml:space="preserve"> </w:t>
      </w:r>
      <w:r>
        <w:t xml:space="preserve">des Anwendungsfalls ist daher, die Energieeffizienz einer Immobilie mit echten</w:t>
      </w:r>
      <w:r>
        <w:t xml:space="preserve"> </w:t>
      </w:r>
      <w:r>
        <w:t xml:space="preserve">statt geschätzten Zahlen darzustellen, sodass Makler, Berater und Investoren im</w:t>
      </w:r>
      <w:r>
        <w:t xml:space="preserve"> </w:t>
      </w:r>
      <w:r>
        <w:t xml:space="preserve">Vertrieb belastbar damit argumentieren können. Entscheidend ist dabei die</w:t>
      </w:r>
      <w:r>
        <w:t xml:space="preserve"> </w:t>
      </w:r>
      <w:r>
        <w:t xml:space="preserve">Datenhoheit: Der Eigentümer gibt seine Energiedaten gezielt für die vertrieblich</w:t>
      </w:r>
      <w:r>
        <w:t xml:space="preserve"> </w:t>
      </w:r>
      <w:r>
        <w:t xml:space="preserve">Beteiligten frei, ohne sie aus der Hand zu geben oder zentral zu hinterlegen.</w:t>
      </w:r>
      <w:r>
        <w:t xml:space="preserve"> </w:t>
      </w:r>
      <w:r>
        <w:t xml:space="preserve">Für diesen Anwendungsfall werden vor allem aggregierte Verbrauchsdaten sowie</w:t>
      </w:r>
      <w:r>
        <w:t xml:space="preserve"> </w:t>
      </w:r>
      <w:r>
        <w:t xml:space="preserve">allgemeine Objektdaten benötigt.</w:t>
      </w:r>
    </w:p>
    <w:p>
      <w:pPr>
        <w:pStyle w:val="BodyText"/>
      </w:pPr>
      <w:r>
        <w:t xml:space="preserve">Die Granergize-App löst das über zwei ineinandergreifende Wege ein. Erstens die</w:t>
      </w:r>
      <w:r>
        <w:t xml:space="preserve"> </w:t>
      </w:r>
      <w:r>
        <w:t xml:space="preserve">gezielte Freigabe: Ein Eigentümer teilt sein Gebäude einschließlich der</w:t>
      </w:r>
      <w:r>
        <w:t xml:space="preserve"> </w:t>
      </w:r>
      <w:r>
        <w:t xml:space="preserve">Energiedaten mit seinem Makler oder Berater – die Daten bleiben dabei auf dem</w:t>
      </w:r>
      <w:r>
        <w:t xml:space="preserve"> </w:t>
      </w:r>
      <w:r>
        <w:t xml:space="preserve">Pod des Eigentümers, werden nicht kopiert und können jederzeit wieder entzogen</w:t>
      </w:r>
      <w:r>
        <w:t xml:space="preserve"> </w:t>
      </w:r>
      <w:r>
        <w:t xml:space="preserve">werden (siehe Abschnitt „Vorgehensweise beim Datenteilen”). Zweitens die</w:t>
      </w:r>
      <w:r>
        <w:t xml:space="preserve"> </w:t>
      </w:r>
      <w:r>
        <w:t xml:space="preserve">Energie-Linse der Karte: Sie färbt die Gebäude-Marker nach Energieintensität ein</w:t>
      </w:r>
      <w:r>
        <w:t xml:space="preserve"> </w:t>
      </w:r>
      <w:r>
        <w:t xml:space="preserve">und ordnet ein Objekt – einschließlich der mit Ihnen geteilten Gebäude – auf</w:t>
      </w:r>
      <w:r>
        <w:t xml:space="preserve"> </w:t>
      </w:r>
      <w:r>
        <w:t xml:space="preserve">einen Blick in sein sichtbares Umfeld ein (siehe Abschnitt „Gebäude nach</w:t>
      </w:r>
      <w:r>
        <w:t xml:space="preserve"> </w:t>
      </w:r>
      <w:r>
        <w:t xml:space="preserve">Energieverbrauch einordnen”). So wird die belegte Effizienz einer Halle zum</w:t>
      </w:r>
      <w:r>
        <w:t xml:space="preserve"> </w:t>
      </w:r>
      <w:r>
        <w:t xml:space="preserve">sichtbaren Argument gegenüber ihren Nachbarn. Wie eine solche Freigabe abläuft</w:t>
      </w:r>
      <w:r>
        <w:t xml:space="preserve"> </w:t>
      </w:r>
      <w:r>
        <w:t xml:space="preserve">und beim Empfänger auf der Karte landet, führt der Abschnitt</w:t>
      </w:r>
      <w:r>
        <w:t xml:space="preserve"> </w:t>
      </w:r>
      <w:r>
        <w:t xml:space="preserve">„Vertriebsunterstützung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Aus der Bestandsaufnahme wird so eine Chancen-Darstellung. Geben</w:t>
      </w:r>
      <w:r>
        <w:t xml:space="preserve"> </w:t>
      </w:r>
      <w:r>
        <w:t xml:space="preserve">Sie ein Gebäude samt seinem</w:t>
      </w:r>
      <w:r>
        <w:t xml:space="preserve"> </w:t>
      </w:r>
      <w:r>
        <w:rPr>
          <w:b/>
          <w:bCs/>
        </w:rPr>
        <w:t xml:space="preserve">Standort-Energieprofil</w:t>
      </w:r>
      <w:r>
        <w:t xml:space="preserve"> </w:t>
      </w:r>
      <w:r>
        <w:t xml:space="preserve">frei, sieht der Makler oder</w:t>
      </w:r>
      <w:r>
        <w:t xml:space="preserve"> </w:t>
      </w:r>
      <w:r>
        <w:t xml:space="preserve">Investor nicht nur den heutigen Verbrauch, sondern auch das ungenutzte Dach- und</w:t>
      </w:r>
      <w:r>
        <w:t xml:space="preserve"> </w:t>
      </w:r>
      <w:r>
        <w:t xml:space="preserve">Freiflächen-Photovoltaik-Potenzial, den lokalen Grünstrom-Mix und die Erzeugung in der</w:t>
      </w:r>
      <w:r>
        <w:t xml:space="preserve"> </w:t>
      </w:r>
      <w:r>
        <w:t xml:space="preserve">Nähe – konkrete Hebel zur Wertsteigerung. Die</w:t>
      </w:r>
      <w:r>
        <w:t xml:space="preserve"> </w:t>
      </w:r>
      <w:r>
        <w:rPr>
          <w:b/>
          <w:bCs/>
        </w:rPr>
        <w:t xml:space="preserve">regionale Statistik</w:t>
      </w:r>
      <w:r>
        <w:t xml:space="preserve"> </w:t>
      </w:r>
      <w:r>
        <w:t xml:space="preserve">liefert die</w:t>
      </w:r>
      <w:r>
        <w:t xml:space="preserve"> </w:t>
      </w:r>
      <w:r>
        <w:t xml:space="preserve">Einordnung gleich mit (Wärmepumpen-Quote im Landkreis, Treibhausgase je Einwohner; siehe</w:t>
      </w:r>
      <w:r>
        <w:t xml:space="preserve"> </w:t>
      </w:r>
      <w:r>
        <w:t xml:space="preserve">Abschnitt „Regionale Statistiken als Vergleichsmaßstab”), ohne eigene Recherche. Weil</w:t>
      </w:r>
      <w:r>
        <w:t xml:space="preserve"> </w:t>
      </w:r>
      <w:r>
        <w:t xml:space="preserve">diese Zahlen aus</w:t>
      </w:r>
      <w:r>
        <w:t xml:space="preserve"> </w:t>
      </w:r>
      <w:r>
        <w:rPr>
          <w:b/>
          <w:bCs/>
        </w:rPr>
        <w:t xml:space="preserve">amtlichen, offenen Quellen</w:t>
      </w:r>
      <w:r>
        <w:t xml:space="preserve"> </w:t>
      </w:r>
      <w:r>
        <w:t xml:space="preserve">stammen, sind sie unabhängig von Ihren</w:t>
      </w:r>
      <w:r>
        <w:t xml:space="preserve"> </w:t>
      </w:r>
      <w:r>
        <w:t xml:space="preserve">eigenen Angaben überprüfbar – ein stärkeres Argument im Vertrieb. In Vorbereitung ist,</w:t>
      </w:r>
      <w:r>
        <w:t xml:space="preserve"> </w:t>
      </w:r>
      <w:r>
        <w:t xml:space="preserve">die Befehlspalette so zu erweitern, dass sich ein geteilter Bestand gezielt nach Potenzial</w:t>
      </w:r>
      <w:r>
        <w:t xml:space="preserve"> </w:t>
      </w:r>
      <w:r>
        <w:t xml:space="preserve">durchsuchen lässt („Hallen mit hohem ungenutztem PV-Potenzial”).</w:t>
      </w:r>
    </w:p>
    <w:bookmarkEnd w:id="42"/>
    <w:bookmarkStart w:id="4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p>
      <w:pPr>
        <w:pStyle w:val="BodyText"/>
      </w:pPr>
      <w:r>
        <w:rPr>
          <w:b/>
          <w:bCs/>
        </w:rPr>
        <w:t xml:space="preserve">Mit offenen Daten:</w:t>
      </w:r>
      <w:r>
        <w:t xml:space="preserve"> </w:t>
      </w:r>
      <w:r>
        <w:t xml:space="preserve">Neben die privaten Vergleichswerte (Portfolio, Betreiber,</w:t>
      </w:r>
      <w:r>
        <w:t xml:space="preserve"> </w:t>
      </w:r>
      <w:r>
        <w:t xml:space="preserve">Benchmark-Dienstleister) tritt ein</w:t>
      </w:r>
      <w:r>
        <w:t xml:space="preserve"> </w:t>
      </w:r>
      <w:r>
        <w:rPr>
          <w:b/>
          <w:bCs/>
        </w:rPr>
        <w:t xml:space="preserve">öffentlicher</w:t>
      </w:r>
      <w:r>
        <w:t xml:space="preserve"> </w:t>
      </w:r>
      <w:r>
        <w:t xml:space="preserve">Maßstab, den niemand schönrechnen</w:t>
      </w:r>
      <w:r>
        <w:t xml:space="preserve"> </w:t>
      </w:r>
      <w:r>
        <w:t xml:space="preserve">kann. Die</w:t>
      </w:r>
      <w:r>
        <w:t xml:space="preserve"> </w:t>
      </w:r>
      <w:r>
        <w:rPr>
          <w:b/>
          <w:bCs/>
        </w:rPr>
        <w:t xml:space="preserve">amtliche Regionalstatistik</w:t>
      </w:r>
      <w:r>
        <w:t xml:space="preserve"> </w:t>
      </w:r>
      <w:r>
        <w:t xml:space="preserve">stellt den Verbrauch dem Durchschnitt des</w:t>
      </w:r>
      <w:r>
        <w:t xml:space="preserve"> </w:t>
      </w:r>
      <w:r>
        <w:t xml:space="preserve">Bundeslands bzw. der Branche gegenüber, und eine</w:t>
      </w:r>
      <w:r>
        <w:t xml:space="preserve"> </w:t>
      </w:r>
      <w:r>
        <w:rPr>
          <w:b/>
          <w:bCs/>
        </w:rPr>
        <w:t xml:space="preserve">Choropleth-Karte</w:t>
      </w:r>
      <w:r>
        <w:t xml:space="preserve"> </w:t>
      </w:r>
      <w:r>
        <w:t xml:space="preserve">verortet die</w:t>
      </w:r>
      <w:r>
        <w:t xml:space="preserve"> </w:t>
      </w:r>
      <w:r>
        <w:t xml:space="preserve">verglichenen Gebäude in ihren Regionen – so werden unterschiedliche Ausgangslagen (etwa</w:t>
      </w:r>
      <w:r>
        <w:t xml:space="preserve"> </w:t>
      </w:r>
      <w:r>
        <w:t xml:space="preserve">ein grünerer oder schmutzigerer Netzstrom je Kreis) sichtbar (siehe Abschnitt „Regionale</w:t>
      </w:r>
      <w:r>
        <w:t xml:space="preserve"> </w:t>
      </w:r>
      <w:r>
        <w:t xml:space="preserve">Statistiken als Vergleichsmaßstab”). Zusätzlich lassen sich die</w:t>
      </w:r>
      <w:r>
        <w:t xml:space="preserve"> </w:t>
      </w:r>
      <w:r>
        <w:rPr>
          <w:b/>
          <w:bCs/>
        </w:rPr>
        <w:t xml:space="preserve">offen verfügbaren</w:t>
      </w:r>
      <w:r>
        <w:rPr>
          <w:b/>
          <w:bCs/>
        </w:rP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(frei zugängliche LoD2-/MaStR-Objekte auf der Karte) als öffentliche Basislinie</w:t>
      </w:r>
      <w:r>
        <w:t xml:space="preserve"> </w:t>
      </w:r>
      <w:r>
        <w:t xml:space="preserve">heranziehen – ein breiteres Vergleichsfeld, ohne dass jemand mehr teilen muss. In</w:t>
      </w:r>
      <w:r>
        <w:t xml:space="preserve"> </w:t>
      </w:r>
      <w:r>
        <w:t xml:space="preserve">Vorbereitung ist, den amtlichen Wert als eigene Vergleichszeile direkt neben Portfolio-</w:t>
      </w:r>
      <w:r>
        <w:t xml:space="preserve"> </w:t>
      </w:r>
      <w:r>
        <w:t xml:space="preserve">und Betreiber-Durchschnitt zu führen.</w:t>
      </w:r>
    </w:p>
    <w:bookmarkEnd w:id="43"/>
    <w:bookmarkEnd w:id="44"/>
    <w:bookmarkEnd w:id="45"/>
    <w:bookmarkStart w:id="52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50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49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47" name="Picture"/>
            <a:graphic>
              <a:graphicData uri="http://schemas.openxmlformats.org/drawingml/2006/picture">
                <pic:pic>
                  <pic:nvPicPr>
                    <pic:cNvPr descr="figures/architektu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49"/>
    <w:bookmarkEnd w:id="50"/>
    <w:bookmarkStart w:id="51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51"/>
    <w:bookmarkEnd w:id="52"/>
    <w:bookmarkStart w:id="115" w:name="die-granergize-app-in-der-praxis-nutzen"/>
    <w:p>
      <w:pPr>
        <w:pStyle w:val="Heading1"/>
      </w:pPr>
      <w:r>
        <w:t xml:space="preserve">Die Granergize-App in der Praxis nutzen</w:t>
      </w:r>
    </w:p>
    <w:bookmarkStart w:id="53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53"/>
    <w:bookmarkStart w:id="55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54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3"/>
        </w:numPr>
      </w:pPr>
      <w:r>
        <w:t xml:space="preserve">Öffnen Sie</w:t>
      </w:r>
      <w:r>
        <w:t xml:space="preserve"> </w:t>
      </w:r>
      <w:hyperlink r:id="rId54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3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3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55"/>
    <w:bookmarkStart w:id="59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56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57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59"/>
    <w:bookmarkStart w:id="66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6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6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6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61" name="Picture"/>
            <a:graphic>
              <a:graphicData uri="http://schemas.openxmlformats.org/drawingml/2006/picture">
                <pic:pic>
                  <pic:nvPicPr>
                    <pic:cNvPr descr="figures/anmeld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liegen der Anwendung</w:t>
      </w:r>
      <w:r>
        <w:t xml:space="preserve"> </w:t>
      </w:r>
      <w:r>
        <w:rPr>
          <w:b/>
          <w:bCs/>
        </w:rPr>
        <w:t xml:space="preserve">Beispieldateien</w:t>
      </w:r>
      <w:r>
        <w:t xml:space="preserve"> </w:t>
      </w:r>
      <w:r>
        <w:t xml:space="preserve">bei: Öffnen Sie „Autofill from file” und wählen Sie unter „…or try one of the</w:t>
      </w:r>
      <w:r>
        <w:t xml:space="preserve"> </w:t>
      </w:r>
      <w:r>
        <w:t xml:space="preserve">bundled example files” eine davon aus. Sie werden genauso eingelesen wie eine</w:t>
      </w:r>
      <w:r>
        <w:t xml:space="preserve"> </w:t>
      </w:r>
      <w:r>
        <w:t xml:space="preserve">eigene Excel-Datei – Sie sehen die erkannten Gebäude also vor dem Speichern und</w:t>
      </w:r>
      <w:r>
        <w:t xml:space="preserve"> </w:t>
      </w:r>
      <w:r>
        <w:t xml:space="preserve">bestätigen mit „Add Buildings”. Zur Wahl stehen ein</w:t>
      </w:r>
      <w:r>
        <w:t xml:space="preserve"> </w:t>
      </w:r>
      <w:r>
        <w:rPr>
          <w:b/>
          <w:bCs/>
        </w:rPr>
        <w:t xml:space="preserve">Logistikportfolio</w:t>
      </w:r>
      <w:r>
        <w:rPr>
          <w:b/>
          <w:bCs/>
        </w:rPr>
        <w:t xml:space="preserve"> </w:t>
      </w:r>
      <w:r>
        <w:rPr>
          <w:b/>
          <w:bCs/>
        </w:rPr>
        <w:t xml:space="preserve">Nürnberg</w:t>
      </w:r>
      <w:r>
        <w:t xml:space="preserve"> </w:t>
      </w:r>
      <w:r>
        <w:t xml:space="preserve">(37 reale Logistikgebäude mit Jahreswerten 2022–2024), ein</w:t>
      </w:r>
      <w:r>
        <w:t xml:space="preserve"> </w:t>
      </w:r>
      <w:r>
        <w:rPr>
          <w:b/>
          <w:bCs/>
        </w:rPr>
        <w:t xml:space="preserve">Beispiel-Portfolio</w:t>
      </w:r>
      <w:r>
        <w:t xml:space="preserve"> </w:t>
      </w:r>
      <w:r>
        <w:t xml:space="preserve">aus vier fiktiven Gebäuden im Zeilenbeschriftungs-Format</w:t>
      </w:r>
      <w:r>
        <w:t xml:space="preserve"> </w:t>
      </w:r>
      <w:r>
        <w:t xml:space="preserve">(ohne Koordinaten – die Anwendung ermittelt sie beim Import) und ein</w:t>
      </w:r>
      <w:r>
        <w:t xml:space="preserve"> </w:t>
      </w:r>
      <w:r>
        <w:rPr>
          <w:b/>
          <w:bCs/>
        </w:rPr>
        <w:t xml:space="preserve">15-Minuten-Lastgang</w:t>
      </w:r>
      <w:r>
        <w:t xml:space="preserve">. Die Abbildungen in diesem Handbuch zeigen genau diese</w:t>
      </w:r>
      <w:r>
        <w:t xml:space="preserve"> </w:t>
      </w:r>
      <w:r>
        <w:t xml:space="preserve">Beispielgebäude.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Nach der Anmeldung: Die App öffnet sich auf der Karte (Tab „Explore”); auf einem leeren Pod ist sie noch leer – der Einstieg beginnt mit dem Anlegen oder Einlesen von Gebäuden." title="" id="64" name="Picture"/>
            <a:graphic>
              <a:graphicData uri="http://schemas.openxmlformats.org/drawingml/2006/picture">
                <pic:pic>
                  <pic:nvPicPr>
                    <pic:cNvPr descr="figures/erster-st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Nach der Anmeldung: Die App öffnet sich auf der Karte (Tab „Explore”); auf einem leeren Pod ist sie noch leer – der Einstieg beginnt mit dem Anlegen oder Einlesen von Gebäuden.</w:t>
      </w:r>
    </w:p>
    <w:bookmarkEnd w:id="66"/>
    <w:bookmarkStart w:id="67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im Hinweisfenster, das sich öffnet, wenn</w:t>
      </w:r>
      <w:r>
        <w:t xml:space="preserve"> </w:t>
      </w:r>
      <w:r>
        <w:t xml:space="preserve">man auf der Karte mit der Maus über eine Gebäude-Markierung fährt (siehe</w:t>
      </w:r>
      <w:r>
        <w:t xml:space="preserve"> </w:t>
      </w:r>
      <w:r>
        <w:t xml:space="preserve">Abschnitt „Daten ansehen”), und steigert so die Wiedererkennbarkeit gegenüber</w:t>
      </w:r>
      <w:r>
        <w:t xml:space="preserve"> </w:t>
      </w:r>
      <w:r>
        <w:t xml:space="preserve">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67"/>
    <w:bookmarkStart w:id="79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71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69" name="Picture"/>
            <a:graphic>
              <a:graphicData uri="http://schemas.openxmlformats.org/drawingml/2006/picture">
                <pic:pic>
                  <pic:nvPicPr>
                    <pic:cNvPr descr="figures/wa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71"/>
    <w:bookmarkStart w:id="75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73" name="Picture"/>
            <a:graphic>
              <a:graphicData uri="http://schemas.openxmlformats.org/drawingml/2006/picture">
                <pic:pic>
                  <pic:nvPicPr>
                    <pic:cNvPr descr="figures/wissensgrap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75"/>
    <w:bookmarkStart w:id="76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Gebäude-Stammdaten (Eigentümer/Betreiber)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 (u. a. Einheitenbezug)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https://qudt.org/vocab/unit#</w:t>
      </w:r>
      <w:r>
        <w:t xml:space="preserve">) – Einheiten (kWh, m³, %)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foaf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http://xmlns.com/foaf/0.1/</w:t>
      </w:r>
      <w:r>
        <w:t xml:space="preserve">) – Organisationen und Agenten (Name, Logo,</w:t>
      </w:r>
      <w:r>
        <w:t xml:space="preserve"> </w:t>
      </w:r>
      <w:r>
        <w:t xml:space="preserve">Profil)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http://www.w3.org/ns/org#</w:t>
      </w:r>
      <w:r>
        <w:t xml:space="preserve">) – Mitgliedschaft Person ↔ Organisation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 und Kontaktdaten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http://www.w3.org/ns/prov#</w:t>
      </w:r>
      <w:r>
        <w:t xml:space="preserve">) – Datenherkunft/Provenienz („Data source”)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Datei-Metadaten von Anhängen (</w:t>
      </w:r>
      <w:r>
        <w:rPr>
          <w:rStyle w:val="VerbatimChar"/>
        </w:rPr>
        <w:t xml:space="preserve">MediaObject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Granergize-Kern (Sharing,</w:t>
      </w:r>
      <w:r>
        <w:t xml:space="preserve"> </w:t>
      </w:r>
      <w:r>
        <w:t xml:space="preserve">Präferenzen, Bookmarks)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bldg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https://solid.ti.rw.fau.de/gra/building.ttl#</w:t>
      </w:r>
      <w:r>
        <w:t xml:space="preserve">) – Gebäude-Erweiterungen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https://solid.ti.rw.fau.de/gra/consumption.ttl#</w:t>
      </w:r>
      <w:r>
        <w:t xml:space="preserve">) – Verbrauch,</w:t>
      </w:r>
      <w:r>
        <w:t xml:space="preserve"> </w:t>
      </w:r>
      <w:r>
        <w:t xml:space="preserve">Aggregationen, Benchmarks</w:t>
      </w:r>
    </w:p>
    <w:bookmarkEnd w:id="76"/>
    <w:bookmarkStart w:id="77" w:name="X906ba37f095a5a8070598c3766705802a8dfb17"/>
    <w:p>
      <w:pPr>
        <w:pStyle w:val="Heading3"/>
      </w:pPr>
      <w:r>
        <w:t xml:space="preserve">Wer mit einem Gebäude verbunden ist: Agenten</w:t>
      </w:r>
    </w:p>
    <w:p>
      <w:pPr>
        <w:pStyle w:val="FirstParagraph"/>
      </w:pPr>
      <w:r>
        <w:t xml:space="preserve">Rund um jedes Gebäude stehen</w:t>
      </w:r>
      <w:r>
        <w:t xml:space="preserve"> </w:t>
      </w:r>
      <w:r>
        <w:rPr>
          <w:b/>
          <w:bCs/>
        </w:rPr>
        <w:t xml:space="preserve">Agenten</w:t>
      </w:r>
      <w:r>
        <w:t xml:space="preserve"> </w:t>
      </w:r>
      <w:r>
        <w:t xml:space="preserve">– Personen oder Organisationen, die in der</w:t>
      </w:r>
      <w:r>
        <w:t xml:space="preserve"> </w:t>
      </w:r>
      <w:r>
        <w:t xml:space="preserve">Anwendung über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(eine weltweit eindeutige Web-Adresse, vgl. den Abschnitt</w:t>
      </w:r>
      <w:r>
        <w:t xml:space="preserve"> </w:t>
      </w:r>
      <w:r>
        <w:t xml:space="preserve">„Solid Pod einrichten”) eindeutig benannt sind. Ein Gebäude verweist auf solche Agenten</w:t>
      </w:r>
      <w:r>
        <w:t xml:space="preserve"> </w:t>
      </w:r>
      <w:r>
        <w:t xml:space="preserve">in klar benannten</w:t>
      </w:r>
      <w:r>
        <w:t xml:space="preserve"> </w:t>
      </w:r>
      <w:r>
        <w:rPr>
          <w:b/>
          <w:bCs/>
        </w:rPr>
        <w:t xml:space="preserve">Beziehungen</w:t>
      </w:r>
      <w:r>
        <w:t xml:space="preserve">, nicht als freien Text:</w:t>
      </w:r>
      <w:r>
        <w:t xml:space="preserve"> </w:t>
      </w:r>
      <w:r>
        <w:rPr>
          <w:b/>
          <w:bCs/>
        </w:rPr>
        <w:t xml:space="preserve">Eigentümer</w:t>
      </w:r>
      <w:r>
        <w:t xml:space="preserve">,</w:t>
      </w:r>
      <w:r>
        <w:t xml:space="preserve"> </w:t>
      </w:r>
      <w:r>
        <w:rPr>
          <w:b/>
          <w:bCs/>
        </w:rPr>
        <w:t xml:space="preserve">Betreiber</w:t>
      </w:r>
      <w:r>
        <w:t xml:space="preserve"> </w:t>
      </w:r>
      <w:r>
        <w:t xml:space="preserve">(maßgeblich für Benchmarks),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Facility-Management</w:t>
      </w:r>
      <w:r>
        <w:t xml:space="preserve">,</w:t>
      </w:r>
      <w:r>
        <w:t xml:space="preserve"> </w:t>
      </w:r>
      <w:r>
        <w:rPr>
          <w:b/>
          <w:bCs/>
        </w:rPr>
        <w:t xml:space="preserve">Projektentwickler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Berater</w:t>
      </w:r>
      <w:r>
        <w:t xml:space="preserve">. Der Betreiber eines Gebäudes ist damit ein Verweis auf dessen WebID –</w:t>
      </w:r>
      <w:r>
        <w:t xml:space="preserve"> </w:t>
      </w:r>
      <w:r>
        <w:t xml:space="preserve">und nicht bloß ein Name, der sich nirgendwo wiederfindet.</w:t>
      </w:r>
    </w:p>
    <w:p>
      <w:pPr>
        <w:pStyle w:val="BodyText"/>
      </w:pPr>
      <w:r>
        <w:t xml:space="preserve">Daneben hält jedes Gebäude fest,</w:t>
      </w:r>
      <w:r>
        <w:t xml:space="preserve"> </w:t>
      </w:r>
      <w:r>
        <w:rPr>
          <w:b/>
          <w:bCs/>
        </w:rPr>
        <w:t xml:space="preserve">wer seine Daten erstellt hat</w:t>
      </w:r>
      <w:r>
        <w:t xml:space="preserve"> </w:t>
      </w:r>
      <w:r>
        <w:t xml:space="preserve">(die Datenherkunft).</w:t>
      </w:r>
      <w:r>
        <w:t xml:space="preserve"> </w:t>
      </w:r>
      <w:r>
        <w:t xml:space="preserve">Diese Angabe erscheint als Zeile</w:t>
      </w:r>
      <w:r>
        <w:t xml:space="preserve"> </w:t>
      </w:r>
      <w:r>
        <w:rPr>
          <w:b/>
          <w:bCs/>
        </w:rPr>
        <w:t xml:space="preserve">„Data source”</w:t>
      </w:r>
      <w:r>
        <w:t xml:space="preserve"> </w:t>
      </w:r>
      <w:r>
        <w:t xml:space="preserve">und – sofern hinterlegt – mit</w:t>
      </w:r>
      <w:r>
        <w:t xml:space="preserve"> </w:t>
      </w:r>
      <w:r>
        <w:rPr>
          <w:b/>
          <w:bCs/>
        </w:rPr>
        <w:t xml:space="preserve">Name</w:t>
      </w:r>
      <w:r>
        <w:rPr>
          <w:b/>
          <w:bCs/>
        </w:rPr>
        <w:t xml:space="preserve"> </w:t>
      </w:r>
      <w:r>
        <w:rPr>
          <w:b/>
          <w:bCs/>
        </w:rPr>
        <w:t xml:space="preserve">und Logo der Organisation</w:t>
      </w:r>
      <w:r>
        <w:t xml:space="preserve"> </w:t>
      </w:r>
      <w:r>
        <w:t xml:space="preserve">in der Sprechblase des Kartenmarkers. So ist auf einen Blick</w:t>
      </w:r>
      <w:r>
        <w:t xml:space="preserve"> </w:t>
      </w:r>
      <w:r>
        <w:t xml:space="preserve">erkennbar, aus welcher Quelle ein Gebäude stammt, gerade wenn Sie Daten mehrerer Partner</w:t>
      </w:r>
      <w:r>
        <w:t xml:space="preserve"> </w:t>
      </w:r>
      <w:r>
        <w:t xml:space="preserve">nebeneinander betrachten.</w:t>
      </w:r>
    </w:p>
    <w:p>
      <w:pPr>
        <w:pStyle w:val="BodyText"/>
      </w:pPr>
      <w:r>
        <w:t xml:space="preserve">Ihre eigenen Kontakte verwalten Sie im Reiter</w:t>
      </w:r>
      <w:r>
        <w:t xml:space="preserve"> </w:t>
      </w:r>
      <w:r>
        <w:rPr>
          <w:b/>
          <w:bCs/>
        </w:rPr>
        <w:t xml:space="preserve">Agents</w:t>
      </w:r>
      <w:r>
        <w:t xml:space="preserve">: ein Adressbuch aus Personen und</w:t>
      </w:r>
      <w:r>
        <w:t xml:space="preserve"> </w:t>
      </w:r>
      <w:r>
        <w:t xml:space="preserve">Organisationen mit Name, Art (Person/Organisation) und Logo. Agenten, die in Ihren</w:t>
      </w:r>
      <w:r>
        <w:t xml:space="preserve"> </w:t>
      </w:r>
      <w:r>
        <w:t xml:space="preserve">Gebäuden auftauchen, Sie aber noch nicht gespeichert haben, listet die App gesondert als</w:t>
      </w:r>
      <w:r>
        <w:t xml:space="preserve"> </w:t>
      </w:r>
      <w:r>
        <w:rPr>
          <w:b/>
          <w:bCs/>
        </w:rPr>
        <w:t xml:space="preserve">referenzierte</w:t>
      </w:r>
      <w:r>
        <w:t xml:space="preserve"> </w:t>
      </w:r>
      <w:r>
        <w:t xml:space="preserve">Agenten – Sie können sie mit einem Klick ins Adressbuch übernehmen. Auch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Teilen</w:t>
      </w:r>
      <w:r>
        <w:t xml:space="preserve"> </w:t>
      </w:r>
      <w:r>
        <w:t xml:space="preserve">eines Gebäudes ist der Empfänger ein Agent: Sie geben dessen WebID an. Und</w:t>
      </w:r>
      <w:r>
        <w:t xml:space="preserve"> </w:t>
      </w:r>
      <w:r>
        <w:rPr>
          <w:b/>
          <w:bCs/>
        </w:rPr>
        <w:t xml:space="preserve">Ihre eigene Organisation</w:t>
      </w:r>
      <w:r>
        <w:t xml:space="preserve"> </w:t>
      </w:r>
      <w:r>
        <w:t xml:space="preserve">(Name und Logo, siehe Abschnitt „Ihre Organisation festlegen”)</w:t>
      </w:r>
      <w:r>
        <w:t xml:space="preserve"> </w:t>
      </w:r>
      <w:r>
        <w:t xml:space="preserve">hinterlegen Sie einmalig in Ihrem Profil; sie erscheint dann in der Kopfzeile und an den</w:t>
      </w:r>
      <w:r>
        <w:t xml:space="preserve"> </w:t>
      </w:r>
      <w:r>
        <w:t xml:space="preserve">Gebäuden, deren Daten Sie erstellen.</w:t>
      </w:r>
    </w:p>
    <w:p>
      <w:pPr>
        <w:pStyle w:val="BodyText"/>
      </w:pPr>
      <w:r>
        <w:t xml:space="preserve">Wichtig: Eine Beziehung wie</w:t>
      </w:r>
      <w:r>
        <w:t xml:space="preserve"> </w:t>
      </w:r>
      <w:r>
        <w:rPr>
          <w:b/>
          <w:bCs/>
        </w:rPr>
        <w:t xml:space="preserve">„Eigentümer”</w:t>
      </w:r>
      <w:r>
        <w:t xml:space="preserve"> </w:t>
      </w:r>
      <w:r>
        <w:t xml:space="preserve">ist eine Verbindung</w:t>
      </w:r>
      <w:r>
        <w:t xml:space="preserve"> </w:t>
      </w:r>
      <w:r>
        <w:rPr>
          <w:b/>
          <w:bCs/>
        </w:rPr>
        <w:t xml:space="preserve">zwischen Gebäude und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– keine feste Eigenschaft des Agenten. Dieselbe Organisation kann bei einem</w:t>
      </w:r>
      <w:r>
        <w:t xml:space="preserve"> </w:t>
      </w:r>
      <w:r>
        <w:t xml:space="preserve">Gebäude Eigentümer und bei einem anderen nur Betreiber sein. Eine</w:t>
      </w:r>
      <w:r>
        <w:t xml:space="preserve"> </w:t>
      </w:r>
      <w:r>
        <w:rPr>
          <w:b/>
          <w:bCs/>
        </w:rPr>
        <w:t xml:space="preserve">Rolle</w:t>
      </w:r>
      <w:r>
        <w:t xml:space="preserve">, die einer</w:t>
      </w:r>
      <w:r>
        <w:t xml:space="preserve"> </w:t>
      </w:r>
      <w:r>
        <w:t xml:space="preserve">Person dauerhaft anhaftet, gibt es in der App nur an einer Stelle: als</w:t>
      </w:r>
      <w:r>
        <w:t xml:space="preserve"> </w:t>
      </w:r>
      <w:r>
        <w:rPr>
          <w:b/>
          <w:bCs/>
        </w:rPr>
        <w:t xml:space="preserve">Mitgliedschaft in</w:t>
      </w:r>
      <w:r>
        <w:rPr>
          <w:b/>
          <w:bCs/>
        </w:rPr>
        <w:t xml:space="preserve"> </w:t>
      </w:r>
      <w:r>
        <w:rPr>
          <w:b/>
          <w:bCs/>
        </w:rPr>
        <w:t xml:space="preserve">einem Datenraum</w:t>
      </w:r>
      <w:r>
        <w:t xml:space="preserve"> </w:t>
      </w:r>
      <w:r>
        <w:t xml:space="preserve">(siehe Abschnitt „Rollenbasierte Freigaben”).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Beteiligten-Beziehungen sind Objekt-Eigenschaften mit einer WebID als Ziel:</w:t>
      </w:r>
      <w:r>
        <w:t xml:space="preserve"> </w:t>
      </w:r>
      <w:r>
        <w:rPr>
          <w:rStyle w:val="VerbatimChar"/>
        </w:rPr>
        <w:t xml:space="preserve">rec:ownedBy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rec:operatedBy</w:t>
      </w:r>
      <w:r>
        <w:t xml:space="preserve"> </w:t>
      </w:r>
      <w:r>
        <w:t xml:space="preserve">(Betreiber),</w:t>
      </w:r>
      <w:r>
        <w:t xml:space="preserve"> </w:t>
      </w:r>
      <w:r>
        <w:rPr>
          <w:rStyle w:val="VerbatimChar"/>
        </w:rPr>
        <w:t xml:space="preserve">bldg:investor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bldg:facilityManagedBy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bldg:developedBy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bldg:consultedBy</w:t>
      </w:r>
      <w:r>
        <w:t xml:space="preserve">. Die Datenherkunft ist eine PROV-O-Attribution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prov:qualifiedAttribution → prov:Attribution → prov:agent &lt;webid&gt;</w:t>
      </w:r>
      <w:r>
        <w:t xml:space="preserve">), die der Parser als</w:t>
      </w:r>
      <w:r>
        <w:t xml:space="preserve"> </w:t>
      </w:r>
      <w:r>
        <w:rPr>
          <w:rStyle w:val="VerbatimChar"/>
        </w:rPr>
        <w:t xml:space="preserve">Building.attributedTo</w:t>
      </w:r>
      <w:r>
        <w:t xml:space="preserve"> </w:t>
      </w:r>
      <w:r>
        <w:t xml:space="preserve">liest; ein früher genutztes</w:t>
      </w:r>
      <w:r>
        <w:t xml:space="preserve"> </w:t>
      </w:r>
      <w:r>
        <w:rPr>
          <w:rStyle w:val="VerbatimChar"/>
        </w:rPr>
        <w:t xml:space="preserve">prov:hadRole</w:t>
      </w:r>
      <w:r>
        <w:t xml:space="preserve"> </w:t>
      </w:r>
      <w:r>
        <w:t xml:space="preserve">wird ignoriert. Das</w:t>
      </w:r>
      <w:r>
        <w:t xml:space="preserve"> </w:t>
      </w:r>
      <w:r>
        <w:t xml:space="preserve">Adressbuch ist eine</w:t>
      </w:r>
      <w:r>
        <w:t xml:space="preserve"> </w:t>
      </w:r>
      <w:r>
        <w:rPr>
          <w:rStyle w:val="VerbatimChar"/>
        </w:rPr>
        <w:t xml:space="preserve">vcard:AddressBook</w:t>
      </w:r>
      <w:r>
        <w:t xml:space="preserve">-Datei (</w:t>
      </w:r>
      <w:r>
        <w:rPr>
          <w:rStyle w:val="VerbatimChar"/>
        </w:rPr>
        <w:t xml:space="preserve">agents.ttl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vcard:hasMember</w:t>
      </w:r>
      <w:r>
        <w:t xml:space="preserve">; die</w:t>
      </w:r>
      <w:r>
        <w:t xml:space="preserve"> </w:t>
      </w:r>
      <w:r>
        <w:t xml:space="preserve">eigene Organisation ist ein</w:t>
      </w:r>
      <w:r>
        <w:t xml:space="preserve"> </w:t>
      </w:r>
      <w:r>
        <w:rPr>
          <w:rStyle w:val="VerbatimChar"/>
        </w:rPr>
        <w:t xml:space="preserve">foaf:Organization</w:t>
      </w:r>
      <w:r>
        <w:t xml:space="preserve">-Knoten im WebID-Profil (</w:t>
      </w:r>
      <w:r>
        <w:rPr>
          <w:rStyle w:val="VerbatimChar"/>
        </w:rPr>
        <w:t xml:space="preserve">foaf:name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foaf:logo</w:t>
      </w:r>
      <w:r>
        <w:t xml:space="preserve">,</w:t>
      </w:r>
      <w:r>
        <w:t xml:space="preserve"> </w:t>
      </w:r>
      <w:r>
        <w:rPr>
          <w:rStyle w:val="VerbatimChar"/>
        </w:rPr>
        <w:t xml:space="preserve">foaf:homepage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owl:sameAs</w:t>
      </w:r>
      <w:r>
        <w:t xml:space="preserve">) – ohne</w:t>
      </w:r>
      <w:r>
        <w:t xml:space="preserve"> </w:t>
      </w:r>
      <w:r>
        <w:rPr>
          <w:rStyle w:val="VerbatimChar"/>
        </w:rPr>
        <w:t xml:space="preserve">org:role</w:t>
      </w:r>
      <w:r>
        <w:t xml:space="preserve">.</w:t>
      </w:r>
    </w:p>
    <w:bookmarkEnd w:id="77"/>
    <w:bookmarkStart w:id="78" w:name="welche-energiezahlen-die-app-kennt"/>
    <w:p>
      <w:pPr>
        <w:pStyle w:val="Heading3"/>
      </w:pPr>
      <w:r>
        <w:t xml:space="preserve">Welche Energiezahlen die App kennt</w:t>
      </w:r>
    </w:p>
    <w:p>
      <w:pPr>
        <w:pStyle w:val="FirstParagraph"/>
      </w:pPr>
      <w:r>
        <w:t xml:space="preserve">Die Anwendung unterscheidet zwei grundverschiedene Arten von Zahlen zu einem Gebäude:</w:t>
      </w:r>
      <w:r>
        <w:t xml:space="preserve"> </w:t>
      </w:r>
      <w:r>
        <w:rPr>
          <w:b/>
          <w:bCs/>
        </w:rPr>
        <w:t xml:space="preserve">Stammdaten</w:t>
      </w:r>
      <w:r>
        <w:t xml:space="preserve">, die das Gebäude beschreiben, und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, die seinen</w:t>
      </w:r>
      <w:r>
        <w:t xml:space="preserve"> </w:t>
      </w:r>
      <w:r>
        <w:t xml:space="preserve">Energieeinsatz messen.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Stammdaten</w:t>
      </w:r>
      <w:r>
        <w:t xml:space="preserve"> </w:t>
      </w:r>
      <w:r>
        <w:t xml:space="preserve">umfassen unter anderem: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Lage und Adresse:</w:t>
      </w:r>
      <w:r>
        <w:t xml:space="preserve"> </w:t>
      </w:r>
      <w:r>
        <w:t xml:space="preserve">Straße, Postleitzahl, Ort, Region sowie geografische Koordinaten</w:t>
      </w:r>
      <w:r>
        <w:t xml:space="preserve"> </w:t>
      </w:r>
      <w:r>
        <w:t xml:space="preserve">für die Karte.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Flächen und Maße:</w:t>
      </w:r>
      <w:r>
        <w:t xml:space="preserve"> </w:t>
      </w:r>
      <w:r>
        <w:t xml:space="preserve">Gebäudefläche, Grundstücksfläche, Bürofläche, Hallenfläche,</w:t>
      </w:r>
      <w:r>
        <w:t xml:space="preserve"> </w:t>
      </w:r>
      <w:r>
        <w:t xml:space="preserve">Sozialflächen und Gebäudehöhe.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Bau und Zustand:</w:t>
      </w:r>
      <w:r>
        <w:t xml:space="preserve"> </w:t>
      </w:r>
      <w:r>
        <w:t xml:space="preserve">Baujahr und Sanierungsjahr.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Nutzung:</w:t>
      </w:r>
      <w:r>
        <w:t xml:space="preserve"> </w:t>
      </w:r>
      <w:r>
        <w:t xml:space="preserve">Nutzungsart, Logistikfunktion, Art der Klimatisierung, Schichtbetrieb,</w:t>
      </w:r>
      <w:r>
        <w:t xml:space="preserve"> </w:t>
      </w:r>
      <w:r>
        <w:t xml:space="preserve">Miet- bzw. Pachtform, Anzahl der Ladetore und die Branche des Mieters.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Technische Anlagen:</w:t>
      </w:r>
      <w:r>
        <w:t xml:space="preserve"> </w:t>
      </w:r>
      <w:r>
        <w:t xml:space="preserve">vorhandene Photovoltaik-, Batteriespeicher- oder</w:t>
      </w:r>
      <w:r>
        <w:t xml:space="preserve"> </w:t>
      </w:r>
      <w:r>
        <w:t xml:space="preserve">Blockheizkraftwerks-Anlagen werden als eigene technische Systeme mit eigenen Kennzahlen</w:t>
      </w:r>
      <w:r>
        <w:t xml:space="preserve"> </w:t>
      </w:r>
      <w:r>
        <w:t xml:space="preserve">(etwa der installierten Leistung) hinterlegt.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Kennungen und Beteiligte:</w:t>
      </w:r>
      <w:r>
        <w:t xml:space="preserve"> </w:t>
      </w:r>
      <w:r>
        <w:t xml:space="preserve">interner Gebäudecode, NACE-Wirtschaftszweig sowie die im</w:t>
      </w:r>
      <w:r>
        <w:t xml:space="preserve"> </w:t>
      </w:r>
      <w:r>
        <w:t xml:space="preserve">vorigen Abschnitt beschriebenen Agenten (Eigentümer, Betreiber …).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/>
          <w:bCs/>
        </w:rPr>
        <w:t xml:space="preserve">Verbrauchsdaten</w:t>
      </w:r>
      <w:r>
        <w:t xml:space="preserve"> </w:t>
      </w:r>
      <w:r>
        <w:t xml:space="preserve">werden je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geführt (siehe Abschnitt „Energiedaten erfassen</w:t>
      </w:r>
      <w:r>
        <w:t xml:space="preserve"> </w:t>
      </w:r>
      <w:r>
        <w:t xml:space="preserve">und aktualisieren”). Pro Jahr erfasst die App die folgenden Größen: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Wärmeverbrauch</w:t>
      </w:r>
      <w:r>
        <w:t xml:space="preserve"> </w:t>
      </w:r>
      <w:r>
        <w:t xml:space="preserve">(kWh)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Wasserverbrauch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Abwasser</w:t>
      </w:r>
      <w:r>
        <w:t xml:space="preserve"> </w:t>
      </w:r>
      <w:r>
        <w:t xml:space="preserve">(m³)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Erneuerbarer Eigenanteil</w:t>
      </w:r>
      <w:r>
        <w:t xml:space="preserve"> </w:t>
      </w:r>
      <w:r>
        <w:t xml:space="preserve">– der selbst erzeugte, erneuerbare Anteil am Strom (%)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Stromerzeugung</w:t>
      </w:r>
      <w:r>
        <w:t xml:space="preserve"> </w:t>
      </w:r>
      <w:r>
        <w:t xml:space="preserve">– etwa aus einer eigenen PV-Anlage (kWh)</w:t>
      </w:r>
    </w:p>
    <w:p>
      <w:pPr>
        <w:pStyle w:val="FirstParagraph"/>
      </w:pPr>
      <w:r>
        <w:t xml:space="preserve">Jedes Jahr lässt sich zudem in zwei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ablegen: als</w:t>
      </w:r>
      <w:r>
        <w:t xml:space="preserve"> </w:t>
      </w:r>
      <w:r>
        <w:rPr>
          <w:b/>
          <w:bCs/>
        </w:rPr>
        <w:t xml:space="preserve">Ist-Wert</w:t>
      </w:r>
      <w:r>
        <w:t xml:space="preserve"> </w:t>
      </w:r>
      <w:r>
        <w:t xml:space="preserve">(tatsächlich</w:t>
      </w:r>
      <w:r>
        <w:t xml:space="preserve"> </w:t>
      </w:r>
      <w:r>
        <w:t xml:space="preserve">gemessen) und als</w:t>
      </w:r>
      <w:r>
        <w:t xml:space="preserve"> </w:t>
      </w:r>
      <w:r>
        <w:rPr>
          <w:b/>
          <w:bCs/>
        </w:rPr>
        <w:t xml:space="preserve">Soll-Wert</w:t>
      </w:r>
      <w:r>
        <w:t xml:space="preserve"> </w:t>
      </w:r>
      <w:r>
        <w:t xml:space="preserve">(geplant). Damit lassen sich Plan und Verbrauch unmittelbar</w:t>
      </w:r>
      <w:r>
        <w:t xml:space="preserve"> </w:t>
      </w:r>
      <w:r>
        <w:t xml:space="preserve">nebeneinanderstellen. Energiedaten können entweder als</w:t>
      </w:r>
      <w:r>
        <w:t xml:space="preserve"> </w:t>
      </w:r>
      <w:r>
        <w:rPr>
          <w:b/>
          <w:bCs/>
        </w:rPr>
        <w:t xml:space="preserve">Jahressumme</w:t>
      </w:r>
      <w:r>
        <w:t xml:space="preserve"> </w:t>
      </w:r>
      <w:r>
        <w:t xml:space="preserve">vorliegen oder – bei</w:t>
      </w:r>
      <w:r>
        <w:t xml:space="preserve"> </w:t>
      </w:r>
      <w:r>
        <w:t xml:space="preserve">feiner Auflösung – als</w:t>
      </w:r>
      <w:r>
        <w:t xml:space="preserve"> </w:t>
      </w:r>
      <w:r>
        <w:rPr>
          <w:b/>
          <w:bCs/>
        </w:rPr>
        <w:t xml:space="preserve">Zeitreihe</w:t>
      </w:r>
      <w:r>
        <w:t xml:space="preserve"> </w:t>
      </w:r>
      <w:r>
        <w:t xml:space="preserve">(etwa Viertelstundenwerte); Zeitreihen lädt die App</w:t>
      </w:r>
      <w:r>
        <w:t xml:space="preserve"> </w:t>
      </w:r>
      <w:r>
        <w:t xml:space="preserve">erst bei Bedarf nach, da sie sehr umfangreich werden können.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Verbrauchswerte sind SOSA-Beobachtungen (</w:t>
      </w:r>
      <w:r>
        <w:rPr>
          <w:rStyle w:val="VerbatimChar"/>
        </w:rPr>
        <w:t xml:space="preserve">sosa:Observation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sosa:observedProperty</w:t>
      </w:r>
      <w:r>
        <w:t xml:space="preserve"> </w:t>
      </w:r>
      <w:r>
        <w:t xml:space="preserve">aus der</w:t>
      </w:r>
      <w:r>
        <w:t xml:space="preserve"> </w:t>
      </w:r>
      <w:r>
        <w:rPr>
          <w:rStyle w:val="VerbatimChar"/>
        </w:rPr>
        <w:t xml:space="preserve">cons</w:t>
      </w:r>
      <w:r>
        <w:t xml:space="preserve">-Ontologie:</w:t>
      </w:r>
      <w:r>
        <w:t xml:space="preserve"> </w:t>
      </w:r>
      <w:r>
        <w:rPr>
          <w:rStyle w:val="VerbatimChar"/>
        </w:rPr>
        <w:t xml:space="preserve">cons:ElectricityConsumption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cons:HeatConsumption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cons:WastewaterConsumption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cons:RenewableSelfGeneratedShare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cons:ElectricityGeneration</w:t>
      </w:r>
      <w:r>
        <w:t xml:space="preserve">. Sie sind je Jahr in einem</w:t>
      </w:r>
      <w:r>
        <w:t xml:space="preserve"> </w:t>
      </w:r>
      <w:r>
        <w:rPr>
          <w:rStyle w:val="VerbatimChar"/>
        </w:rPr>
        <w:t xml:space="preserve">cons:EnergyDataset</w:t>
      </w:r>
      <w:r>
        <w:t xml:space="preserve"> </w:t>
      </w:r>
      <w:r>
        <w:t xml:space="preserve">gebündelt;</w:t>
      </w:r>
      <w:r>
        <w:t xml:space="preserve"> </w:t>
      </w:r>
      <w:r>
        <w:rPr>
          <w:rStyle w:val="VerbatimChar"/>
        </w:rPr>
        <w:t xml:space="preserve">cons:granularity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P1Y</w:t>
      </w:r>
      <w:r>
        <w:t xml:space="preserve"> </w:t>
      </w:r>
      <w:r>
        <w:t xml:space="preserve">für Jahreswerte,</w:t>
      </w:r>
      <w:r>
        <w:t xml:space="preserve"> </w:t>
      </w:r>
      <w:r>
        <w:rPr>
          <w:rStyle w:val="VerbatimChar"/>
        </w:rPr>
        <w:t xml:space="preserve">PT15M</w:t>
      </w:r>
      <w:r>
        <w:t xml:space="preserve"> </w:t>
      </w:r>
      <w:r>
        <w:t xml:space="preserve">für Viertelstunden) steuert</w:t>
      </w:r>
      <w:r>
        <w:t xml:space="preserve"> </w:t>
      </w:r>
      <w:r>
        <w:t xml:space="preserve">das Nachladen,</w:t>
      </w:r>
      <w:r>
        <w:t xml:space="preserve"> </w:t>
      </w:r>
      <w:r>
        <w:rPr>
          <w:rStyle w:val="VerbatimChar"/>
        </w:rPr>
        <w:t xml:space="preserve">cons:scenario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cons:Actual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cons:Planned</w:t>
      </w:r>
      <w:r>
        <w:t xml:space="preserve">) das Soll-Ist-Szenario.</w:t>
      </w:r>
      <w:r>
        <w:t xml:space="preserve"> </w:t>
      </w:r>
      <w:r>
        <w:t xml:space="preserve">Einheiten werden über QUDT bezeichnet (</w:t>
      </w:r>
      <w:r>
        <w:rPr>
          <w:rStyle w:val="VerbatimChar"/>
        </w:rPr>
        <w:t xml:space="preserve">unit:KiloW-HR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unit:M3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unit:PERCENT</w:t>
      </w:r>
      <w:r>
        <w:t xml:space="preserve">).</w:t>
      </w:r>
    </w:p>
    <w:bookmarkEnd w:id="78"/>
    <w:bookmarkEnd w:id="79"/>
    <w:bookmarkStart w:id="83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auch die mitgelieferten Beispieldateien, die „Autofill from file”</w:t>
      </w:r>
      <w:r>
        <w:t xml:space="preserve"> </w:t>
      </w:r>
      <w:r>
        <w:t xml:space="preserve">direkt zum Ausprobieren anbietet.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81" name="Picture"/>
            <a:graphic>
              <a:graphicData uri="http://schemas.openxmlformats.org/drawingml/2006/picture">
                <pic:pic>
                  <pic:nvPicPr>
                    <pic:cNvPr descr="figures/add-buildin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83"/>
    <w:bookmarkStart w:id="87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ktionen je Gebäude im Tab „Manage”: bearbeiten, Dateien, Energiejahr, teilen, herunterladen, löschen" title="" id="85" name="Picture"/>
            <a:graphic>
              <a:graphicData uri="http://schemas.openxmlformats.org/drawingml/2006/picture">
                <pic:pic>
                  <pic:nvPicPr>
                    <pic:cNvPr descr="figures/manage-action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87"/>
    <w:bookmarkStart w:id="91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89" name="Picture"/>
            <a:graphic>
              <a:graphicData uri="http://schemas.openxmlformats.org/drawingml/2006/picture">
                <pic:pic>
                  <pic:nvPicPr>
                    <pic:cNvPr descr="figures/energy-yea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91"/>
    <w:bookmarkStart w:id="102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Gebäude</w:t>
      </w:r>
      <w:r>
        <w:t xml:space="preserve"> </w:t>
      </w:r>
      <w:r>
        <w:t xml:space="preserve">einen Gebäude-Marker. Die Farbe der Markierung</w:t>
      </w:r>
      <w:r>
        <w:t xml:space="preserve"> </w:t>
      </w:r>
      <w:r>
        <w:t xml:space="preserve">unterscheidet eigene Gebäude (blau) von mit Ihnen geteilten (orange). Beim</w:t>
      </w:r>
      <w:r>
        <w:t xml:space="preserve"> </w:t>
      </w:r>
      <w:r>
        <w:t xml:space="preserve">Überfahren eines Markers mit der Maus zeigt ein Hinweisfenster Name und Adresse</w:t>
      </w:r>
      <w:r>
        <w:t xml:space="preserve"> </w:t>
      </w:r>
      <w:r>
        <w:t xml:space="preserve">des Gebäudes sowie Firmenname und -logo des jeweiligen Datenproduzenten, sofern</w:t>
      </w:r>
      <w:r>
        <w:t xml:space="preserve"> </w:t>
      </w:r>
      <w:r>
        <w:t xml:space="preserve">diese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wurden.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(etwa</w:t>
      </w:r>
      <w:r>
        <w:t xml:space="preserve"> </w:t>
      </w:r>
      <w:r>
        <w:t xml:space="preserve">wenn Sie zum importierten Lastgang-Beispiel noch Jahreswerte erfassen).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Tab „Gebäude“ mit Reitern" title="" id="93" name="Picture"/>
            <a:graphic>
              <a:graphicData uri="http://schemas.openxmlformats.org/drawingml/2006/picture">
                <pic:pic>
                  <pic:nvPicPr>
                    <pic:cNvPr descr="figures/map-tab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Tab „Gebäude“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96" name="Picture"/>
            <a:graphic>
              <a:graphicData uri="http://schemas.openxmlformats.org/drawingml/2006/picture">
                <pic:pic>
                  <pic:nvPicPr>
                    <pic:cNvPr descr="figures/energy-data-tab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101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99" name="Picture"/>
            <a:graphic>
              <a:graphicData uri="http://schemas.openxmlformats.org/drawingml/2006/picture">
                <pic:pic>
                  <pic:nvPicPr>
                    <pic:cNvPr descr="figures/energy-detail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101"/>
    <w:bookmarkEnd w:id="102"/>
    <w:bookmarkStart w:id="106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„Vertriebsunterstützung”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Beobachtungen”: die Karte mit aktiver Energie-Linse – die Marker sind nach Energieintensität eingefärbt, die Legende zeigt die Kategorien" title="" id="104" name="Picture"/>
            <a:graphic>
              <a:graphicData uri="http://schemas.openxmlformats.org/drawingml/2006/picture">
                <pic:pic>
                  <pic:nvPicPr>
                    <pic:cNvPr descr="figures/energy-len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„Beobachtungen”: die Karte mit aktiver Energie-Linse – die Marker sind nach Energieintensität eingefärbt, die Legende zeigt die Kategorien</w:t>
      </w:r>
    </w:p>
    <w:bookmarkEnd w:id="106"/>
    <w:bookmarkStart w:id="110" w:name="Xef6a279b9530bf340c8855c6358ef17f03b22fb"/>
    <w:p>
      <w:pPr>
        <w:pStyle w:val="Heading2"/>
      </w:pPr>
      <w:r>
        <w:t xml:space="preserve">Die Entwicklung über die Jahre lesen (Ansicht „Im Zeitverlauf”)</w:t>
      </w:r>
    </w:p>
    <w:p>
      <w:pPr>
        <w:pStyle w:val="FirstParagraph"/>
      </w:pPr>
      <w:r>
        <w:t xml:space="preserve">Die Karte zeigt den gesamten Bestand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Jahr. Die Ansicht</w:t>
      </w:r>
      <w:r>
        <w:t xml:space="preserve"> </w:t>
      </w:r>
      <w:r>
        <w:rPr>
          <w:b/>
          <w:bCs/>
        </w:rPr>
        <w:t xml:space="preserve">Im</w:t>
      </w:r>
      <w:r>
        <w:rPr>
          <w:b/>
          <w:bCs/>
        </w:rPr>
        <w:t xml:space="preserve"> </w:t>
      </w:r>
      <w:r>
        <w:rPr>
          <w:b/>
          <w:bCs/>
        </w:rPr>
        <w:t xml:space="preserve">Zeitverlauf</w:t>
      </w:r>
      <w:r>
        <w:t xml:space="preserve"> </w:t>
      </w:r>
      <w:r>
        <w:t xml:space="preserve">im Tab</w:t>
      </w:r>
      <w:r>
        <w:t xml:space="preserve"> </w:t>
      </w:r>
      <w:r>
        <w:rPr>
          <w:b/>
          <w:bCs/>
        </w:rPr>
        <w:t xml:space="preserve">Beobachtungen</w:t>
      </w:r>
      <w:r>
        <w:t xml:space="preserve"> </w:t>
      </w:r>
      <w:r>
        <w:t xml:space="preserve">dreht dieselben Daten um 90 Grad: Zeilen</w:t>
      </w:r>
      <w:r>
        <w:t xml:space="preserve"> </w:t>
      </w:r>
      <w:r>
        <w:t xml:space="preserve">sind die Gebäude, Spalten die erfassten Jahre, und jede Zelle steht für ein</w:t>
      </w:r>
      <w:r>
        <w:t xml:space="preserve"> </w:t>
      </w:r>
      <w:r>
        <w:t xml:space="preserve">Gebäude in einem Jahr. Eine abschließende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fasst die Richtung</w:t>
      </w:r>
      <w:r>
        <w:t xml:space="preserve"> </w:t>
      </w:r>
      <w:r>
        <w:t xml:space="preserve">zusammen. So lesen Sie die gesamte zeitliche Entwicklung Ihres Portfolios auf</w:t>
      </w:r>
      <w:r>
        <w:t xml:space="preserve"> </w:t>
      </w:r>
      <w:r>
        <w:t xml:space="preserve">einmal. Ein Klick auf eine Zelle führt zur Energie-Detailseite des Gebäudes.</w:t>
      </w:r>
    </w:p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Zellfarbe</w:t>
      </w:r>
      <w:r>
        <w:t xml:space="preserve"> </w:t>
      </w:r>
      <w:r>
        <w:t xml:space="preserve">benutzt dieselben Kategorien wie die Energie-Linse („More</w:t>
      </w:r>
      <w:r>
        <w:t xml:space="preserve"> </w:t>
      </w:r>
      <w:r>
        <w:t xml:space="preserve">efficient”, „Typical”, „Less efficient”), berechnet sie aber</w:t>
      </w:r>
      <w:r>
        <w:t xml:space="preserve"> </w:t>
      </w:r>
      <w:r>
        <w:rPr>
          <w:b/>
          <w:bCs/>
        </w:rPr>
        <w:t xml:space="preserve">je Spalte neu</w:t>
      </w:r>
      <w:r>
        <w:t xml:space="preserve">:</w:t>
      </w:r>
      <w:r>
        <w:t xml:space="preserve"> </w:t>
      </w:r>
      <w:r>
        <w:t xml:space="preserve">Ein Gebäude wird gegen die</w:t>
      </w:r>
      <w:r>
        <w:t xml:space="preserve"> </w:t>
      </w:r>
      <w:r>
        <w:rPr>
          <w:b/>
          <w:bCs/>
        </w:rPr>
        <w:t xml:space="preserve">im selben Jahr angezeigten</w:t>
      </w:r>
      <w:r>
        <w:t xml:space="preserve"> </w:t>
      </w:r>
      <w:r>
        <w:t xml:space="preserve">Gebäude eingeordnet.</w:t>
      </w:r>
      <w:r>
        <w:t xml:space="preserve"> </w:t>
      </w:r>
      <w:r>
        <w:t xml:space="preserve">Maßgeblich ist wie auf der Karte die</w:t>
      </w:r>
      <w:r>
        <w:t xml:space="preserve"> </w:t>
      </w:r>
      <w:r>
        <w:rPr>
          <w:b/>
          <w:bCs/>
        </w:rPr>
        <w:t xml:space="preserve">Intensität</w:t>
      </w:r>
      <w:r>
        <w:t xml:space="preserve"> </w:t>
      </w:r>
      <w:r>
        <w:t xml:space="preserve">(kWh/m²/a bzw. m³/m²/a),</w:t>
      </w:r>
      <w:r>
        <w:t xml:space="preserve"> </w:t>
      </w:r>
      <w:r>
        <w:t xml:space="preserve">nicht der absolute Verbrauch. Daraus folgt eine Eigenschaft, die man kennen</w:t>
      </w:r>
      <w:r>
        <w:t xml:space="preserve"> </w:t>
      </w:r>
      <w:r>
        <w:t xml:space="preserve">muss:</w:t>
      </w:r>
      <w:r>
        <w:t xml:space="preserve"> </w:t>
      </w:r>
      <w:r>
        <w:rPr>
          <w:b/>
          <w:bCs/>
        </w:rPr>
        <w:t xml:space="preserve">Suchen oder Filtern verschiebt den Vergleichsmaßstab</w:t>
      </w:r>
      <w:r>
        <w:t xml:space="preserve"> </w:t>
      </w:r>
      <w:r>
        <w:t xml:space="preserve">und damit die</w:t>
      </w:r>
      <w:r>
        <w:t xml:space="preserve"> </w:t>
      </w:r>
      <w:r>
        <w:t xml:space="preserve">Farben. Eine Farbe ist eine Aussage über die Nachbarschaft in genau diesem Jahr,</w:t>
      </w:r>
      <w:r>
        <w:t xml:space="preserve"> </w:t>
      </w:r>
      <w:r>
        <w:t xml:space="preserve">kein absolutes Gütesiegel. Fehlt ein Jahreswert oder die Fläche, bleibt die</w:t>
      </w:r>
      <w:r>
        <w:t xml:space="preserve"> </w:t>
      </w:r>
      <w:r>
        <w:t xml:space="preserve">Zelle als gestrichelte Lücke stehen – ein Loch bleibt ein Loch und wird nicht</w:t>
      </w:r>
      <w:r>
        <w:t xml:space="preserve"> </w:t>
      </w:r>
      <w:r>
        <w:t xml:space="preserve">als Null dargestellt.</w:t>
      </w:r>
    </w:p>
    <w:p>
      <w:pPr>
        <w:pStyle w:val="BodyText"/>
      </w:pPr>
      <w:r>
        <w:t xml:space="preserve">Wählen Sie als Kennzahl die</w:t>
      </w:r>
      <w:r>
        <w:t xml:space="preserve"> </w:t>
      </w:r>
      <w:r>
        <w:rPr>
          <w:b/>
          <w:bCs/>
        </w:rPr>
        <w:t xml:space="preserve">Stromerzeugung</w:t>
      </w:r>
      <w:r>
        <w:t xml:space="preserve">, wechselt die Skala auf eine</w:t>
      </w:r>
      <w:r>
        <w:t xml:space="preserve"> </w:t>
      </w:r>
      <w:r>
        <w:rPr>
          <w:b/>
          <w:bCs/>
        </w:rPr>
        <w:t xml:space="preserve">neutrale</w:t>
      </w:r>
      <w:r>
        <w:t xml:space="preserve"> </w:t>
      </w:r>
      <w:r>
        <w:t xml:space="preserve">Rampe („Niedriger”, „Mittel”, „Höher”). Mehr Ertrag aus einer</w:t>
      </w:r>
      <w:r>
        <w:t xml:space="preserve"> </w:t>
      </w:r>
      <w:r>
        <w:t xml:space="preserve">PV-Anlage ist nicht „ineffizient”; eine Effizienznote wäre hier sinnlos.</w:t>
      </w:r>
    </w:p>
    <w:p>
      <w:pPr>
        <w:pStyle w:val="BodyText"/>
      </w:pPr>
      <w:r>
        <w:t xml:space="preserve">Die Spalte</w:t>
      </w:r>
      <w:r>
        <w:t xml:space="preserve"> </w:t>
      </w:r>
      <w:r>
        <w:rPr>
          <w:b/>
          <w:bCs/>
        </w:rPr>
        <w:t xml:space="preserve">Trend</w:t>
      </w:r>
      <w:r>
        <w:t xml:space="preserve"> </w:t>
      </w:r>
      <w:r>
        <w:t xml:space="preserve">vergleicht jedes Gebäude dagegen</w:t>
      </w:r>
      <w:r>
        <w:t xml:space="preserve"> </w:t>
      </w:r>
      <w:r>
        <w:rPr>
          <w:b/>
          <w:bCs/>
        </w:rPr>
        <w:t xml:space="preserve">mit sich selbst</w:t>
      </w:r>
      <w:r>
        <w:t xml:space="preserve">:</w:t>
      </w:r>
      <w:r>
        <w:t xml:space="preserve"> </w:t>
      </w:r>
      <w:r>
        <w:t xml:space="preserve">herangezogen werden die beiden</w:t>
      </w:r>
      <w:r>
        <w:t xml:space="preserve"> </w:t>
      </w:r>
      <w:r>
        <w:rPr>
          <w:b/>
          <w:bCs/>
        </w:rPr>
        <w:t xml:space="preserve">jüngsten vergleichbaren Jahre</w:t>
      </w:r>
      <w:r>
        <w:t xml:space="preserve">. Jahre ohne</w:t>
      </w:r>
      <w:r>
        <w:t xml:space="preserve"> </w:t>
      </w:r>
      <w:r>
        <w:t xml:space="preserve">auswertbaren Wert werden dabei übersprungen – es sind also nicht zwingend die</w:t>
      </w:r>
      <w:r>
        <w:t xml:space="preserve"> </w:t>
      </w:r>
      <w:r>
        <w:t xml:space="preserve">beiden letzten Kalenderjahre. Eine Veränderung von</w:t>
      </w:r>
      <w:r>
        <w:t xml:space="preserve"> </w:t>
      </w:r>
      <w:r>
        <w:rPr>
          <w:b/>
          <w:bCs/>
        </w:rPr>
        <w:t xml:space="preserve">höchstens ±5 %</w:t>
      </w:r>
      <w:r>
        <w:t xml:space="preserve"> </w:t>
      </w:r>
      <w:r>
        <w:t xml:space="preserve">gilt als</w:t>
      </w:r>
      <w:r>
        <w:t xml:space="preserve"> </w:t>
      </w:r>
      <w:r>
        <w:t xml:space="preserve">„Kaum Veränderung”, damit Ablese- und Rundungsrauschen nicht als Trend</w:t>
      </w:r>
      <w:r>
        <w:t xml:space="preserve"> </w:t>
      </w:r>
      <w:r>
        <w:t xml:space="preserve">erscheint. Eine sinkende Intensität bedeutet „Verbessert sich”; bei der</w:t>
      </w:r>
      <w:r>
        <w:t xml:space="preserve"> </w:t>
      </w:r>
      <w:r>
        <w:t xml:space="preserve">Erzeugung ist es umgekehrt, dort ist mehr Ertrag die Verbesserung. Liegen</w:t>
      </w:r>
      <w:r>
        <w:t xml:space="preserve"> </w:t>
      </w:r>
      <w:r>
        <w:t xml:space="preserve">weniger als zwei vergleichbare Jahre vor, steht dort „Noch kein Trend”. Weil der</w:t>
      </w:r>
      <w:r>
        <w:t xml:space="preserve"> </w:t>
      </w:r>
      <w:r>
        <w:t xml:space="preserve">Trend selbstbezogen ist,</w:t>
      </w:r>
      <w:r>
        <w:t xml:space="preserve"> </w:t>
      </w:r>
      <w:r>
        <w:rPr>
          <w:b/>
          <w:bCs/>
        </w:rPr>
        <w:t xml:space="preserve">ändert er sich beim Filtern nicht</w:t>
      </w:r>
      <w:r>
        <w:t xml:space="preserve"> </w:t>
      </w:r>
      <w:r>
        <w:t xml:space="preserve">– anders als die</w:t>
      </w:r>
      <w:r>
        <w:t xml:space="preserve"> </w:t>
      </w:r>
      <w:r>
        <w:t xml:space="preserve">Zellfarbe. Welche beiden Jahre verglichen wurden und wie groß die Veränderung</w:t>
      </w:r>
      <w:r>
        <w:t xml:space="preserve"> </w:t>
      </w:r>
      <w:r>
        <w:t xml:space="preserve">tatsächlich ausfiel, nennt der Tooltip auf dem Trend-Punkt.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Zellwert und Zellfarbe stammen aus denselben Bausteinen wie die Karte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energyTimeCut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energyMatrix</w:t>
      </w:r>
      <w:r>
        <w:t xml:space="preserve">); Karte und Heatmap färben ein Paar aus</w:t>
      </w:r>
      <w:r>
        <w:t xml:space="preserve"> </w:t>
      </w:r>
      <w:r>
        <w:t xml:space="preserve">Gebäude und Jahr daher identisch ein. Die Terzil-Grenzen werden</w:t>
      </w:r>
      <w:r>
        <w:t xml:space="preserve"> </w:t>
      </w:r>
      <w:r>
        <w:rPr>
          <w:b/>
          <w:bCs/>
        </w:rPr>
        <w:t xml:space="preserve">je</w:t>
      </w:r>
      <w:r>
        <w:rPr>
          <w:b/>
          <w:bCs/>
        </w:rPr>
        <w:t xml:space="preserve"> </w:t>
      </w:r>
      <w:r>
        <w:rPr>
          <w:b/>
          <w:bCs/>
        </w:rPr>
        <w:t xml:space="preserve">Jahresspalte</w:t>
      </w:r>
      <w:r>
        <w:t xml:space="preserve"> </w:t>
      </w:r>
      <w:r>
        <w:t xml:space="preserve">über die gerade sichtbare Menge berechnet. Der Trend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energyTrend</w:t>
      </w:r>
      <w:r>
        <w:t xml:space="preserve">) ist die relative Änderung der Intensität zwischen den beiden</w:t>
      </w:r>
      <w:r>
        <w:t xml:space="preserve"> </w:t>
      </w:r>
      <w:r>
        <w:t xml:space="preserve">jüngsten vergleichbaren Jahren; das Flachband beträgt ±5 %</w:t>
      </w:r>
      <w:r>
        <w:t xml:space="preserve"> </w:t>
      </w:r>
      <w:r>
        <w:t xml:space="preserve">(</w:t>
      </w:r>
      <w:r>
        <w:rPr>
          <w:rStyle w:val="VerbatimChar"/>
        </w:rPr>
        <w:t xml:space="preserve">TREND_FLAT_BAND</w:t>
      </w:r>
      <w:r>
        <w:t xml:space="preserve">). Beide Berechnungen sind ohne Karte und ohne Oberfläche</w:t>
      </w:r>
      <w:r>
        <w:t xml:space="preserve"> </w:t>
      </w:r>
      <w:r>
        <w:t xml:space="preserve">unit-getestet.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sicht „Im Zeitverlauf”: Gebäude (Zeilen) über die erfassten Jahre (Spalten), mit der Trend-Spalte und der Legende zu beiden Farbsystemen" title="" id="108" name="Picture"/>
            <a:graphic>
              <a:graphicData uri="http://schemas.openxmlformats.org/drawingml/2006/picture">
                <pic:pic>
                  <pic:nvPicPr>
                    <pic:cNvPr descr="figures/overtime-heatmap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Ansicht „Im Zeitverlauf”: Gebäude (Zeilen) über die erfassten Jahre (Spalten), mit der Trend-Spalte und der Legende zu beiden Farbsystemen</w:t>
      </w:r>
    </w:p>
    <w:bookmarkEnd w:id="110"/>
    <w:bookmarkStart w:id="114" w:name="X102d2470600b66d9e5cbe903cbc8e109338f52e"/>
    <w:p>
      <w:pPr>
        <w:pStyle w:val="Heading2"/>
      </w:pPr>
      <w:r>
        <w:t xml:space="preserve">Regionale Statistiken als Vergleichsmaßstab</w:t>
      </w:r>
    </w:p>
    <w:p>
      <w:pPr>
        <w:pStyle w:val="FirstParagraph"/>
      </w:pPr>
      <w:r>
        <w:t xml:space="preserve">Neben dem Vergleich mit den eigenen und den geteilten Gebäuden (Energie-Linse, Benchmarks)</w:t>
      </w:r>
      <w:r>
        <w:t xml:space="preserve"> </w:t>
      </w:r>
      <w:r>
        <w:t xml:space="preserve">zieht die Granergize-App auch</w:t>
      </w:r>
      <w:r>
        <w:t xml:space="preserve"> </w:t>
      </w:r>
      <w:r>
        <w:rPr>
          <w:b/>
          <w:bCs/>
        </w:rPr>
        <w:t xml:space="preserve">amtliche Statistik</w:t>
      </w:r>
      <w:r>
        <w:t xml:space="preserve"> </w:t>
      </w:r>
      <w:r>
        <w:t xml:space="preserve">als regionalen Bezugsrahmen heran. So</w:t>
      </w:r>
      <w:r>
        <w:t xml:space="preserve"> </w:t>
      </w:r>
      <w:r>
        <w:t xml:space="preserve">lässt sich ein einzelnes Gebäude nicht nur gegen andere Objekte, sondern gegen die</w:t>
      </w:r>
      <w:r>
        <w:t xml:space="preserve"> </w:t>
      </w:r>
      <w:r>
        <w:rPr>
          <w:b/>
          <w:bCs/>
        </w:rPr>
        <w:t xml:space="preserve">Kennzahlen seiner Region</w:t>
      </w:r>
      <w:r>
        <w:t xml:space="preserve"> </w:t>
      </w:r>
      <w:r>
        <w:t xml:space="preserve">einordnen – etwa: Wie hoch ist der Anteil erneuerbaren Stroms</w:t>
      </w:r>
      <w:r>
        <w:t xml:space="preserve"> </w:t>
      </w:r>
      <w:r>
        <w:t xml:space="preserve">im Bundesland? Wie viele Mehrfamilienhäuser im Landkreis entstehen mit Wärmepumpe?</w:t>
      </w:r>
    </w:p>
    <w:p>
      <w:pPr>
        <w:pStyle w:val="BodyText"/>
      </w:pPr>
      <w:r>
        <w:t xml:space="preserve">Diese Zahlen stammen aus</w:t>
      </w:r>
      <w:r>
        <w:t xml:space="preserve"> </w:t>
      </w:r>
      <w:r>
        <w:rPr>
          <w:b/>
          <w:bCs/>
        </w:rPr>
        <w:t xml:space="preserve">offenen Daten der amtlichen Statistik</w:t>
      </w:r>
      <w:r>
        <w:t xml:space="preserve"> </w:t>
      </w:r>
      <w:r>
        <w:t xml:space="preserve">– konkret aus dem</w:t>
      </w:r>
      <w:r>
        <w:t xml:space="preserve"> </w:t>
      </w:r>
      <w:r>
        <w:t xml:space="preserve">gemeinsamen Angebot der Statistischen Ämter des Bundes und der Länder</w:t>
      </w:r>
      <w:r>
        <w:t xml:space="preserve"> </w:t>
      </w:r>
      <w:r>
        <w:t xml:space="preserve">(„Regionalstatistik”/GENESIS, u. a. Bayerisches Landesamt für Statistik und Statistisches</w:t>
      </w:r>
      <w:r>
        <w:t xml:space="preserve"> </w:t>
      </w:r>
      <w:r>
        <w:t xml:space="preserve">Bundesamt). Sie sind öffentlich zugänglich: Für ihre Anzeige ist</w:t>
      </w:r>
      <w:r>
        <w:t xml:space="preserve"> </w:t>
      </w:r>
      <w:r>
        <w:rPr>
          <w:b/>
          <w:bCs/>
        </w:rPr>
        <w:t xml:space="preserve">kein Solid Pod und keine</w:t>
      </w:r>
      <w:r>
        <w:rPr>
          <w:b/>
          <w:bCs/>
        </w:rPr>
        <w:t xml:space="preserve"> </w:t>
      </w:r>
      <w:r>
        <w:rPr>
          <w:b/>
          <w:bCs/>
        </w:rPr>
        <w:t xml:space="preserve">Anmeldung</w:t>
      </w:r>
      <w:r>
        <w:t xml:space="preserve"> </w:t>
      </w:r>
      <w:r>
        <w:t xml:space="preserve">erforderlich, und es werden</w:t>
      </w:r>
      <w:r>
        <w:t xml:space="preserve"> </w:t>
      </w:r>
      <w:r>
        <w:rPr>
          <w:b/>
          <w:bCs/>
        </w:rPr>
        <w:t xml:space="preserve">keine Daten Ihres Gebäudes übertragen</w:t>
      </w:r>
      <w:r>
        <w:t xml:space="preserve">.</w:t>
      </w:r>
    </w:p>
    <w:p>
      <w:pPr>
        <w:pStyle w:val="BodyText"/>
      </w:pPr>
      <w:r>
        <w:t xml:space="preserve">Damit die richtigen Zahlen erscheinen, ordnet die App jedes Gebäude über</w:t>
      </w:r>
      <w:r>
        <w:t xml:space="preserve"> </w:t>
      </w:r>
      <w:r>
        <w:rPr>
          <w:b/>
          <w:bCs/>
        </w:rPr>
        <w:t xml:space="preserve">amtliche</w:t>
      </w:r>
      <w:r>
        <w:rPr>
          <w:b/>
          <w:bCs/>
        </w:rPr>
        <w:t xml:space="preserve"> </w:t>
      </w:r>
      <w:r>
        <w:rPr>
          <w:b/>
          <w:bCs/>
        </w:rPr>
        <w:t xml:space="preserve">Regionalschlüssel</w:t>
      </w:r>
      <w:r>
        <w:t xml:space="preserve"> </w:t>
      </w:r>
      <w:r>
        <w:t xml:space="preserve">seiner Verwaltungsregion zu. In Deutschland ist das der</w:t>
      </w:r>
      <w:r>
        <w:t xml:space="preserve"> </w:t>
      </w:r>
      <w:r>
        <w:rPr>
          <w:b/>
          <w:bCs/>
        </w:rPr>
        <w:t xml:space="preserve">AGS</w:t>
      </w:r>
      <w:r>
        <w:t xml:space="preserve"> </w:t>
      </w:r>
      <w:r>
        <w:t xml:space="preserve">(Amtlicher Gemeindeschlüssel), der hierarchisch das Bundesland (2-stellig), den Kreis</w:t>
      </w:r>
      <w:r>
        <w:t xml:space="preserve"> </w:t>
      </w:r>
      <w:r>
        <w:t xml:space="preserve">(5-stellig) und die Gemeinde (8-stellig) bezeichnet; auf europäischer Ebene entsprechen dem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LAU</w:t>
      </w:r>
      <w:r>
        <w:t xml:space="preserve">-Codes (Gemeinden) und</w:t>
      </w:r>
      <w:r>
        <w:t xml:space="preserve"> </w:t>
      </w:r>
      <w:r>
        <w:rPr>
          <w:b/>
          <w:bCs/>
        </w:rPr>
        <w:t xml:space="preserve">NUTS</w:t>
      </w:r>
      <w:r>
        <w:t xml:space="preserve">-Codes (Kreise und Länder). Die App leitet diese</w:t>
      </w:r>
      <w:r>
        <w:t xml:space="preserve"> </w:t>
      </w:r>
      <w:r>
        <w:t xml:space="preserve">Zuordnung aus dem Standort des Gebäudes ab – Sie müssen den Schlüssel nicht selbst</w:t>
      </w:r>
      <w:r>
        <w:t xml:space="preserve"> </w:t>
      </w:r>
      <w:r>
        <w:t xml:space="preserve">eintragen.</w:t>
      </w:r>
    </w:p>
    <w:p>
      <w:pPr>
        <w:pStyle w:val="BodyText"/>
      </w:pPr>
      <w:r>
        <w:t xml:space="preserve">Je nach Region stehen unter anderem folgende Kennzahlen bereit: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Anteil erneuerbaren Stroms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Primärenergieverbrauch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Fernwärme aus Kraft-Wärme-Kopplung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Treibhausgas-Emissionen je Einwohner</w:t>
      </w:r>
      <w:r>
        <w:t xml:space="preserve"> </w:t>
      </w:r>
      <w:r>
        <w:t xml:space="preserve">(je Bundesland)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Einsatz erneuerbarer Energien in der Industrie</w:t>
      </w:r>
      <w:r>
        <w:t xml:space="preserve"> </w:t>
      </w:r>
      <w:r>
        <w:t xml:space="preserve">(je Kreis)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Baugenehmigungen und Fertigstellungen von Mehrfamilienhäusern mit Wärmepumpe</w:t>
      </w:r>
      <w:r>
        <w:t xml:space="preserve"> </w:t>
      </w:r>
      <w:r>
        <w:t xml:space="preserve">(je Kreis)</w:t>
      </w:r>
    </w:p>
    <w:p>
      <w:pPr>
        <w:pStyle w:val="FirstParagraph"/>
      </w:pPr>
      <w:r>
        <w:t xml:space="preserve">Auf der</w:t>
      </w:r>
      <w:r>
        <w:t xml:space="preserve"> </w:t>
      </w:r>
      <w:r>
        <w:rPr>
          <w:b/>
          <w:bCs/>
        </w:rPr>
        <w:t xml:space="preserve">Detailseite eines Gebäudes</w:t>
      </w:r>
      <w:r>
        <w:t xml:space="preserve"> </w:t>
      </w:r>
      <w:r>
        <w:t xml:space="preserve">finden Sie diese Werte im Abschnitt zur regionalen</w:t>
      </w:r>
      <w:r>
        <w:t xml:space="preserve"> </w:t>
      </w:r>
      <w:r>
        <w:t xml:space="preserve">Statistik in zwei Ansichten, die Sie über einen Umschalter wechseln: als</w:t>
      </w:r>
      <w:r>
        <w:t xml:space="preserve"> </w:t>
      </w:r>
      <w:r>
        <w:rPr>
          <w:b/>
          <w:bCs/>
        </w:rPr>
        <w:t xml:space="preserve">Tabelle</w:t>
      </w:r>
      <w:r>
        <w:t xml:space="preserve"> </w:t>
      </w:r>
      <w:r>
        <w:t xml:space="preserve">(Kennzahl mit Jahreswerten und Quellenangabe) und als</w:t>
      </w:r>
      <w:r>
        <w:t xml:space="preserve"> </w:t>
      </w:r>
      <w:r>
        <w:rPr>
          <w:b/>
          <w:bCs/>
        </w:rPr>
        <w:t xml:space="preserve">Karte</w:t>
      </w:r>
      <w:r>
        <w:t xml:space="preserve"> </w:t>
      </w:r>
      <w:r>
        <w:t xml:space="preserve">– eine eingefärbte</w:t>
      </w:r>
      <w:r>
        <w:t xml:space="preserve"> </w:t>
      </w:r>
      <w:r>
        <w:t xml:space="preserve">Regionenkarte (Choropleth), auf der alle Regionen nach dem Wert der gewählten Kennzahl</w:t>
      </w:r>
      <w:r>
        <w:t xml:space="preserve"> </w:t>
      </w:r>
      <w:r>
        <w:t xml:space="preserve">schattiert sind und das eigene Gebäude markiert ist. Beim Hineinzoomen wechselt die Karte</w:t>
      </w:r>
      <w:r>
        <w:t xml:space="preserve"> </w:t>
      </w:r>
      <w:r>
        <w:t xml:space="preserve">von der Bundesland- zur Kreisebene. Ein Hinweis unter der Tabelle stellt klar, dass es sich</w:t>
      </w:r>
      <w:r>
        <w:t xml:space="preserve"> </w:t>
      </w:r>
      <w:r>
        <w:t xml:space="preserve">um Werte</w:t>
      </w:r>
      <w:r>
        <w:t xml:space="preserve"> </w:t>
      </w:r>
      <w:r>
        <w:rPr>
          <w:b/>
          <w:bCs/>
        </w:rPr>
        <w:t xml:space="preserve">für die Region</w:t>
      </w:r>
      <w:r>
        <w:t xml:space="preserve"> </w:t>
      </w:r>
      <w:r>
        <w:t xml:space="preserve">handelt, nicht um Messwerte des konkreten Gebäudes – die</w:t>
      </w:r>
      <w:r>
        <w:t xml:space="preserve"> </w:t>
      </w:r>
      <w:r>
        <w:t xml:space="preserve">regionale Statistik liefert den</w:t>
      </w:r>
      <w:r>
        <w:t xml:space="preserve"> </w:t>
      </w:r>
      <w:r>
        <w:rPr>
          <w:b/>
          <w:bCs/>
        </w:rPr>
        <w:t xml:space="preserve">Hintergrund</w:t>
      </w:r>
      <w:r>
        <w:t xml:space="preserve">, vor dem Ihre eigenen Verbrauchszahlen</w:t>
      </w:r>
      <w:r>
        <w:t xml:space="preserve"> </w:t>
      </w:r>
      <w:r>
        <w:t xml:space="preserve">stehen. Dieselben Datensätze lassen sich auch unabhängig von einem Gebäude über die</w:t>
      </w:r>
      <w:r>
        <w:t xml:space="preserve"> </w:t>
      </w:r>
      <w:r>
        <w:t xml:space="preserve">Aggregations-Übersicht öffnen.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etailseite eines Gebäudes: regionale Statistik als Vergleichsmaßstab – die Kennzahlen der Region neben den eigenen Werten, wahlweise als Tabelle oder als eingefärbte Regionenkarte" title="" id="112" name="Picture"/>
            <a:graphic>
              <a:graphicData uri="http://schemas.openxmlformats.org/drawingml/2006/picture">
                <pic:pic>
                  <pic:nvPicPr>
                    <pic:cNvPr descr="figures/regional-contex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Detailseite eines Gebäudes: regionale Statistik als Vergleichsmaßstab – die Kennzahlen der Region neben den eigenen Werten, wahlweise als Tabelle oder als eingefärbte Regionenkarte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Statistiken werden zur Laufzeit von Linked-Data-Diensten abgerufen, die die amtlichen</w:t>
      </w:r>
      <w:r>
        <w:t xml:space="preserve"> </w:t>
      </w:r>
      <w:r>
        <w:t xml:space="preserve">Daten als RDF Data Cube (</w:t>
      </w:r>
      <w:r>
        <w:rPr>
          <w:rStyle w:val="VerbatimChar"/>
        </w:rPr>
        <w:t xml:space="preserve">qb:DataSet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qb:Observation</w:t>
      </w:r>
      <w:r>
        <w:t xml:space="preserve"> </w:t>
      </w:r>
      <w:r>
        <w:t xml:space="preserve">je Region und Jahr)</w:t>
      </w:r>
      <w:r>
        <w:t xml:space="preserve"> </w:t>
      </w:r>
      <w:r>
        <w:t xml:space="preserve">bereitstellen: die</w:t>
      </w:r>
      <w:r>
        <w:t xml:space="preserve"> </w:t>
      </w:r>
      <w:r>
        <w:rPr>
          <w:b/>
          <w:bCs/>
        </w:rPr>
        <w:t xml:space="preserve">Regionalstatistik</w:t>
      </w:r>
      <w:r>
        <w:t xml:space="preserve"> </w:t>
      </w:r>
      <w:r>
        <w:t xml:space="preserve">(</w:t>
      </w:r>
      <w:r>
        <w:rPr>
          <w:rStyle w:val="VerbatimChar"/>
        </w:rPr>
        <w:t xml:space="preserve">VITE_REGIONALSTATISTIK_API_URI</w:t>
      </w:r>
      <w:r>
        <w:t xml:space="preserve">) für die</w:t>
      </w:r>
      <w:r>
        <w:t xml:space="preserve"> </w:t>
      </w:r>
      <w:r>
        <w:t xml:space="preserve">Kennzahlen sowie</w:t>
      </w:r>
      <w:r>
        <w:t xml:space="preserve"> </w:t>
      </w:r>
      <w:r>
        <w:rPr>
          <w:b/>
          <w:bCs/>
        </w:rPr>
        <w:t xml:space="preserve">linked-nuts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linked-lau</w:t>
      </w:r>
      <w:r>
        <w:t xml:space="preserve"> </w:t>
      </w:r>
      <w:r>
        <w:t xml:space="preserve">für die Regionsgeometrien (GeoJSON je</w:t>
      </w:r>
      <w:r>
        <w:t xml:space="preserve"> </w:t>
      </w:r>
      <w:r>
        <w:t xml:space="preserve">Ebene). Ein Gebäude verweist über</w:t>
      </w:r>
      <w:r>
        <w:t xml:space="preserve"> </w:t>
      </w:r>
      <w:r>
        <w:rPr>
          <w:rStyle w:val="VerbatimChar"/>
        </w:rPr>
        <w:t xml:space="preserve">dcterms:spatial</w:t>
      </w:r>
      <w:r>
        <w:t xml:space="preserve"> </w:t>
      </w:r>
      <w:r>
        <w:t xml:space="preserve">auf den</w:t>
      </w:r>
      <w:r>
        <w:t xml:space="preserve"> </w:t>
      </w:r>
      <w:r>
        <w:rPr>
          <w:rStyle w:val="VerbatimChar"/>
        </w:rPr>
        <w:t xml:space="preserve">skos:Concept</w:t>
      </w:r>
      <w:r>
        <w:t xml:space="preserve"> </w:t>
      </w:r>
      <w:r>
        <w:t xml:space="preserve">seiner Region</w:t>
      </w:r>
      <w:r>
        <w:t xml:space="preserve"> </w:t>
      </w:r>
      <w:r>
        <w:t xml:space="preserve">(LAU/NUTS); der bare AGS wird bei Bedarf durch Dereferenzieren dieses Konzepts</w:t>
      </w:r>
      <w:r>
        <w:t xml:space="preserve"> </w:t>
      </w:r>
      <w:r>
        <w:t xml:space="preserve">(</w:t>
      </w:r>
      <w:r>
        <w:rPr>
          <w:rStyle w:val="VerbatimChar"/>
        </w:rPr>
        <w:t xml:space="preserve">dcterms:identifier</w:t>
      </w:r>
      <w:r>
        <w:t xml:space="preserve">) aufgelöst. Es findet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SPARQL gegen die Dienste statt – die</w:t>
      </w:r>
      <w:r>
        <w:t xml:space="preserve"> </w:t>
      </w:r>
      <w:r>
        <w:t xml:space="preserve">App dereferenziert nur die jeweils benötigten Ressourcen.</w:t>
      </w:r>
    </w:p>
    <w:bookmarkEnd w:id="114"/>
    <w:bookmarkEnd w:id="115"/>
    <w:bookmarkStart w:id="148" w:name="X7d72782c915f60697958dd391a69efa388f028d"/>
    <w:p>
      <w:pPr>
        <w:pStyle w:val="Heading1"/>
      </w:pPr>
      <w:r>
        <w:t xml:space="preserve">Daten gemeinsam nutzen und Mehrwerte schaffen</w:t>
      </w:r>
    </w:p>
    <w:bookmarkStart w:id="122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117" name="Picture"/>
            <a:graphic>
              <a:graphicData uri="http://schemas.openxmlformats.org/drawingml/2006/picture">
                <pic:pic>
                  <pic:nvPicPr>
                    <pic:cNvPr descr="figures/sharing-vergleich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119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119"/>
    <w:bookmarkStart w:id="120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120"/>
    <w:bookmarkStart w:id="121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121"/>
    <w:bookmarkEnd w:id="122"/>
    <w:bookmarkStart w:id="147" w:name="vorgehensweise-beim-datenteilen"/>
    <w:p>
      <w:pPr>
        <w:pStyle w:val="Heading2"/>
      </w:pPr>
      <w:r>
        <w:t xml:space="preserve">Vorgehensweise beim Datenteilen</w:t>
      </w:r>
    </w:p>
    <w:bookmarkStart w:id="126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124" name="Picture"/>
            <a:graphic>
              <a:graphicData uri="http://schemas.openxmlformats.org/drawingml/2006/picture">
                <pic:pic>
                  <pic:nvPicPr>
                    <pic:cNvPr descr="figures/room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126"/>
    <w:bookmarkStart w:id="130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128" name="Picture"/>
            <a:graphic>
              <a:graphicData uri="http://schemas.openxmlformats.org/drawingml/2006/picture">
                <pic:pic>
                  <pic:nvPicPr>
                    <pic:cNvPr descr="figures/contact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130"/>
    <w:bookmarkStart w:id="134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22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22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22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32" name="Picture"/>
            <a:graphic>
              <a:graphicData uri="http://schemas.openxmlformats.org/drawingml/2006/picture">
                <pic:pic>
                  <pic:nvPicPr>
                    <pic:cNvPr descr="figures/share-building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34"/>
    <w:bookmarkStart w:id="141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3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3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3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3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3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36" name="Picture"/>
            <a:graphic>
              <a:graphicData uri="http://schemas.openxmlformats.org/drawingml/2006/picture">
                <pic:pic>
                  <pic:nvPicPr>
                    <pic:cNvPr descr="figures/create-view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39" name="Picture"/>
            <a:graphic>
              <a:graphicData uri="http://schemas.openxmlformats.org/drawingml/2006/picture">
                <pic:pic>
                  <pic:nvPicPr>
                    <pic:cNvPr descr="figures/aggregated-view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41"/>
    <w:bookmarkStart w:id="145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43" name="Picture"/>
            <a:graphic>
              <a:graphicData uri="http://schemas.openxmlformats.org/drawingml/2006/picture">
                <pic:pic>
                  <pic:nvPicPr>
                    <pic:cNvPr descr="figures/shared-with-yo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45"/>
    <w:bookmarkStart w:id="146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46"/>
    <w:bookmarkEnd w:id="147"/>
    <w:bookmarkEnd w:id="148"/>
    <w:bookmarkStart w:id="170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Vertriebsunterstützung zu zweit (A teilt an B), das Energieverbrauchsbenchmark</w:t>
      </w:r>
      <w:r>
        <w:t xml:space="preserve"> </w:t>
      </w:r>
      <w:r>
        <w:t xml:space="preserve">zu dritt (A, B und der Dienstleister C). A, B und C sind dabei wieder Alice</w:t>
      </w:r>
      <w:r>
        <w:t xml:space="preserve"> </w:t>
      </w:r>
      <w:r>
        <w:t xml:space="preserve">Ahlmann, Bob Bauer und Charlie Conrad mit ihren Firmen, wie eingangs im</w:t>
      </w:r>
      <w:r>
        <w:t xml:space="preserve"> </w:t>
      </w:r>
      <w:r>
        <w:t xml:space="preserve">Abschnitt „Praxisbeispiele: Use Cases für die Anwendung” vorgestellt – in den</w:t>
      </w:r>
      <w:r>
        <w:t xml:space="preserve"> </w:t>
      </w:r>
      <w:r>
        <w:t xml:space="preserve">Bildschirmfotos etwa als „Shared by: Alice Ahlmann” beim Empfänger oder als</w:t>
      </w:r>
      <w:r>
        <w:t xml:space="preserve"> </w:t>
      </w:r>
      <w:r>
        <w:t xml:space="preserve">Absender des zurückgeteilten Benchmarks.</w:t>
      </w:r>
    </w:p>
    <w:bookmarkStart w:id="152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5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5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5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Soll-Ist-Vergleichs: In der Jahresübersicht steht der Plan-Eintrag („planned”) neben den Ist-Jahren desselben Gebäudes" title="" id="150" name="Picture"/>
            <a:graphic>
              <a:graphicData uri="http://schemas.openxmlformats.org/drawingml/2006/picture">
                <pic:pic>
                  <pic:nvPicPr>
                    <pic:cNvPr descr="figures/soll-ist-payoff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52"/>
    <w:bookmarkStart w:id="159" w:name="X1c14a2b4ca7b4b091a43ee943415f1e3cd031fc"/>
    <w:p>
      <w:pPr>
        <w:pStyle w:val="Heading2"/>
      </w:pPr>
      <w:r>
        <w:t xml:space="preserve">Vertriebsunterstützung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ihr Makler bzw. Berater, der diese Energiedaten für die Vermarktung des</w:t>
      </w:r>
      <w:r>
        <w:t xml:space="preserve"> </w:t>
      </w:r>
      <w:r>
        <w:t xml:space="preserve">Objekts einsehen soll (der Anwendungsfall „Vertriebsunterstützung”) – ohne dass</w:t>
      </w:r>
      <w:r>
        <w:t xml:space="preserve"> </w:t>
      </w:r>
      <w:r>
        <w:t xml:space="preserve">A dafür die Hoheit über ihre Daten aufgibt.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6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6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. B’s WebID hat A von B selbst erhalten – eine WebID</w:t>
      </w:r>
      <w:r>
        <w:t xml:space="preserve"> </w:t>
      </w:r>
      <w:r>
        <w:t xml:space="preserve">gibt man weiter wie eine E-Mail-Adresse, etwa in der Signatur oder auf der</w:t>
      </w:r>
      <w:r>
        <w:t xml:space="preserve"> </w:t>
      </w:r>
      <w:r>
        <w:t xml:space="preserve">Visitenkarte. Einmal unter „Contacts” abgelegt (siehe „Kontakte</w:t>
      </w:r>
      <w:r>
        <w:t xml:space="preserve"> </w:t>
      </w:r>
      <w:r>
        <w:t xml:space="preserve">verwalten”), schlägt die App B fortan mit Namen und Profilbild als</w:t>
      </w:r>
      <w:r>
        <w:t xml:space="preserve"> </w:t>
      </w:r>
      <w:r>
        <w:t xml:space="preserve">Empfänger vor – die WebID muss nie wieder eingetippt werden.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6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7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7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7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7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" title="" id="154" name="Picture"/>
            <a:graphic>
              <a:graphicData uri="http://schemas.openxmlformats.org/drawingml/2006/picture">
                <pic:pic>
                  <pic:nvPicPr>
                    <pic:cNvPr descr="figures/teilen-payoff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orangefarbenen Markierung zu erkennen, das Hinweisfenster nennt A’s Firma samt Logo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57" name="Picture"/>
            <a:graphic>
              <a:graphicData uri="http://schemas.openxmlformats.org/drawingml/2006/picture">
                <pic:pic>
                  <pic:nvPicPr>
                    <pic:cNvPr descr="figures/szenario-teilen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59"/>
    <w:bookmarkStart w:id="169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“, der eingangs beschriebene Anwendungsfall</w:t>
      </w:r>
      <w:r>
        <w:t xml:space="preserve"> </w:t>
      </w:r>
      <w:r>
        <w:t xml:space="preserve">„Energieverbrauchsbenchmark”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9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„Vertriebsunterstützung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 C’s WebID liegt dabei längst im Adressbuch – sie kam mit der</w:t>
      </w:r>
      <w:r>
        <w:t xml:space="preserve"> </w:t>
      </w:r>
      <w:r>
        <w:t xml:space="preserve">Beauftragung des Dienstleisters, wie eine E-Mail-Adresse –, sodass der</w:t>
      </w:r>
      <w:r>
        <w:t xml:space="preserve"> </w:t>
      </w:r>
      <w:r>
        <w:t xml:space="preserve">Teilen-Dialog C mit Namen und Profilbild vorschlägt.</w:t>
      </w:r>
    </w:p>
    <w:p>
      <w:pPr>
        <w:pStyle w:val="Compact"/>
        <w:numPr>
          <w:ilvl w:val="0"/>
          <w:numId w:val="1029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30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30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30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30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31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31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1376670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61" name="Picture"/>
            <a:graphic>
              <a:graphicData uri="http://schemas.openxmlformats.org/drawingml/2006/picture">
                <pic:pic>
                  <pic:nvPicPr>
                    <pic:cNvPr descr="figures/benchmark-payoff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64" name="Picture"/>
            <a:graphic>
              <a:graphicData uri="http://schemas.openxmlformats.org/drawingml/2006/picture">
                <pic:pic>
                  <pic:nvPicPr>
                    <pic:cNvPr descr="figures/szenario-benchmark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67" name="Picture"/>
            <a:graphic>
              <a:graphicData uri="http://schemas.openxmlformats.org/drawingml/2006/picture">
                <pic:pic>
                  <pic:nvPicPr>
                    <pic:cNvPr descr="figures/benchmark-share-back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69"/>
    <w:bookmarkEnd w:id="170"/>
    <w:bookmarkStart w:id="179" w:name="X76283297b0a301ff0e2fa9e2abdbd0305565ba5"/>
    <w:p>
      <w:pPr>
        <w:pStyle w:val="Heading1"/>
      </w:pPr>
      <w:r>
        <w:t xml:space="preserve">Aktionen und Abfragen über die Befehlspalette</w:t>
      </w:r>
    </w:p>
    <w:p>
      <w:pPr>
        <w:pStyle w:val="FirstParagraph"/>
      </w:pPr>
      <w:r>
        <w:t xml:space="preserve">Jede Aktion in der Granergize-App – ein Gebäude anlegen, ein Energiejahr erfassen, ein</w:t>
      </w:r>
      <w:r>
        <w:t xml:space="preserve"> </w:t>
      </w:r>
      <w:r>
        <w:t xml:space="preserve">Gebäude teilen, eine Aggregation berechnen – lässt sich nicht nur über die jeweilige</w:t>
      </w:r>
      <w:r>
        <w:t xml:space="preserve"> </w:t>
      </w:r>
      <w:r>
        <w:t xml:space="preserve">Schaltfläche auslösen, sondern auch zentral über die</w:t>
      </w:r>
      <w:r>
        <w:t xml:space="preserve"> </w:t>
      </w:r>
      <w:r>
        <w:rPr>
          <w:b/>
          <w:bCs/>
        </w:rPr>
        <w:t xml:space="preserve">Befehlspalette</w:t>
      </w:r>
      <w:r>
        <w:t xml:space="preserve">. Sie ist ein</w:t>
      </w:r>
      <w:r>
        <w:t xml:space="preserve"> </w:t>
      </w:r>
      <w:r>
        <w:t xml:space="preserve">einzelnes Suchfeld, das Sie jederzeit mit</w:t>
      </w:r>
      <w:r>
        <w:t xml:space="preserve"> </w:t>
      </w:r>
      <w:r>
        <w:rPr>
          <w:b/>
          <w:bCs/>
        </w:rPr>
        <w:t xml:space="preserve">Cmd+K</w:t>
      </w:r>
      <w:r>
        <w:t xml:space="preserve"> </w:t>
      </w:r>
      <w:r>
        <w:t xml:space="preserve">(macOS) bzw.</w:t>
      </w:r>
      <w:r>
        <w:t xml:space="preserve"> </w:t>
      </w:r>
      <w:r>
        <w:rPr>
          <w:b/>
          <w:bCs/>
        </w:rPr>
        <w:t xml:space="preserve">Strg+K</w:t>
      </w:r>
      <w:r>
        <w:t xml:space="preserve"> </w:t>
      </w:r>
      <w:r>
        <w:t xml:space="preserve">(Windows/Linux)</w:t>
      </w:r>
      <w:r>
        <w:t xml:space="preserve"> </w:t>
      </w:r>
      <w:r>
        <w:t xml:space="preserve">oder über die Schaltfläche in der Kopfzeile öffnen. Darüber erreichen Sie dieselben</w:t>
      </w:r>
      <w:r>
        <w:t xml:space="preserve"> </w:t>
      </w:r>
      <w:r>
        <w:t xml:space="preserve">Funktionen schneller – und können Ihren Gebäudebestand gezielt</w:t>
      </w:r>
      <w:r>
        <w:t xml:space="preserve"> </w:t>
      </w:r>
      <w:r>
        <w:rPr>
          <w:b/>
          <w:bCs/>
        </w:rPr>
        <w:t xml:space="preserve">durchsuchen</w:t>
      </w:r>
      <w:r>
        <w:t xml:space="preserve">.</w:t>
      </w:r>
    </w:p>
    <w:bookmarkStart w:id="171" w:name="was-ein-intent-ist"/>
    <w:p>
      <w:pPr>
        <w:pStyle w:val="Heading2"/>
      </w:pPr>
      <w:r>
        <w:t xml:space="preserve">Was ein „Intent” ist</w:t>
      </w:r>
    </w:p>
    <w:p>
      <w:pPr>
        <w:pStyle w:val="FirstParagraph"/>
      </w:pPr>
      <w:r>
        <w:t xml:space="preserve">Hinter jeder Aktion steht ein benannter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(eine „Absicht”). Die App kennt rund</w:t>
      </w:r>
      <w:r>
        <w:t xml:space="preserve"> </w:t>
      </w:r>
      <w:r>
        <w:t xml:space="preserve">vier Dutzend davon, gruppiert nach dem Gegenstand, auf den sie sich beziehen – Gebäude,</w:t>
      </w:r>
      <w:r>
        <w:t xml:space="preserve"> </w:t>
      </w:r>
      <w:r>
        <w:t xml:space="preserve">Energiedaten, Anhänge, Aggregationen, Freigaben, Datenräume, Agenten und Kontodaten. Ein</w:t>
      </w:r>
      <w:r>
        <w:t xml:space="preserve"> </w:t>
      </w:r>
      <w:r>
        <w:t xml:space="preserve">Intent ist entweder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Aktion</w:t>
      </w:r>
      <w:r>
        <w:t xml:space="preserve">, die etwas verändert (etwa</w:t>
      </w:r>
      <w:r>
        <w:t xml:space="preserve"> </w:t>
      </w:r>
      <w:r>
        <w:rPr>
          <w:i/>
          <w:iCs/>
        </w:rPr>
        <w:t xml:space="preserve">Gebäude anlegen</w:t>
      </w:r>
      <w:r>
        <w:t xml:space="preserve">,</w:t>
      </w:r>
      <w:r>
        <w:t xml:space="preserve"> </w:t>
      </w:r>
      <w:r>
        <w:rPr>
          <w:i/>
          <w:iCs/>
        </w:rPr>
        <w:t xml:space="preserve">Gebäude teilen</w:t>
      </w:r>
      <w:r>
        <w:t xml:space="preserve">,</w:t>
      </w:r>
      <w:r>
        <w:t xml:space="preserve"> </w:t>
      </w:r>
      <w:r>
        <w:rPr>
          <w:i/>
          <w:iCs/>
        </w:rPr>
        <w:t xml:space="preserve">Energiejahr speichern</w:t>
      </w:r>
      <w:r>
        <w:t xml:space="preserve">),</w:t>
      </w:r>
    </w:p>
    <w:p>
      <w:pPr>
        <w:pStyle w:val="Compact"/>
        <w:numPr>
          <w:ilvl w:val="0"/>
          <w:numId w:val="1032"/>
        </w:numPr>
      </w:pPr>
      <w:r>
        <w:t xml:space="preserve">eine</w:t>
      </w:r>
      <w:r>
        <w:t xml:space="preserve"> </w:t>
      </w:r>
      <w:r>
        <w:rPr>
          <w:b/>
          <w:bCs/>
        </w:rPr>
        <w:t xml:space="preserve">Abfrage</w:t>
      </w:r>
      <w:r>
        <w:t xml:space="preserve">, die etwas nachschlägt, ohne etwas zu ändern (etwa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,</w:t>
      </w:r>
      <w:r>
        <w:t xml:space="preserve"> </w:t>
      </w:r>
      <w:r>
        <w:rPr>
          <w:i/>
          <w:iCs/>
        </w:rPr>
        <w:t xml:space="preserve">Wer hat Zugriff</w:t>
      </w:r>
      <w:r>
        <w:t xml:space="preserve">), oder</w:t>
      </w:r>
    </w:p>
    <w:p>
      <w:pPr>
        <w:pStyle w:val="Compact"/>
        <w:numPr>
          <w:ilvl w:val="0"/>
          <w:numId w:val="1032"/>
        </w:numPr>
      </w:pPr>
      <w:r>
        <w:t xml:space="preserve">ein</w:t>
      </w:r>
      <w:r>
        <w:t xml:space="preserve"> </w:t>
      </w:r>
      <w:r>
        <w:rPr>
          <w:b/>
          <w:bCs/>
        </w:rPr>
        <w:t xml:space="preserve">Sprung</w:t>
      </w:r>
      <w:r>
        <w:t xml:space="preserve"> </w:t>
      </w:r>
      <w:r>
        <w:t xml:space="preserve">zu einer Ansicht.</w:t>
      </w:r>
    </w:p>
    <w:p>
      <w:pPr>
        <w:pStyle w:val="FirstParagraph"/>
      </w:pPr>
      <w:r>
        <w:t xml:space="preserve">Entscheidend ist: Es ist</w:t>
      </w:r>
      <w:r>
        <w:t xml:space="preserve"> </w:t>
      </w:r>
      <w:r>
        <w:rPr>
          <w:b/>
          <w:bCs/>
        </w:rPr>
        <w:t xml:space="preserve">dieselbe</w:t>
      </w:r>
      <w:r>
        <w:t xml:space="preserve"> </w:t>
      </w:r>
      <w:r>
        <w:t xml:space="preserve">benannte Aktion, ob Sie sie über eine Schaltfläche,</w:t>
      </w:r>
      <w:r>
        <w:t xml:space="preserve"> </w:t>
      </w:r>
      <w:r>
        <w:t xml:space="preserve">über die Befehlspalette oder über eine Abfrage auslösen – so verhält sich die App überall</w:t>
      </w:r>
      <w:r>
        <w:t xml:space="preserve"> </w:t>
      </w:r>
      <w:r>
        <w:t xml:space="preserve">gleich.</w:t>
      </w:r>
    </w:p>
    <w:bookmarkEnd w:id="171"/>
    <w:bookmarkStart w:id="175" w:name="die-befehlspalette-nutzen"/>
    <w:p>
      <w:pPr>
        <w:pStyle w:val="Heading2"/>
      </w:pPr>
      <w:r>
        <w:t xml:space="preserve">Die Befehlspalette nutzen</w:t>
      </w:r>
    </w:p>
    <w:p>
      <w:pPr>
        <w:pStyle w:val="FirstParagraph"/>
      </w:pPr>
      <w:r>
        <w:t xml:space="preserve">Nach dem Öffnen tippen Sie in das Feld, um die Liste der Befehle zu filtern. Die Palette</w:t>
      </w:r>
      <w:r>
        <w:t xml:space="preserve"> </w:t>
      </w:r>
      <w:r>
        <w:t xml:space="preserve">zeigt</w:t>
      </w:r>
      <w:r>
        <w:t xml:space="preserve"> </w:t>
      </w:r>
      <w:r>
        <w:rPr>
          <w:b/>
          <w:bCs/>
        </w:rPr>
        <w:t xml:space="preserve">kontextbezogen</w:t>
      </w:r>
      <w:r>
        <w:t xml:space="preserve"> </w:t>
      </w:r>
      <w:r>
        <w:t xml:space="preserve">nur die Aktionen, die zum gerade betrachteten Gegenstand passen –</w:t>
      </w:r>
      <w:r>
        <w:t xml:space="preserve"> </w:t>
      </w:r>
      <w:r>
        <w:t xml:space="preserve">zu einem eigenen Gebäude etwa</w:t>
      </w:r>
      <w:r>
        <w:t xml:space="preserve"> </w:t>
      </w:r>
      <w:r>
        <w:rPr>
          <w:i/>
          <w:iCs/>
        </w:rPr>
        <w:t xml:space="preserve">Bearbeiten</w:t>
      </w:r>
      <w:r>
        <w:t xml:space="preserve">,</w:t>
      </w:r>
      <w:r>
        <w:t xml:space="preserve"> </w:t>
      </w:r>
      <w:r>
        <w:rPr>
          <w:i/>
          <w:iCs/>
        </w:rPr>
        <w:t xml:space="preserve">Teilen</w:t>
      </w:r>
      <w:r>
        <w:t xml:space="preserve"> </w:t>
      </w:r>
      <w:r>
        <w:t xml:space="preserve">oder</w:t>
      </w:r>
      <w:r>
        <w:t xml:space="preserve"> </w:t>
      </w:r>
      <w:r>
        <w:rPr>
          <w:i/>
          <w:iCs/>
        </w:rPr>
        <w:t xml:space="preserve">Löschen</w:t>
      </w:r>
      <w:r>
        <w:t xml:space="preserve">, zu einem geteilten</w:t>
      </w:r>
      <w:r>
        <w:t xml:space="preserve"> </w:t>
      </w:r>
      <w:r>
        <w:t xml:space="preserve">Gebäude hingegen nur die sinnvollen Verben. Mit den</w:t>
      </w:r>
      <w:r>
        <w:t xml:space="preserve"> </w:t>
      </w:r>
      <w:r>
        <w:rPr>
          <w:b/>
          <w:bCs/>
        </w:rPr>
        <w:t xml:space="preserve">Pfeiltasten</w:t>
      </w:r>
      <w:r>
        <w:t xml:space="preserve"> </w:t>
      </w:r>
      <w:r>
        <w:t xml:space="preserve">wählen Sie einen</w:t>
      </w:r>
      <w:r>
        <w:t xml:space="preserve"> </w:t>
      </w:r>
      <w:r>
        <w:t xml:space="preserve">Eintrag, mit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lösen Sie ihn aus. Benötigt eine Aktion noch Angaben (etwa die</w:t>
      </w:r>
      <w:r>
        <w:t xml:space="preserve"> </w:t>
      </w:r>
      <w:r>
        <w:t xml:space="preserve">Empfänger einer Freigabe), öffnet die Palette ein passendes</w:t>
      </w:r>
      <w:r>
        <w:t xml:space="preserve"> </w:t>
      </w:r>
      <w:r>
        <w:rPr>
          <w:b/>
          <w:bCs/>
        </w:rPr>
        <w:t xml:space="preserve">Formular</w:t>
      </w:r>
      <w:r>
        <w:t xml:space="preserve"> </w:t>
      </w:r>
      <w:r>
        <w:t xml:space="preserve">oder führt Sie zum</w:t>
      </w:r>
      <w:r>
        <w:t xml:space="preserve"> </w:t>
      </w:r>
      <w:r>
        <w:t xml:space="preserve">zugehörigen Dialog.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Befehlspalette (Cmd+K/Strg+K): ein Suchfeld mit den zum aktuellen Gegenstand passenden Aktionen und Abfragen" title="" id="173" name="Picture"/>
            <a:graphic>
              <a:graphicData uri="http://schemas.openxmlformats.org/drawingml/2006/picture">
                <pic:pic>
                  <pic:nvPicPr>
                    <pic:cNvPr descr="figures/command-palett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Befehlspalette (Cmd+K/Strg+K): ein Suchfeld mit den zum aktuellen Gegenstand passenden Aktionen und Abfragen</w:t>
      </w:r>
    </w:p>
    <w:bookmarkEnd w:id="175"/>
    <w:bookmarkStart w:id="176" w:name="gebäude-gezielt-finden-das-abfragemodell"/>
    <w:p>
      <w:pPr>
        <w:pStyle w:val="Heading2"/>
      </w:pPr>
      <w:r>
        <w:t xml:space="preserve">Gebäude gezielt finden: das Abfragemodell</w:t>
      </w:r>
    </w:p>
    <w:p>
      <w:pPr>
        <w:pStyle w:val="FirstParagraph"/>
      </w:pPr>
      <w:r>
        <w:t xml:space="preserve">Die Abfrage</w:t>
      </w:r>
      <w:r>
        <w:t xml:space="preserve"> </w:t>
      </w:r>
      <w:r>
        <w:rPr>
          <w:i/>
          <w:iCs/>
        </w:rPr>
        <w:t xml:space="preserve">Gebäude finden</w:t>
      </w:r>
      <w:r>
        <w:t xml:space="preserve"> </w:t>
      </w:r>
      <w:r>
        <w:t xml:space="preserve">filtert Ihren sichtbaren Bestand (eigene und geteilte Gebäude)</w:t>
      </w:r>
      <w:r>
        <w:t xml:space="preserve"> </w:t>
      </w:r>
      <w:r>
        <w:t xml:space="preserve">anhand der</w:t>
      </w:r>
      <w:r>
        <w:t xml:space="preserve"> </w:t>
      </w:r>
      <w:r>
        <w:rPr>
          <w:b/>
          <w:bCs/>
        </w:rPr>
        <w:t xml:space="preserve">Stammdaten</w:t>
      </w:r>
      <w:r>
        <w:t xml:space="preserve">. Eine Abfrage besteht aus einer oder mehreren</w:t>
      </w:r>
      <w:r>
        <w:t xml:space="preserve"> </w:t>
      </w:r>
      <w:r>
        <w:rPr>
          <w:b/>
          <w:bCs/>
        </w:rPr>
        <w:t xml:space="preserve">Bedingungen</w:t>
      </w:r>
      <w:r>
        <w:t xml:space="preserve">,</w:t>
      </w:r>
      <w:r>
        <w:t xml:space="preserve"> </w:t>
      </w:r>
      <w:r>
        <w:t xml:space="preserve">die jeweils ein</w:t>
      </w:r>
      <w:r>
        <w:t xml:space="preserve"> </w:t>
      </w:r>
      <w:r>
        <w:rPr>
          <w:b/>
          <w:bCs/>
        </w:rPr>
        <w:t xml:space="preserve">Feld</w:t>
      </w:r>
      <w:r>
        <w:t xml:space="preserve">, einen</w:t>
      </w:r>
      <w:r>
        <w:t xml:space="preserve"> </w:t>
      </w:r>
      <w:r>
        <w:rPr>
          <w:b/>
          <w:bCs/>
        </w:rPr>
        <w:t xml:space="preserve">Vergleich</w:t>
      </w:r>
      <w:r>
        <w:t xml:space="preserve"> </w:t>
      </w:r>
      <w:r>
        <w:t xml:space="preserve">und einen</w:t>
      </w:r>
      <w:r>
        <w:t xml:space="preserve"> </w:t>
      </w:r>
      <w:r>
        <w:rPr>
          <w:b/>
          <w:bCs/>
        </w:rPr>
        <w:t xml:space="preserve">Wert</w:t>
      </w:r>
      <w:r>
        <w:t xml:space="preserve"> </w:t>
      </w:r>
      <w:r>
        <w:t xml:space="preserve">verbinden; mehrere</w:t>
      </w:r>
      <w:r>
        <w:t xml:space="preserve"> </w:t>
      </w:r>
      <w:r>
        <w:t xml:space="preserve">Bedingungen werden</w:t>
      </w:r>
      <w:r>
        <w:t xml:space="preserve"> </w:t>
      </w:r>
      <w:r>
        <w:rPr>
          <w:b/>
          <w:bCs/>
        </w:rPr>
        <w:t xml:space="preserve">logisch UND-verknüpft</w:t>
      </w:r>
      <w:r>
        <w:t xml:space="preserve"> </w:t>
      </w:r>
      <w:r>
        <w:t xml:space="preserve">(alle müssen zutreffen).</w:t>
      </w:r>
    </w:p>
    <w:p>
      <w:pPr>
        <w:pStyle w:val="BodyText"/>
      </w:pPr>
      <w:r>
        <w:t xml:space="preserve">Filtern können Sie nach Feldern wie</w:t>
      </w:r>
      <w:r>
        <w:t xml:space="preserve"> </w:t>
      </w:r>
      <w:r>
        <w:rPr>
          <w:b/>
          <w:bCs/>
        </w:rPr>
        <w:t xml:space="preserve">Hallenfläche</w:t>
      </w:r>
      <w:r>
        <w:t xml:space="preserve">,</w:t>
      </w:r>
      <w:r>
        <w:t xml:space="preserve"> </w:t>
      </w:r>
      <w:r>
        <w:rPr>
          <w:b/>
          <w:bCs/>
        </w:rPr>
        <w:t xml:space="preserve">Gebäudefläche</w:t>
      </w:r>
      <w:r>
        <w:t xml:space="preserve">,</w:t>
      </w:r>
      <w:r>
        <w:t xml:space="preserve"> </w:t>
      </w:r>
      <w:r>
        <w:rPr>
          <w:b/>
          <w:bCs/>
        </w:rPr>
        <w:t xml:space="preserve">Baujahr</w:t>
      </w:r>
      <w:r>
        <w:t xml:space="preserve">,</w:t>
      </w:r>
      <w:r>
        <w:t xml:space="preserve"> </w:t>
      </w:r>
      <w:r>
        <w:rPr>
          <w:b/>
          <w:bCs/>
        </w:rPr>
        <w:t xml:space="preserve">Ort</w:t>
      </w:r>
      <w:r>
        <w:t xml:space="preserve">,</w:t>
      </w:r>
      <w:r>
        <w:t xml:space="preserve"> </w:t>
      </w:r>
      <w:r>
        <w:rPr>
          <w:b/>
          <w:bCs/>
        </w:rPr>
        <w:t xml:space="preserve">Postleitzahl</w:t>
      </w:r>
      <w:r>
        <w:t xml:space="preserve">,</w:t>
      </w:r>
      <w:r>
        <w:t xml:space="preserve"> </w:t>
      </w:r>
      <w:r>
        <w:rPr>
          <w:b/>
          <w:bCs/>
        </w:rPr>
        <w:t xml:space="preserve">Region</w:t>
      </w:r>
      <w:r>
        <w:t xml:space="preserve">,</w:t>
      </w:r>
      <w:r>
        <w:t xml:space="preserve"> </w:t>
      </w:r>
      <w:r>
        <w:rPr>
          <w:b/>
          <w:bCs/>
        </w:rPr>
        <w:t xml:space="preserve">Nutzungsart</w:t>
      </w:r>
      <w:r>
        <w:t xml:space="preserve">,</w:t>
      </w:r>
      <w:r>
        <w:t xml:space="preserve"> </w:t>
      </w:r>
      <w:r>
        <w:rPr>
          <w:b/>
          <w:bCs/>
        </w:rPr>
        <w:t xml:space="preserve">Mieterbranche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Eigentümer/Betreiber</w:t>
      </w:r>
      <w:r>
        <w:t xml:space="preserve">. Als Vergleiche stehen je nach Feldart zur Verfügung: bei Zahlen</w:t>
      </w:r>
      <w:r>
        <w:t xml:space="preserve"> </w:t>
      </w:r>
      <w:r>
        <w:rPr>
          <w:b/>
          <w:bCs/>
        </w:rPr>
        <w:t xml:space="preserve">größer/kleiner/gleich</w:t>
      </w:r>
      <w:r>
        <w:t xml:space="preserve">, bei Texten</w:t>
      </w:r>
      <w:r>
        <w:t xml:space="preserve"> </w:t>
      </w:r>
      <w:r>
        <w:rPr>
          <w:b/>
          <w:bCs/>
        </w:rPr>
        <w:t xml:space="preserve">gleich</w:t>
      </w:r>
      <w:r>
        <w:t xml:space="preserve">,</w:t>
      </w:r>
      <w:r>
        <w:t xml:space="preserve"> </w:t>
      </w:r>
      <w:r>
        <w:rPr>
          <w:b/>
          <w:bCs/>
        </w:rPr>
        <w:t xml:space="preserve">enthält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einer aus</w:t>
      </w:r>
      <w:r>
        <w:t xml:space="preserve"> </w:t>
      </w:r>
      <w:r>
        <w:t xml:space="preserve">einer</w:t>
      </w:r>
      <w:r>
        <w:t xml:space="preserve"> </w:t>
      </w:r>
      <w:r>
        <w:t xml:space="preserve">Liste, dazu</w:t>
      </w:r>
      <w:r>
        <w:t xml:space="preserve"> </w:t>
      </w:r>
      <w:r>
        <w:rPr>
          <w:b/>
          <w:bCs/>
        </w:rPr>
        <w:t xml:space="preserve">vorhanden</w:t>
      </w:r>
      <w:r>
        <w:t xml:space="preserve"> </w:t>
      </w:r>
      <w:r>
        <w:t xml:space="preserve">bzw.</w:t>
      </w:r>
      <w:r>
        <w:t xml:space="preserve"> </w:t>
      </w:r>
      <w:r>
        <w:rPr>
          <w:b/>
          <w:bCs/>
        </w:rPr>
        <w:t xml:space="preserve">fehlt</w:t>
      </w:r>
      <w:r>
        <w:t xml:space="preserve"> </w:t>
      </w:r>
      <w:r>
        <w:t xml:space="preserve">für die An- oder Abwesenheit eines Werts. So findet</w:t>
      </w:r>
      <w:r>
        <w:t xml:space="preserve"> </w:t>
      </w:r>
      <w:r>
        <w:t xml:space="preserve">etwa „Hallenfläche größer 5000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Ort gleich Fürth” alle großen Hallen in Fürth. (Die</w:t>
      </w:r>
      <w:r>
        <w:t xml:space="preserve"> </w:t>
      </w:r>
      <w:r>
        <w:t xml:space="preserve">Filter beziehen sich auf die Stammdaten; nach Verbrauchswerten wird nicht unmittelbar</w:t>
      </w:r>
      <w:r>
        <w:t xml:space="preserve"> </w:t>
      </w:r>
      <w:r>
        <w:t xml:space="preserve">gefiltert.)</w:t>
      </w:r>
    </w:p>
    <w:bookmarkEnd w:id="176"/>
    <w:bookmarkStart w:id="177" w:name="abfragen-in-natürlicher-sprache"/>
    <w:p>
      <w:pPr>
        <w:pStyle w:val="Heading2"/>
      </w:pPr>
      <w:r>
        <w:t xml:space="preserve">Abfragen in natürlicher Sprache</w:t>
      </w:r>
    </w:p>
    <w:p>
      <w:pPr>
        <w:pStyle w:val="FirstParagraph"/>
      </w:pPr>
      <w:r>
        <w:t xml:space="preserve">Sie müssen Bedingungen nicht von Hand zusammenstellen. Beginnen Sie eine Eingabe in der</w:t>
      </w:r>
      <w:r>
        <w:t xml:space="preserve"> </w:t>
      </w:r>
      <w:r>
        <w:t xml:space="preserve">Palette mit</w:t>
      </w:r>
      <w:r>
        <w:t xml:space="preserve"> </w:t>
      </w:r>
      <w:r>
        <w:rPr>
          <w:b/>
          <w:bCs/>
        </w:rPr>
        <w:t xml:space="preserve">„&gt;“</w:t>
      </w:r>
      <w:r>
        <w:t xml:space="preserve">, formulieren Sie Ihr Anliegen in</w:t>
      </w:r>
      <w:r>
        <w:t xml:space="preserve"> </w:t>
      </w:r>
      <w:r>
        <w:rPr>
          <w:b/>
          <w:bCs/>
        </w:rPr>
        <w:t xml:space="preserve">normaler Sprache</w:t>
      </w:r>
      <w:r>
        <w:t xml:space="preserve"> </w:t>
      </w:r>
      <w:r>
        <w:t xml:space="preserve">– etwa</w:t>
      </w:r>
      <w:r>
        <w:t xml:space="preserve"> </w:t>
      </w:r>
      <w:r>
        <w:rPr>
          <w:i/>
          <w:iCs/>
        </w:rPr>
        <w:t xml:space="preserve">„Bürogebäude in Bayern, gebaut vor 2000”</w:t>
      </w:r>
      <w:r>
        <w:t xml:space="preserve"> </w:t>
      </w:r>
      <w:r>
        <w:t xml:space="preserve">–, und die App übersetzt es in den passenden</w:t>
      </w:r>
      <w:r>
        <w:t xml:space="preserve"> </w:t>
      </w:r>
      <w:r>
        <w:t xml:space="preserve">Intent samt Filter. Das Ergebnis erscheint zunächst als</w:t>
      </w:r>
      <w:r>
        <w:t xml:space="preserve"> </w:t>
      </w:r>
      <w:r>
        <w:rPr>
          <w:b/>
          <w:bCs/>
        </w:rPr>
        <w:t xml:space="preserve">bearbeitbarer Vorschlag</w:t>
      </w:r>
      <w:r>
        <w:t xml:space="preserve">, den Sie</w:t>
      </w:r>
      <w:r>
        <w:t xml:space="preserve"> </w:t>
      </w:r>
      <w:r>
        <w:t xml:space="preserve">vor dem Ausführen prüfen (und bei Bedarf korrigieren) können. Wer die genaue Form kennt, kann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„{“</w:t>
      </w:r>
      <w:r>
        <w:t xml:space="preserve"> </w:t>
      </w:r>
      <w:r>
        <w:t xml:space="preserve">auch direkt einen Intent als JSON einfügen und starten.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Eine Abfrage ist ein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 </w:t>
      </w:r>
      <w:r>
        <w:t xml:space="preserve">der Form</w:t>
      </w:r>
      <w:r>
        <w:t xml:space="preserve"> </w:t>
      </w:r>
      <w:r>
        <w:rPr>
          <w:rStyle w:val="VerbatimChar"/>
        </w:rPr>
        <w:t xml:space="preserve">{"and":[{"field","op","value"}, …]}</w:t>
      </w:r>
      <w:r>
        <w:t xml:space="preserve"> </w:t>
      </w:r>
      <w:r>
        <w:t xml:space="preserve">– eine</w:t>
      </w:r>
      <w:r>
        <w:t xml:space="preserve"> </w:t>
      </w:r>
      <w:r>
        <w:t xml:space="preserve">UND-Konjunktion von Bedingungen (kein ODER; Negation über</w:t>
      </w:r>
      <w:r>
        <w:t xml:space="preserve"> </w:t>
      </w:r>
      <w:r>
        <w:rPr>
          <w:rStyle w:val="VerbatimChar"/>
        </w:rPr>
        <w:t xml:space="preserve">ne</w:t>
      </w:r>
      <w:r>
        <w:t xml:space="preserve">/</w:t>
      </w:r>
      <w:r>
        <w:rPr>
          <w:rStyle w:val="VerbatimChar"/>
        </w:rPr>
        <w:t xml:space="preserve">lacks</w:t>
      </w:r>
      <w:r>
        <w:t xml:space="preserve">). Die Felder sind</w:t>
      </w:r>
      <w:r>
        <w:t xml:space="preserve"> </w:t>
      </w:r>
      <w:r>
        <w:t xml:space="preserve">die Gebäude-Stammdatenfelder (</w:t>
      </w:r>
      <w:r>
        <w:rPr>
          <w:rStyle w:val="VerbatimChar"/>
        </w:rPr>
        <w:t xml:space="preserve">buildingConfig.ts</w:t>
      </w:r>
      <w:r>
        <w:t xml:space="preserve">); die Operatoren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</w:t>
      </w:r>
      <w:r>
        <w:t xml:space="preserve">,</w:t>
      </w:r>
      <w:r>
        <w:t xml:space="preserve"> </w:t>
      </w:r>
      <w:r>
        <w:rPr>
          <w:rStyle w:val="VerbatimChar"/>
        </w:rPr>
        <w:t xml:space="preserve">lt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t xml:space="preserve">,</w:t>
      </w:r>
      <w:r>
        <w:t xml:space="preserve"> </w:t>
      </w:r>
      <w:r>
        <w:rPr>
          <w:rStyle w:val="VerbatimChar"/>
        </w:rPr>
        <w:t xml:space="preserve">gt</w:t>
      </w:r>
      <w:r>
        <w:t xml:space="preserve">,</w:t>
      </w:r>
      <w:r>
        <w:t xml:space="preserve"> 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</w:t>
      </w:r>
      <w:r>
        <w:t xml:space="preserve">,</w:t>
      </w:r>
      <w:r>
        <w:t xml:space="preserve"> </w:t>
      </w:r>
      <w:r>
        <w:rPr>
          <w:rStyle w:val="VerbatimChar"/>
        </w:rPr>
        <w:t xml:space="preserve">lacks</w:t>
      </w:r>
      <w:r>
        <w:t xml:space="preserve"> </w:t>
      </w:r>
      <w:r>
        <w:t xml:space="preserve">gelten je nach Feldart (numerisch/Text). Die</w:t>
      </w:r>
      <w:r>
        <w:t xml:space="preserve"> </w:t>
      </w:r>
      <w:r>
        <w:t xml:space="preserve">Natürlichsprach-Eingabe wird von einem Sprachmodell (konfigurierbar über</w:t>
      </w:r>
      <w:r>
        <w:t xml:space="preserve"> </w:t>
      </w:r>
      <w:r>
        <w:rPr>
          <w:rStyle w:val="VerbatimChar"/>
        </w:rPr>
        <w:t xml:space="preserve">VITE_LLM_API_URI</w:t>
      </w:r>
      <w:r>
        <w:t xml:space="preserve">/</w:t>
      </w:r>
      <w:r>
        <w:rPr>
          <w:rStyle w:val="VerbatimChar"/>
        </w:rPr>
        <w:t xml:space="preserve">VITE_LLM_MODEL</w:t>
      </w:r>
      <w:r>
        <w:t xml:space="preserve">) in ein</w:t>
      </w:r>
      <w:r>
        <w:t xml:space="preserve"> </w:t>
      </w:r>
      <w:r>
        <w:rPr>
          <w:rStyle w:val="VerbatimChar"/>
        </w:rPr>
        <w:t xml:space="preserve">{"name","params"}</w:t>
      </w:r>
      <w:r>
        <w:t xml:space="preserve">-JSON übersetzt und stets</w:t>
      </w:r>
      <w:r>
        <w:t xml:space="preserve"> </w:t>
      </w:r>
      <w:r>
        <w:rPr>
          <w:b/>
          <w:bCs/>
        </w:rPr>
        <w:t xml:space="preserve">dem Nutzer zur Bestätigung</w:t>
      </w:r>
      <w:r>
        <w:t xml:space="preserve"> </w:t>
      </w:r>
      <w:r>
        <w:t xml:space="preserve">angezeigt, bevor es ausgeführt wird.</w:t>
      </w:r>
    </w:p>
    <w:bookmarkEnd w:id="177"/>
    <w:bookmarkStart w:id="178" w:name="X59d3c3747619d70f64c1f9fc5f0d218f835c8cd"/>
    <w:p>
      <w:pPr>
        <w:pStyle w:val="Heading2"/>
      </w:pPr>
      <w:r>
        <w:t xml:space="preserve">Wie Alice, Bob und Charlie die Palette nutzen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Alice</w:t>
      </w:r>
      <w:r>
        <w:t xml:space="preserve"> </w:t>
      </w:r>
      <w:r>
        <w:t xml:space="preserve">legt mit</w:t>
      </w:r>
      <w:r>
        <w:t xml:space="preserve"> </w:t>
      </w:r>
      <w:r>
        <w:rPr>
          <w:b/>
          <w:bCs/>
        </w:rPr>
        <w:t xml:space="preserve">Cmd+K →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Gebäude anlegen</w:t>
      </w:r>
      <w:r>
        <w:t xml:space="preserve"> </w:t>
      </w:r>
      <w:r>
        <w:t xml:space="preserve">eine neue Halle an, erfasst über</w:t>
      </w:r>
      <w:r>
        <w:t xml:space="preserve"> </w:t>
      </w:r>
      <w:r>
        <w:rPr>
          <w:b/>
          <w:bCs/>
          <w:i/>
          <w:iCs/>
        </w:rPr>
        <w:t xml:space="preserve">Energiejahr speichern</w:t>
      </w:r>
      <w:r>
        <w:t xml:space="preserve"> </w:t>
      </w:r>
      <w:r>
        <w:t xml:space="preserve">den Verbrauch und gibt das Gebäude per</w:t>
      </w:r>
      <w:r>
        <w:t xml:space="preserve"> </w:t>
      </w:r>
      <w:r>
        <w:rPr>
          <w:b/>
          <w:bCs/>
          <w:i/>
          <w:iCs/>
        </w:rPr>
        <w:t xml:space="preserve">Gebäude teilen</w:t>
      </w:r>
      <w:r>
        <w:t xml:space="preserve"> </w:t>
      </w:r>
      <w:r>
        <w:t xml:space="preserve">an</w:t>
      </w:r>
      <w:r>
        <w:t xml:space="preserve"> </w:t>
      </w:r>
      <w:r>
        <w:t xml:space="preserve">Bob frei – alles aus dem Suchfeld heraus.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Bob</w:t>
      </w:r>
      <w:r>
        <w:t xml:space="preserve"> </w:t>
      </w:r>
      <w:r>
        <w:t xml:space="preserve">sucht mit</w:t>
      </w:r>
      <w:r>
        <w:t xml:space="preserve"> </w:t>
      </w:r>
      <w:r>
        <w:rPr>
          <w:b/>
          <w:bCs/>
        </w:rPr>
        <w:t xml:space="preserve">„&gt; Bürogebäude in Bayern vor 2000”</w:t>
      </w:r>
      <w:r>
        <w:t xml:space="preserve"> </w:t>
      </w:r>
      <w:r>
        <w:t xml:space="preserve">die passenden Objekte, fasst die</w:t>
      </w:r>
      <w:r>
        <w:t xml:space="preserve"> </w:t>
      </w:r>
      <w:r>
        <w:t xml:space="preserve">Treffer über</w:t>
      </w:r>
      <w:r>
        <w:t xml:space="preserve"> </w:t>
      </w:r>
      <w:r>
        <w:rPr>
          <w:b/>
          <w:bCs/>
          <w:i/>
          <w:iCs/>
        </w:rPr>
        <w:t xml:space="preserve">Aggregation erstellen</w:t>
      </w:r>
      <w:r>
        <w:t xml:space="preserve"> </w:t>
      </w:r>
      <w:r>
        <w:t xml:space="preserve">zu einer Auswertung zusammen und teilt deren</w:t>
      </w:r>
      <w:r>
        <w:t xml:space="preserve"> </w:t>
      </w:r>
      <w:r>
        <w:t xml:space="preserve">Momentaufnahme.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Charlie</w:t>
      </w:r>
      <w:r>
        <w:t xml:space="preserve"> </w:t>
      </w:r>
      <w:r>
        <w:t xml:space="preserve">richtet über</w:t>
      </w:r>
      <w:r>
        <w:t xml:space="preserve"> </w:t>
      </w:r>
      <w:r>
        <w:rPr>
          <w:b/>
          <w:bCs/>
          <w:i/>
          <w:iCs/>
        </w:rPr>
        <w:t xml:space="preserve">Datenraum erstellen</w:t>
      </w:r>
      <w:r>
        <w:t xml:space="preserve"> </w:t>
      </w:r>
      <w:r>
        <w:t xml:space="preserve">eine Arbeitsgruppe ein, pflegt mit</w:t>
      </w:r>
      <w:r>
        <w:t xml:space="preserve"> </w:t>
      </w:r>
      <w:r>
        <w:rPr>
          <w:b/>
          <w:bCs/>
          <w:i/>
          <w:iCs/>
        </w:rPr>
        <w:t xml:space="preserve">Organisation speichern</w:t>
      </w:r>
      <w:r>
        <w:t xml:space="preserve"> </w:t>
      </w:r>
      <w:r>
        <w:t xml:space="preserve">Name und Logo seines Benchmark-Dienstes und sichert seinen</w:t>
      </w:r>
      <w:r>
        <w:t xml:space="preserve"> </w:t>
      </w:r>
      <w:r>
        <w:t xml:space="preserve">Bestand über den Archiv-Export.</w:t>
      </w:r>
    </w:p>
    <w:bookmarkEnd w:id="178"/>
    <w:bookmarkEnd w:id="179"/>
    <w:bookmarkStart w:id="18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58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80"/>
    <w:bookmarkStart w:id="18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8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138" Target="media/rId138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172" Target="media/rId172.png" /><Relationship Type="http://schemas.openxmlformats.org/officeDocument/2006/relationships/image" Id="rId38" Target="media/rId38.png" /><Relationship Type="http://schemas.openxmlformats.org/officeDocument/2006/relationships/image" Id="rId127" Target="media/rId127.png" /><Relationship Type="http://schemas.openxmlformats.org/officeDocument/2006/relationships/image" Id="rId135" Target="media/rId13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84" Target="media/rId84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23" Target="media/rId123.png" /><Relationship Type="http://schemas.openxmlformats.org/officeDocument/2006/relationships/image" Id="rId131" Target="media/rId131.png" /><Relationship Type="http://schemas.openxmlformats.org/officeDocument/2006/relationships/image" Id="rId142" Target="media/rId142.png" /><Relationship Type="http://schemas.openxmlformats.org/officeDocument/2006/relationships/image" Id="rId116" Target="media/rId116.png" /><Relationship Type="http://schemas.openxmlformats.org/officeDocument/2006/relationships/image" Id="rId149" Target="media/rId149.png" /><Relationship Type="http://schemas.openxmlformats.org/officeDocument/2006/relationships/image" Id="rId163" Target="media/rId163.png" /><Relationship Type="http://schemas.openxmlformats.org/officeDocument/2006/relationships/image" Id="rId156" Target="media/rId156.png" /><Relationship Type="http://schemas.openxmlformats.org/officeDocument/2006/relationships/image" Id="rId153" Target="media/rId15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1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ommunitysolidserver.github.io/CommunitySolidServer/" TargetMode="External" /><Relationship Type="http://schemas.openxmlformats.org/officeDocument/2006/relationships/hyperlink" Id="rId181" Target="https://finance.ec.europa.eu/sustainable-finance/tools-and-standards/eu-taxonomy-sustainable-activities_en" TargetMode="External" /><Relationship Type="http://schemas.openxmlformats.org/officeDocument/2006/relationships/hyperlink" Id="rId58" Target="https://github.com/wintechis/granergize-webapp" TargetMode="External" /><Relationship Type="http://schemas.openxmlformats.org/officeDocument/2006/relationships/hyperlink" Id="rId57" Target="https://nodejs.org/" TargetMode="External" /><Relationship Type="http://schemas.openxmlformats.org/officeDocument/2006/relationships/hyperlink" Id="rId54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2026-08-13T08:26:19Z</dcterms:created>
  <dcterms:modified xsi:type="dcterms:W3CDTF">2026-08-13T08:26:19Z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d49c9b7+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