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28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50.png" ContentType="image/png"/>
  <Override PartName="/word/media/rId156.png" ContentType="image/png"/>
  <Override PartName="/word/media/rId29.png" ContentType="image/png"/>
  <Override PartName="/word/media/rId35.png" ContentType="image/png"/>
  <Override PartName="/word/media/rId38.png" ContentType="image/png"/>
  <Override PartName="/word/media/rId117.png" ContentType="image/png"/>
  <Override PartName="/word/media/rId125.png" ContentType="image/png"/>
  <Override PartName="/word/media/rId93.png" ContentType="image/png"/>
  <Override PartName="/word/media/rId96.png" ContentType="image/png"/>
  <Override PartName="/word/media/rId101.png" ContentType="image/png"/>
  <Override PartName="/word/media/rId86.png" ContentType="image/png"/>
  <Override PartName="/word/media/rId63.png" ContentType="image/png"/>
  <Override PartName="/word/media/rId82.png" ContentType="image/png"/>
  <Override PartName="/word/media/rId90.png" ContentType="image/png"/>
  <Override PartName="/word/media/rId113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139.png" ContentType="image/png"/>
  <Override PartName="/word/media/rId153.png" ContentType="image/png"/>
  <Override PartName="/word/media/rId146.png" ContentType="image/png"/>
  <Override PartName="/word/media/rId143.png" ContentType="image/png"/>
  <Override PartName="/word/media/rId68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ff5ceeb+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Vertriebsoptimierung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bookmarkEnd w:id="41"/>
    <w:bookmarkStart w:id="42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p>
      <w:pPr>
        <w:pStyle w:val="BodyText"/>
      </w:pPr>
      <w:r>
        <w:t xml:space="preserve">In der Granergize-App übernimmt das die Energie-Linse der Karte: Sie färbt die</w:t>
      </w:r>
      <w:r>
        <w:t xml:space="preserve"> </w:t>
      </w:r>
      <w:r>
        <w:t xml:space="preserve">Gebäude-Marker nach Energieintensität ein und ordnet ein Objekt so auf einen</w:t>
      </w:r>
      <w:r>
        <w:t xml:space="preserve"> </w:t>
      </w:r>
      <w:r>
        <w:t xml:space="preserve">Blick in sein sichtbares Umfeld ein – einschließlich der Gebäude, die andere</w:t>
      </w:r>
      <w:r>
        <w:t xml:space="preserve"> </w:t>
      </w:r>
      <w:r>
        <w:t xml:space="preserve">mit Ihnen geteilt haben (siehe Abschnitt „Gebäude nach Energieverbrauch</w:t>
      </w:r>
      <w:r>
        <w:t xml:space="preserve"> </w:t>
      </w:r>
      <w:r>
        <w:t xml:space="preserve">einordnen”). Ihre volle Wirkung entfaltet die Linse damit erst im Zusammenspiel</w:t>
      </w:r>
      <w:r>
        <w:t xml:space="preserve"> </w:t>
      </w:r>
      <w:r>
        <w:t xml:space="preserve">mit dem Teilen: Je mehr Eigentümer einem Makler oder Berater ihre Gebäude</w:t>
      </w:r>
      <w:r>
        <w:t xml:space="preserve"> </w:t>
      </w:r>
      <w:r>
        <w:t xml:space="preserve">einschließlich Energiedaten freigeben, desto vollständiger wird dessen</w:t>
      </w:r>
      <w:r>
        <w:t xml:space="preserve"> </w:t>
      </w:r>
      <w:r>
        <w:t xml:space="preserve">Marktüberblick. Wie eine solche Freigabe abläuft und beim Empfänger auf der</w:t>
      </w:r>
      <w:r>
        <w:t xml:space="preserve"> </w:t>
      </w:r>
      <w:r>
        <w:t xml:space="preserve">Karte landet, führt der Abschnitt „Vertriebsoptimierung durchgespielt” im</w:t>
      </w:r>
      <w:r>
        <w:t xml:space="preserve"> </w:t>
      </w:r>
      <w:r>
        <w:t xml:space="preserve">Kapitel „Die Anwendungsfälle durchgespielt” aus.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05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6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vier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vier Gebäude angelegt wurden, und das Angebot bleibt zum erneuten Versuch</w:t>
      </w:r>
      <w:r>
        <w:t xml:space="preserve"> </w:t>
      </w:r>
      <w:r>
        <w:t xml:space="preserve">verfügbar. Die Beispiele decken beide Datenformen ab – zwei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 (eines davon trägt zusätzlich Jahreswerte). Zwei der</w:t>
      </w:r>
      <w:r>
        <w:t xml:space="preserve"> </w:t>
      </w:r>
      <w:r>
        <w:t xml:space="preserve">Gebäude mit Jahreswerten teilen sich denselben Betreiber und eines enthält</w:t>
      </w:r>
      <w:r>
        <w:t xml:space="preserve"> </w:t>
      </w:r>
      <w:r>
        <w:t xml:space="preserve">zusätzlich geplante (Soll-)Werte, sodass Betreiber-Durchschnitt und</w:t>
      </w:r>
      <w:r>
        <w:t xml:space="preserve"> </w:t>
      </w:r>
      <w:r>
        <w:t xml:space="preserve">Soll-Ist-Vergleich direkt an den Beispieldaten 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Nach der Anmeldung: Die App öffnet sich auf der Karte (Tab „Explore”); auf einem leeren Pod bietet ein Hinweisbalken an, beispielhafte Gebäude hinzuzufügen – der Einstieg beginnt mit dem Anlegen von Gebäuden." title="" id="64" name="Picture"/>
            <a:graphic>
              <a:graphicData uri="http://schemas.openxmlformats.org/drawingml/2006/picture">
                <pic:pic>
                  <pic:nvPicPr>
                    <pic:cNvPr descr="figures/erster-star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Nach der Anmeldung: Die App öffnet sich auf der Karte (Tab „Explore”); auf einem leeren Pod bietet ein Hinweisbalken an, beispielhafte Gebäude hinzuzufügen – der Einstieg beginnt mit dem Anlegen von Gebäuden.</w:t>
      </w:r>
    </w:p>
    <w:bookmarkEnd w:id="66"/>
    <w:bookmarkStart w:id="67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im Hinweisfenster, das sich öffnet, wenn</w:t>
      </w:r>
      <w:r>
        <w:t xml:space="preserve"> </w:t>
      </w:r>
      <w:r>
        <w:t xml:space="preserve">man auf der Karte mit der Maus über eine Gebäude-Markierung fährt (siehe</w:t>
      </w:r>
      <w:r>
        <w:t xml:space="preserve"> </w:t>
      </w:r>
      <w:r>
        <w:t xml:space="preserve">Abschnitt „Daten ansehen”), und steigert so die Wiedererkennbarkeit gegenüber</w:t>
      </w:r>
      <w:r>
        <w:t xml:space="preserve"> </w:t>
      </w:r>
      <w:r>
        <w:t xml:space="preserve">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7"/>
    <w:bookmarkStart w:id="77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71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9" name="Picture"/>
            <a:graphic>
              <a:graphicData uri="http://schemas.openxmlformats.org/drawingml/2006/picture">
                <pic:pic>
                  <pic:nvPicPr>
                    <pic:cNvPr descr="figures/wa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71"/>
    <w:bookmarkStart w:id="75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3" name="Picture"/>
            <a:graphic>
              <a:graphicData uri="http://schemas.openxmlformats.org/drawingml/2006/picture">
                <pic:pic>
                  <pic:nvPicPr>
                    <pic:cNvPr descr="figures/wissensgrap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5"/>
    <w:bookmarkStart w:id="76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76"/>
    <w:bookmarkEnd w:id="77"/>
    <w:bookmarkStart w:id="81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79" name="Picture"/>
            <a:graphic>
              <a:graphicData uri="http://schemas.openxmlformats.org/drawingml/2006/picture">
                <pic:pic>
                  <pic:nvPicPr>
                    <pic:cNvPr descr="figures/add-building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81"/>
    <w:bookmarkStart w:id="85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27463"/>
            <wp:effectExtent b="0" l="0" r="0" t="0"/>
            <wp:docPr descr="Aktionen je Gebäude im Tab „Manage”: bearbeiten, Dateien, Energiejahr, teilen, herunterladen, löschen" title="" id="83" name="Picture"/>
            <a:graphic>
              <a:graphicData uri="http://schemas.openxmlformats.org/drawingml/2006/picture">
                <pic:pic>
                  <pic:nvPicPr>
                    <pic:cNvPr descr="figures/manage-action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85"/>
    <w:bookmarkStart w:id="89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87" name="Picture"/>
            <a:graphic>
              <a:graphicData uri="http://schemas.openxmlformats.org/drawingml/2006/picture">
                <pic:pic>
                  <pic:nvPicPr>
                    <pic:cNvPr descr="figures/energy-yea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89"/>
    <w:bookmarkStart w:id="100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Die Farbe der Markierung</w:t>
      </w:r>
      <w:r>
        <w:t xml:space="preserve"> </w:t>
      </w:r>
      <w:r>
        <w:t xml:space="preserve">unterscheidet eigene Gebäude (blau) von mit Ihnen geteilten (orange). Beim</w:t>
      </w:r>
      <w:r>
        <w:t xml:space="preserve"> </w:t>
      </w:r>
      <w:r>
        <w:t xml:space="preserve">Überfahren eines Markers mit der Maus zeigt ein Hinweisfenster Name und Adresse</w:t>
      </w:r>
      <w:r>
        <w:t xml:space="preserve"> </w:t>
      </w:r>
      <w:r>
        <w:t xml:space="preserve">des Gebäudes sowie Firmenname und -logo des jeweiligen Datenproduzenten, sofern</w:t>
      </w:r>
      <w:r>
        <w:t xml:space="preserve"> </w:t>
      </w:r>
      <w:r>
        <w:t xml:space="preserve">diese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wurden.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(so</w:t>
      </w:r>
    </w:p>
    <w:p>
      <w:pPr>
        <w:pStyle w:val="Compact"/>
        <w:numPr>
          <w:ilvl w:val="1"/>
          <w:numId w:val="1013"/>
        </w:numPr>
      </w:pPr>
      <w:r>
        <w:t xml:space="preserve">B. beim Beispielgebäude Lange Gasse 20).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91" name="Picture"/>
            <a:graphic>
              <a:graphicData uri="http://schemas.openxmlformats.org/drawingml/2006/picture">
                <pic:pic>
                  <pic:nvPicPr>
                    <pic:cNvPr descr="figures/map-tab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94" name="Picture"/>
            <a:graphic>
              <a:graphicData uri="http://schemas.openxmlformats.org/drawingml/2006/picture">
                <pic:pic>
                  <pic:nvPicPr>
                    <pic:cNvPr descr="figures/energy-data-tab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99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97" name="Picture"/>
            <a:graphic>
              <a:graphicData uri="http://schemas.openxmlformats.org/drawingml/2006/picture">
                <pic:pic>
                  <pic:nvPicPr>
                    <pic:cNvPr descr="figures/energy-detail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99"/>
    <w:bookmarkEnd w:id="100"/>
    <w:bookmarkStart w:id="104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102" name="Picture"/>
            <a:graphic>
              <a:graphicData uri="http://schemas.openxmlformats.org/drawingml/2006/picture">
                <pic:pic>
                  <pic:nvPicPr>
                    <pic:cNvPr descr="figures/energy-len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104"/>
    <w:bookmarkEnd w:id="105"/>
    <w:bookmarkStart w:id="138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12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07" name="Picture"/>
            <a:graphic>
              <a:graphicData uri="http://schemas.openxmlformats.org/drawingml/2006/picture">
                <pic:pic>
                  <pic:nvPicPr>
                    <pic:cNvPr descr="figures/sharing-vergleich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09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09"/>
    <w:bookmarkStart w:id="110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10"/>
    <w:bookmarkStart w:id="111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111"/>
    <w:bookmarkEnd w:id="112"/>
    <w:bookmarkStart w:id="137" w:name="vorgehensweise-beim-datenteilen"/>
    <w:p>
      <w:pPr>
        <w:pStyle w:val="Heading2"/>
      </w:pPr>
      <w:r>
        <w:t xml:space="preserve">Vorgehensweise beim Datenteilen</w:t>
      </w:r>
    </w:p>
    <w:bookmarkStart w:id="116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114" name="Picture"/>
            <a:graphic>
              <a:graphicData uri="http://schemas.openxmlformats.org/drawingml/2006/picture">
                <pic:pic>
                  <pic:nvPicPr>
                    <pic:cNvPr descr="figures/room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116"/>
    <w:bookmarkStart w:id="120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118" name="Picture"/>
            <a:graphic>
              <a:graphicData uri="http://schemas.openxmlformats.org/drawingml/2006/picture">
                <pic:pic>
                  <pic:nvPicPr>
                    <pic:cNvPr descr="figures/contact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120"/>
    <w:bookmarkStart w:id="124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20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20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20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22" name="Picture"/>
            <a:graphic>
              <a:graphicData uri="http://schemas.openxmlformats.org/drawingml/2006/picture">
                <pic:pic>
                  <pic:nvPicPr>
                    <pic:cNvPr descr="figures/share-building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24"/>
    <w:bookmarkStart w:id="131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1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1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1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1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1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26" name="Picture"/>
            <a:graphic>
              <a:graphicData uri="http://schemas.openxmlformats.org/drawingml/2006/picture">
                <pic:pic>
                  <pic:nvPicPr>
                    <pic:cNvPr descr="figures/create-view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29" name="Picture"/>
            <a:graphic>
              <a:graphicData uri="http://schemas.openxmlformats.org/drawingml/2006/picture">
                <pic:pic>
                  <pic:nvPicPr>
                    <pic:cNvPr descr="figures/aggregated-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31"/>
    <w:bookmarkStart w:id="135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33" name="Picture"/>
            <a:graphic>
              <a:graphicData uri="http://schemas.openxmlformats.org/drawingml/2006/picture">
                <pic:pic>
                  <pic:nvPicPr>
                    <pic:cNvPr descr="figures/shared-with-you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35"/>
    <w:bookmarkStart w:id="136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36"/>
    <w:bookmarkEnd w:id="137"/>
    <w:bookmarkEnd w:id="138"/>
    <w:bookmarkStart w:id="160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Vertriebsoptimierung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 – in den</w:t>
      </w:r>
      <w:r>
        <w:t xml:space="preserve"> </w:t>
      </w:r>
      <w:r>
        <w:t xml:space="preserve">Bildschirmfotos etwa als „Shared by: Alice Ahlmann” beim Empfänger oder als</w:t>
      </w:r>
      <w:r>
        <w:t xml:space="preserve"> </w:t>
      </w:r>
      <w:r>
        <w:t xml:space="preserve">Absender des zurückgeteilten Benchmarks.</w:t>
      </w:r>
    </w:p>
    <w:bookmarkStart w:id="142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die für ihr Gebäude neben den</w:t>
      </w:r>
      <w:r>
        <w:t xml:space="preserve"> </w:t>
      </w:r>
      <w:r>
        <w:t xml:space="preserve">tatsächlichen Verbräuchen auch Planwerte führt. Alles spielt sich auf A’s</w:t>
      </w:r>
      <w:r>
        <w:t xml:space="preserve"> </w:t>
      </w:r>
      <w:r>
        <w:t xml:space="preserve">eigenem Pod ab – geteilt wird nichts.</w:t>
      </w:r>
    </w:p>
    <w:p>
      <w:pPr>
        <w:pStyle w:val="Compact"/>
        <w:numPr>
          <w:ilvl w:val="0"/>
          <w:numId w:val="1023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Gebäude den Dialog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und erfasst ein Jahr mit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 (siehe</w:t>
      </w:r>
      <w:r>
        <w:t xml:space="preserve"> </w:t>
      </w:r>
      <w:r>
        <w:t xml:space="preserve">„Energiedaten erfassen und aktualisieren”).</w:t>
      </w:r>
    </w:p>
    <w:p>
      <w:pPr>
        <w:pStyle w:val="Compact"/>
        <w:numPr>
          <w:ilvl w:val="0"/>
          <w:numId w:val="1023"/>
        </w:numPr>
      </w:pPr>
      <w:r>
        <w:t xml:space="preserve">Für dasselbe Jahr legt A einen zweiten Eintrag an und wählt dabei unter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Planned (Soll)</w:t>
      </w:r>
      <w:r>
        <w:t xml:space="preserve"> </w:t>
      </w:r>
      <w:r>
        <w:t xml:space="preserve">– etwa die erwarteten Verbräuche</w:t>
      </w:r>
      <w:r>
        <w:t xml:space="preserve"> </w:t>
      </w:r>
      <w:r>
        <w:t xml:space="preserve">aus dem Energieausweis oder nach einer Umrüstung auf LED-Beleuchtung.</w:t>
      </w:r>
    </w:p>
    <w:p>
      <w:pPr>
        <w:pStyle w:val="Compact"/>
        <w:numPr>
          <w:ilvl w:val="0"/>
          <w:numId w:val="1023"/>
        </w:numPr>
      </w:pPr>
      <w:r>
        <w:t xml:space="preserve">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wählt A das Gebäude und wechselt zu</w:t>
      </w:r>
      <w:r>
        <w:t xml:space="preserve"> </w:t>
      </w:r>
      <w:r>
        <w:rPr>
          <w:b/>
          <w:bCs/>
        </w:rPr>
        <w:t xml:space="preserve">Energy data</w:t>
      </w:r>
      <w:r>
        <w:t xml:space="preserve">: Die</w:t>
      </w:r>
      <w:r>
        <w:t xml:space="preserve"> </w:t>
      </w:r>
      <w:r>
        <w:t xml:space="preserve">Jahresübersicht zeigt den Soll-Eintrag neben den Ist-Jahren – auf einen</w:t>
      </w:r>
      <w:r>
        <w:t xml:space="preserve"> </w:t>
      </w:r>
      <w:r>
        <w:t xml:space="preserve">Blick, wie nah der reale Verbrauch am Plan liegt.</w:t>
      </w:r>
    </w:p>
    <w:p>
      <w:pPr>
        <w:pStyle w:val="CaptionedFigure"/>
      </w:pPr>
      <w:r>
        <w:drawing>
          <wp:inline>
            <wp:extent cx="5334000" cy="2183920"/>
            <wp:effectExtent b="0" l="0" r="0" t="0"/>
            <wp:docPr descr="Die Pointe des Soll-Ist-Vergleichs: In der Jahresübersicht steht der Plan-Eintrag („planned”) neben den Ist-Jahren desselben Gebäudes" title="" id="140" name="Picture"/>
            <a:graphic>
              <a:graphicData uri="http://schemas.openxmlformats.org/drawingml/2006/picture">
                <pic:pic>
                  <pic:nvPicPr>
                    <pic:cNvPr descr="figures/soll-ist-payoff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den Ist-Jahren desselben Gebäudes</w:t>
      </w:r>
    </w:p>
    <w:bookmarkEnd w:id="142"/>
    <w:bookmarkStart w:id="149" w:name="X03da6b348cd61bc192d9c3a7fb942e1ef461fae"/>
    <w:p>
      <w:pPr>
        <w:pStyle w:val="Heading2"/>
      </w:pPr>
      <w:r>
        <w:t xml:space="preserve">Vertriebsoptimierung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ein Geschäftspartner – etwa ein Investor oder ein Makler bzw. Berater,</w:t>
      </w:r>
      <w:r>
        <w:t xml:space="preserve"> </w:t>
      </w:r>
      <w:r>
        <w:t xml:space="preserve">der sich einen Marktüberblick verschafft (der Anwendungsfall</w:t>
      </w:r>
      <w:r>
        <w:t xml:space="preserve"> </w:t>
      </w:r>
      <w:r>
        <w:t xml:space="preserve">„Vertriebsoptimierung”) –, der diese Daten einsehen soll.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4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4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. B’s WebID hat A von B selbst erhalten – eine WebID</w:t>
      </w:r>
      <w:r>
        <w:t xml:space="preserve"> </w:t>
      </w:r>
      <w:r>
        <w:t xml:space="preserve">gibt man weiter wie eine E-Mail-Adresse, etwa in der Signatur oder auf der</w:t>
      </w:r>
      <w:r>
        <w:t xml:space="preserve"> </w:t>
      </w:r>
      <w:r>
        <w:t xml:space="preserve">Visitenkarte. Einmal unter „Contacts” abgelegt (siehe „Kontakte</w:t>
      </w:r>
      <w:r>
        <w:t xml:space="preserve"> </w:t>
      </w:r>
      <w:r>
        <w:t xml:space="preserve">verwalten”), schlägt die App B fortan mit Namen und Profilbild als</w:t>
      </w:r>
      <w:r>
        <w:t xml:space="preserve"> </w:t>
      </w:r>
      <w:r>
        <w:t xml:space="preserve">Empfänger vor – die WebID muss nie wieder eingetippt werden.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4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5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5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 – auch in</w:t>
      </w:r>
      <w:r>
        <w:t xml:space="preserve"> </w:t>
      </w:r>
      <w:r>
        <w:t xml:space="preserve">der Energie-Linse, die geteilte Gebäude in B’s Marktüberblick einbezieht.</w:t>
      </w:r>
    </w:p>
    <w:p>
      <w:pPr>
        <w:pStyle w:val="Compact"/>
        <w:numPr>
          <w:ilvl w:val="0"/>
          <w:numId w:val="1025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5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" title="" id="144" name="Picture"/>
            <a:graphic>
              <a:graphicData uri="http://schemas.openxmlformats.org/drawingml/2006/picture">
                <pic:pic>
                  <pic:nvPicPr>
                    <pic:cNvPr descr="figures/teilen-payoff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47" name="Picture"/>
            <a:graphic>
              <a:graphicData uri="http://schemas.openxmlformats.org/drawingml/2006/picture">
                <pic:pic>
                  <pic:nvPicPr>
                    <pic:cNvPr descr="figures/szenario-teile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49"/>
    <w:bookmarkStart w:id="159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7"/>
        </w:numPr>
      </w:pPr>
      <w:r>
        <w:t xml:space="preserve">Jeder teilt seine Gebäude über den normalen Teilen-Dialog an C – genau die</w:t>
      </w:r>
      <w:r>
        <w:t xml:space="preserve"> </w:t>
      </w:r>
      <w:r>
        <w:t xml:space="preserve">Schritte aus „Vertriebsoptimierung durchgespielt”, nur dass A unter „What to share” diesmal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freigibt, wahlweise alle Jahre oder gezielt</w:t>
      </w:r>
      <w:r>
        <w:t xml:space="preserve"> </w:t>
      </w:r>
      <w:r>
        <w:t xml:space="preserve">ausgewählte. C’s WebID liegt dabei längst im Adressbuch – sie kam mit der</w:t>
      </w:r>
      <w:r>
        <w:t xml:space="preserve"> </w:t>
      </w:r>
      <w:r>
        <w:t xml:space="preserve">Beauftragung des Dienstleisters, wie eine E-Mail-Adresse –, sodass der</w:t>
      </w:r>
      <w:r>
        <w:t xml:space="preserve"> </w:t>
      </w:r>
      <w:r>
        <w:t xml:space="preserve">Teilen-Dialog C mit Namen und Profilbild vorschlägt.</w:t>
      </w:r>
    </w:p>
    <w:p>
      <w:pPr>
        <w:pStyle w:val="Compact"/>
        <w:numPr>
          <w:ilvl w:val="0"/>
          <w:numId w:val="1027"/>
        </w:numPr>
      </w:pPr>
      <w:r>
        <w:t xml:space="preserve">Sind alle drei Mitglied desselben Datenraums, geht es auch in einem Zug</w:t>
      </w:r>
      <w:r>
        <w:t xml:space="preserve"> </w:t>
      </w:r>
      <w:r>
        <w:t xml:space="preserve">rollenbasiert: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an die Rolle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 </w:t>
      </w:r>
      <w:r>
        <w:t xml:space="preserve">erreicht C, ohne dass A und B dessen WebID kennen müssen.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28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 you”.</w:t>
      </w:r>
    </w:p>
    <w:p>
      <w:pPr>
        <w:pStyle w:val="Compact"/>
        <w:numPr>
          <w:ilvl w:val="0"/>
          <w:numId w:val="1028"/>
        </w:numPr>
      </w:pPr>
      <w:r>
        <w:t xml:space="preserve">C wechselt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views”, klickt</w:t>
      </w:r>
      <w:r>
        <w:t xml:space="preserve"> </w:t>
      </w:r>
      <w:r>
        <w:rPr>
          <w:b/>
          <w:bCs/>
        </w:rPr>
        <w:t xml:space="preserve">Create View</w:t>
      </w:r>
      <w:r>
        <w:t xml:space="preserve"> </w:t>
      </w:r>
      <w:r>
        <w:t xml:space="preserve">und wählt die Art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. Zur Auswahl</w:t>
      </w:r>
      <w:r>
        <w:t xml:space="preserve"> </w:t>
      </w:r>
      <w:r>
        <w:t xml:space="preserve">stehen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</w:t>
      </w:r>
      <w:r>
        <w:t xml:space="preserve"> </w:t>
      </w:r>
      <w:r>
        <w:t xml:space="preserve">von A und B.</w:t>
      </w:r>
    </w:p>
    <w:p>
      <w:pPr>
        <w:pStyle w:val="Compact"/>
        <w:numPr>
          <w:ilvl w:val="0"/>
          <w:numId w:val="1028"/>
        </w:numPr>
      </w:pPr>
      <w:r>
        <w:t xml:space="preserve">C vergibt einen Namen, wählt die Kennzahlen (jährlicher Strom-, Wärme-,</w:t>
      </w:r>
      <w:r>
        <w:t xml:space="preserve"> </w:t>
      </w:r>
      <w:r>
        <w:t xml:space="preserve">Wasser- und Abwasserverbrauch)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und erstellt die Ansicht; beim ersten Öffnen berechnet die App das Ergebnis</w:t>
      </w:r>
      <w:r>
        <w:t xml:space="preserve"> </w:t>
      </w:r>
      <w:r>
        <w:t xml:space="preserve">als Snapshot (siehe „Aggregierte Ansicht erstellen und teilen”).</w:t>
      </w:r>
    </w:p>
    <w:p>
      <w:pPr>
        <w:pStyle w:val="Compact"/>
        <w:numPr>
          <w:ilvl w:val="0"/>
          <w:numId w:val="1028"/>
        </w:numPr>
      </w:pPr>
      <w:r>
        <w:t xml:space="preserve">C teilt die fertige Ansicht über das Teilen-Symbol an alle Beitragenden</w:t>
      </w:r>
      <w:r>
        <w:t xml:space="preserve"> </w:t>
      </w:r>
      <w:r>
        <w:t xml:space="preserve">zurück. Im Teilen-Dialog bietet die App dafür eine Ein-Klick-Hilfe an:</w:t>
      </w:r>
      <w:r>
        <w:t xml:space="preserve"> </w:t>
      </w:r>
      <w:r>
        <w:rPr>
          <w:b/>
          <w:bCs/>
        </w:rPr>
        <w:t xml:space="preserve">Add all contributors</w:t>
      </w:r>
      <w:r>
        <w:t xml:space="preserve"> </w:t>
      </w:r>
      <w:r>
        <w:t xml:space="preserve">trägt automatisch alle ein, deren Gebäude in den</w:t>
      </w:r>
      <w:r>
        <w:t xml:space="preserve"> </w:t>
      </w:r>
      <w:r>
        <w:t xml:space="preserve">Benchmark eingeflossen sind – hier A und B.</w:t>
      </w:r>
    </w:p>
    <w:p>
      <w:pPr>
        <w:pStyle w:val="FirstParagraph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29"/>
        </w:numPr>
      </w:pPr>
      <w:r>
        <w:t xml:space="preserve">Die 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</w:t>
      </w:r>
      <w:r>
        <w:t xml:space="preserve"> </w:t>
      </w:r>
      <w:r>
        <w:t xml:space="preserve">with you” – mit den empfangenen Durchschnittswerten zum Aufklappen (siehe</w:t>
      </w:r>
      <w:r>
        <w:t xml:space="preserve"> </w:t>
      </w:r>
      <w:r>
        <w:t xml:space="preserve">die Abbildung im Abschnitt „Mit Ihnen geteilte Daten”).</w:t>
      </w:r>
    </w:p>
    <w:p>
      <w:pPr>
        <w:pStyle w:val="Compact"/>
        <w:numPr>
          <w:ilvl w:val="0"/>
          <w:numId w:val="1029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 externen</w:t>
      </w:r>
      <w:r>
        <w:t xml:space="preserve"> </w:t>
      </w:r>
      <w:r>
        <w:t xml:space="preserve">Branchenwert eingefärbt statt nur gegen den eigenen Portfolio-Durchschnitt,</w:t>
      </w:r>
      <w:r>
        <w:t xml:space="preserve"> </w:t>
      </w:r>
      <w:r>
        <w:t xml:space="preserve">und ein Hinweis nennt den Dienstleister, der den Benchmark berechnet hat.</w:t>
      </w:r>
    </w:p>
    <w:p>
      <w:pPr>
        <w:pStyle w:val="CaptionedFigure"/>
      </w:pPr>
      <w:r>
        <w:drawing>
          <wp:inline>
            <wp:extent cx="5334000" cy="890596"/>
            <wp:effectExtent b="0" l="0" r="0" t="0"/>
            <wp:docPr descr="Die Pointe des Roundtrips: Auf der Energie-Detailseite von A (und ebenso von B) steht der eigene Verbrauch jetzt einer gefüllten Spalte „Benchmark” gegenüber – den von C zurückgeteilten Branchenwerten über die Gebäude aller Beitragenden" title="" id="151" name="Picture"/>
            <a:graphic>
              <a:graphicData uri="http://schemas.openxmlformats.org/drawingml/2006/picture">
                <pic:pic>
                  <pic:nvPicPr>
                    <pic:cNvPr descr="figures/benchmark-payoff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Spalte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54" name="Picture"/>
            <a:graphic>
              <a:graphicData uri="http://schemas.openxmlformats.org/drawingml/2006/picture">
                <pic:pic>
                  <pic:nvPicPr>
                    <pic:cNvPr descr="figures/szenario-benchmark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57" name="Picture"/>
            <a:graphic>
              <a:graphicData uri="http://schemas.openxmlformats.org/drawingml/2006/picture">
                <pic:pic>
                  <pic:nvPicPr>
                    <pic:cNvPr descr="figures/benchmark-share-back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59"/>
    <w:bookmarkEnd w:id="160"/>
    <w:bookmarkStart w:id="161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61"/>
    <w:bookmarkStart w:id="163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62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28" Target="media/rId128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50" Target="media/rId150.png" /><Relationship Type="http://schemas.openxmlformats.org/officeDocument/2006/relationships/image" Id="rId156" Target="media/rId156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7" Target="media/rId117.png" /><Relationship Type="http://schemas.openxmlformats.org/officeDocument/2006/relationships/image" Id="rId125" Target="media/rId125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101" Target="media/rId101.png" /><Relationship Type="http://schemas.openxmlformats.org/officeDocument/2006/relationships/image" Id="rId86" Target="media/rId86.png" /><Relationship Type="http://schemas.openxmlformats.org/officeDocument/2006/relationships/image" Id="rId63" Target="media/rId63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113" Target="media/rId113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139" Target="media/rId139.png" /><Relationship Type="http://schemas.openxmlformats.org/officeDocument/2006/relationships/image" Id="rId153" Target="media/rId153.png" /><Relationship Type="http://schemas.openxmlformats.org/officeDocument/2006/relationships/image" Id="rId146" Target="media/rId146.png" /><Relationship Type="http://schemas.openxmlformats.org/officeDocument/2006/relationships/image" Id="rId143" Target="media/rId14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62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62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2026-06-13T22:59:54Z</dcterms:created>
  <dcterms:modified xsi:type="dcterms:W3CDTF">2026-06-13T22:59:54Z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ff5ceeb+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