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8.png" ContentType="image/png"/>
  <Override PartName="/word/media/rId128.png" ContentType="image/png"/>
  <Override PartName="/word/media/rId26.png" ContentType="image/png"/>
  <Override PartName="/word/media/rId23.png" ContentType="image/png"/>
  <Override PartName="/word/media/rId60.png" ContentType="image/png"/>
  <Override PartName="/word/media/rId46.png" ContentType="image/png"/>
  <Override PartName="/word/media/rId32.png" ContentType="image/png"/>
  <Override PartName="/word/media/rId150.png" ContentType="image/png"/>
  <Override PartName="/word/media/rId156.png" ContentType="image/png"/>
  <Override PartName="/word/media/rId29.png" ContentType="image/png"/>
  <Override PartName="/word/media/rId35.png" ContentType="image/png"/>
  <Override PartName="/word/media/rId38.png" ContentType="image/png"/>
  <Override PartName="/word/media/rId117.png" ContentType="image/png"/>
  <Override PartName="/word/media/rId125.png" ContentType="image/png"/>
  <Override PartName="/word/media/rId93.png" ContentType="image/png"/>
  <Override PartName="/word/media/rId96.png" ContentType="image/png"/>
  <Override PartName="/word/media/rId101.png" ContentType="image/png"/>
  <Override PartName="/word/media/rId86.png" ContentType="image/png"/>
  <Override PartName="/word/media/rId63.png" ContentType="image/png"/>
  <Override PartName="/word/media/rId82.png" ContentType="image/png"/>
  <Override PartName="/word/media/rId90.png" ContentType="image/png"/>
  <Override PartName="/word/media/rId113.png" ContentType="image/png"/>
  <Override PartName="/word/media/rId121.png" ContentType="image/png"/>
  <Override PartName="/word/media/rId132.png" ContentType="image/png"/>
  <Override PartName="/word/media/rId106.png" ContentType="image/png"/>
  <Override PartName="/word/media/rId139.png" ContentType="image/png"/>
  <Override PartName="/word/media/rId153.png" ContentType="image/png"/>
  <Override PartName="/word/media/rId146.png" ContentType="image/png"/>
  <Override PartName="/word/media/rId143.png" ContentType="image/png"/>
  <Override PartName="/word/media/rId68.png" ContentType="image/png"/>
  <Override PartName="/word/media/rId7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Datenintegration</w:t>
      </w:r>
      <w:r>
        <w:t xml:space="preserve"> </w:t>
      </w:r>
      <w:r>
        <w:t xml:space="preserve">bei</w:t>
      </w:r>
      <w:r>
        <w:t xml:space="preserve"> </w:t>
      </w:r>
      <w:r>
        <w:t xml:space="preserve">Logistikimmobilien</w:t>
      </w:r>
    </w:p>
    <w:p>
      <w:pPr>
        <w:pStyle w:val="Subtitle"/>
      </w:pPr>
      <w:r>
        <w:t xml:space="preserve">Praxishandbuch</w:t>
      </w:r>
    </w:p>
    <w:p>
      <w:pPr>
        <w:pStyle w:val="Author"/>
      </w:pPr>
      <w:r>
        <w:t xml:space="preserve">Uwe</w:t>
      </w:r>
      <w:r>
        <w:t xml:space="preserve"> </w:t>
      </w:r>
      <w:r>
        <w:t xml:space="preserve">Veres-Homm,</w:t>
      </w:r>
      <w:r>
        <w:t xml:space="preserve"> </w:t>
      </w:r>
      <w:r>
        <w:t xml:space="preserve">Bereich</w:t>
      </w:r>
      <w:r>
        <w:t xml:space="preserve"> </w:t>
      </w:r>
      <w:r>
        <w:t xml:space="preserve">Supply</w:t>
      </w:r>
      <w:r>
        <w:t xml:space="preserve"> </w:t>
      </w:r>
      <w:r>
        <w:t xml:space="preserve">Chain</w:t>
      </w:r>
      <w:r>
        <w:t xml:space="preserve"> </w:t>
      </w:r>
      <w:r>
        <w:t xml:space="preserve">Services</w:t>
      </w:r>
      <w:r>
        <w:t xml:space="preserve"> </w:t>
      </w:r>
      <w:r>
        <w:t xml:space="preserve">des</w:t>
      </w:r>
      <w:r>
        <w:t xml:space="preserve"> </w:t>
      </w:r>
      <w:r>
        <w:t xml:space="preserve">Fraunhofer</w:t>
      </w:r>
      <w:r>
        <w:t xml:space="preserve"> </w:t>
      </w:r>
      <w:r>
        <w:t xml:space="preserve">IIS</w:t>
      </w:r>
    </w:p>
    <w:p>
      <w:pPr>
        <w:pStyle w:val="Author"/>
      </w:pPr>
      <w:r>
        <w:t xml:space="preserve">Heike</w:t>
      </w:r>
      <w:r>
        <w:t xml:space="preserve"> </w:t>
      </w:r>
      <w:r>
        <w:t xml:space="preserve">Weber,</w:t>
      </w:r>
      <w:r>
        <w:t xml:space="preserve"> </w:t>
      </w:r>
      <w:r>
        <w:t xml:space="preserve">Bereich</w:t>
      </w:r>
      <w:r>
        <w:t xml:space="preserve"> </w:t>
      </w:r>
      <w:r>
        <w:t xml:space="preserve">Supply</w:t>
      </w:r>
      <w:r>
        <w:t xml:space="preserve"> </w:t>
      </w:r>
      <w:r>
        <w:t xml:space="preserve">Chain</w:t>
      </w:r>
      <w:r>
        <w:t xml:space="preserve"> </w:t>
      </w:r>
      <w:r>
        <w:t xml:space="preserve">Services</w:t>
      </w:r>
      <w:r>
        <w:t xml:space="preserve"> </w:t>
      </w:r>
      <w:r>
        <w:t xml:space="preserve">des</w:t>
      </w:r>
      <w:r>
        <w:t xml:space="preserve"> </w:t>
      </w:r>
      <w:r>
        <w:t xml:space="preserve">Fraunhofer</w:t>
      </w:r>
      <w:r>
        <w:t xml:space="preserve"> </w:t>
      </w:r>
      <w:r>
        <w:t xml:space="preserve">IIS</w:t>
      </w:r>
    </w:p>
    <w:p>
      <w:pPr>
        <w:pStyle w:val="Author"/>
      </w:pPr>
      <w:r>
        <w:t xml:space="preserve">Prof. Dr. Andreas</w:t>
      </w:r>
      <w:r>
        <w:t xml:space="preserve"> </w:t>
      </w:r>
      <w:r>
        <w:t xml:space="preserve">Harth,</w:t>
      </w:r>
      <w:r>
        <w:t xml:space="preserve"> </w:t>
      </w:r>
      <w:r>
        <w:t xml:space="preserve">Friedrich-Alexander-Universität</w:t>
      </w:r>
      <w:r>
        <w:t xml:space="preserve"> </w:t>
      </w:r>
      <w:r>
        <w:t xml:space="preserve">Erlangen-Nürnberg</w:t>
      </w:r>
    </w:p>
    <w:p>
      <w:pPr>
        <w:pStyle w:val="Author"/>
      </w:pPr>
      <w:r>
        <w:t xml:space="preserve">Thomas</w:t>
      </w:r>
      <w:r>
        <w:t xml:space="preserve"> </w:t>
      </w:r>
      <w:r>
        <w:t xml:space="preserve">Wehr,</w:t>
      </w:r>
      <w:r>
        <w:t xml:space="preserve"> </w:t>
      </w:r>
      <w:r>
        <w:t xml:space="preserve">Friedrich-Alexander-Universität</w:t>
      </w:r>
      <w:r>
        <w:t xml:space="preserve"> </w:t>
      </w:r>
      <w:r>
        <w:t xml:space="preserve">Erlangen-Nürnberg</w:t>
      </w:r>
    </w:p>
    <w:p>
      <w:pPr>
        <w:pStyle w:val="Date"/>
      </w:pPr>
      <w:r>
        <w:t xml:space="preserve">Juni 2026 · Version b406044+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X71f651dd2d3b6e9c4bb17c59cb6cc038e923217"/>
    <w:p>
      <w:pPr>
        <w:pStyle w:val="Heading1"/>
      </w:pPr>
      <w:r>
        <w:t xml:space="preserve">Was dieses Praxishandbuch leistet und für wen es gedacht ist</w:t>
      </w:r>
    </w:p>
    <w:p>
      <w:pPr>
        <w:pStyle w:val="FirstParagraph"/>
      </w:pPr>
      <w:r>
        <w:t xml:space="preserve">Dieses Praxishandbuch bietet eine anwendungsorientierte Einführung in die</w:t>
      </w:r>
      <w:r>
        <w:t xml:space="preserve"> </w:t>
      </w:r>
      <w:r>
        <w:t xml:space="preserve">Konzeption und Nutzung der Granergize-App – einer Webanwendung, die einen</w:t>
      </w:r>
      <w:r>
        <w:t xml:space="preserve"> </w:t>
      </w:r>
      <w:r>
        <w:t xml:space="preserve">Wissensgraphen für Energieverbrauchsdaten von Logistikimmobilien nutzbar macht.</w:t>
      </w:r>
      <w:r>
        <w:t xml:space="preserve"> </w:t>
      </w:r>
      <w:r>
        <w:t xml:space="preserve">Ziel ist es, heterogene Datenquellen zu integrieren, semantisch zu</w:t>
      </w:r>
      <w:r>
        <w:t xml:space="preserve"> </w:t>
      </w:r>
      <w:r>
        <w:t xml:space="preserve">harmonisieren und für Analyse-, Benchmarking- und Entscheidungsprozesse nutzbar</w:t>
      </w:r>
      <w:r>
        <w:t xml:space="preserve"> </w:t>
      </w:r>
      <w:r>
        <w:t xml:space="preserve">zu machen.</w:t>
      </w:r>
    </w:p>
    <w:p>
      <w:pPr>
        <w:pStyle w:val="BodyText"/>
      </w:pPr>
      <w:r>
        <w:t xml:space="preserve">Vor dem Hintergrund von Datensilos, uneinheitlichen Datenformaten und</w:t>
      </w:r>
      <w:r>
        <w:t xml:space="preserve"> </w:t>
      </w:r>
      <w:r>
        <w:t xml:space="preserve">unterschiedlichen Anforderungen der beteiligten Akteure zeigt das Handbuch</w:t>
      </w:r>
      <w:r>
        <w:t xml:space="preserve"> </w:t>
      </w:r>
      <w:r>
        <w:t xml:space="preserve">praxisnah, wie ein semantisches Datenschema einschließlich Ontologie die</w:t>
      </w:r>
      <w:r>
        <w:t xml:space="preserve"> </w:t>
      </w:r>
      <w:r>
        <w:t xml:space="preserve">Transparenz, Interoperabilität und Vergleichbarkeit von Energieverbrauchsdaten</w:t>
      </w:r>
      <w:r>
        <w:t xml:space="preserve"> </w:t>
      </w:r>
      <w:r>
        <w:t xml:space="preserve">verbessern kann. Gleichzeitig wird erläutert, wie ein sicherer, kontrollierter</w:t>
      </w:r>
      <w:r>
        <w:t xml:space="preserve"> </w:t>
      </w:r>
      <w:r>
        <w:t xml:space="preserve">und flexibler Datenaustausch innerhalb des Immobilienökosystems ermöglicht wird.</w:t>
      </w:r>
    </w:p>
    <w:p>
      <w:pPr>
        <w:pStyle w:val="BodyText"/>
      </w:pPr>
      <w:r>
        <w:t xml:space="preserve">Darüber hinaus schafft das Handbuch die Grundlage für datengetriebene</w:t>
      </w:r>
      <w:r>
        <w:t xml:space="preserve"> </w:t>
      </w:r>
      <w:r>
        <w:t xml:space="preserve">Optimierungsansätze zur Steigerung der Energieeffizienz sowie zur Unterstützung</w:t>
      </w:r>
      <w:r>
        <w:t xml:space="preserve"> </w:t>
      </w:r>
      <w:r>
        <w:t xml:space="preserve">regulatorischer Anforderungen, insbesondere im Bereich Nachhaltigkeit und</w:t>
      </w:r>
      <w:r>
        <w:t xml:space="preserve"> </w:t>
      </w:r>
      <w:r>
        <w:t xml:space="preserve">CO</w:t>
      </w:r>
      <w:r>
        <w:rPr>
          <w:vertAlign w:val="subscript"/>
        </w:rPr>
        <w:t xml:space="preserve">2</w:t>
      </w:r>
      <w:r>
        <w:t xml:space="preserve">-Bilanzierung.</w:t>
      </w:r>
    </w:p>
    <w:p>
      <w:pPr>
        <w:pStyle w:val="BodyText"/>
      </w:pPr>
      <w:r>
        <w:t xml:space="preserve">Die Zielgruppe umfasst alle Akteure des Logistikimmobilienökosystems,</w:t>
      </w:r>
      <w:r>
        <w:t xml:space="preserve"> </w:t>
      </w:r>
      <w:r>
        <w:t xml:space="preserve">insbesondere Nutzer und Eigentümer von Logistikimmobilien, Investoren, Facility</w:t>
      </w:r>
      <w:r>
        <w:t xml:space="preserve"> </w:t>
      </w:r>
      <w:r>
        <w:t xml:space="preserve">Manager, Makler, Berater sowie Software-, Energie- und Benchmark-Dienstleister.</w:t>
      </w:r>
      <w:r>
        <w:t xml:space="preserve"> </w:t>
      </w:r>
      <w:r>
        <w:t xml:space="preserve">Es richtet sich gleichermaßen an fachliche wie technische Anwender und verbindet</w:t>
      </w:r>
      <w:r>
        <w:t xml:space="preserve"> </w:t>
      </w:r>
      <w:r>
        <w:t xml:space="preserve">fachliche Grundlagen mit praxisnaher Anwendung.</w:t>
      </w:r>
    </w:p>
    <w:bookmarkEnd w:id="20"/>
    <w:bookmarkStart w:id="45" w:name="X27454edb7a7b27e3276f9112c639ec014b5c4bf"/>
    <w:p>
      <w:pPr>
        <w:pStyle w:val="Heading1"/>
      </w:pPr>
      <w:r>
        <w:t xml:space="preserve">Vom Problem zur Lösung: Energieverbrauchsdaten nutzbar machen</w:t>
      </w:r>
    </w:p>
    <w:bookmarkStart w:id="21" w:name="X6ef88a7e0e2af4c236a5e941a850ac72a294e58"/>
    <w:p>
      <w:pPr>
        <w:pStyle w:val="Heading2"/>
      </w:pPr>
      <w:r>
        <w:t xml:space="preserve">Warum Energieverbrauchsdaten bislang nur eingeschränkt zugänglich sind</w:t>
      </w:r>
    </w:p>
    <w:p>
      <w:pPr>
        <w:pStyle w:val="FirstParagraph"/>
      </w:pPr>
      <w:r>
        <w:t xml:space="preserve">Energieverbrauchsdaten von Logistikimmobilien liegen häufig in Datensilos und</w:t>
      </w:r>
      <w:r>
        <w:t xml:space="preserve"> </w:t>
      </w:r>
      <w:r>
        <w:t xml:space="preserve">sind in der Praxis nur schwer zugänglich. Das komplexe Ökosystem verstärkt diese</w:t>
      </w:r>
      <w:r>
        <w:t xml:space="preserve"> </w:t>
      </w:r>
      <w:r>
        <w:t xml:space="preserve">Problematik: Die unterschiedlichen Akteure verwenden eigene Systeme,</w:t>
      </w:r>
      <w:r>
        <w:t xml:space="preserve"> </w:t>
      </w:r>
      <w:r>
        <w:t xml:space="preserve">verschiedene Datenformate und Modelle. Verbrauchsdaten liegen daher in</w:t>
      </w:r>
      <w:r>
        <w:t xml:space="preserve"> </w:t>
      </w:r>
      <w:r>
        <w:t xml:space="preserve">variierenden Strukturen, Granularitäten und Zeitauflösungen vor. Diese</w:t>
      </w:r>
      <w:r>
        <w:t xml:space="preserve"> </w:t>
      </w:r>
      <w:r>
        <w:t xml:space="preserve">Heterogenität erschwert das Teilen von Daten; Datenaustausch und Vergleichbarkeit</w:t>
      </w:r>
      <w:r>
        <w:t xml:space="preserve"> </w:t>
      </w:r>
      <w:r>
        <w:t xml:space="preserve">sind bislang nur eingeschränkt gegeben.</w:t>
      </w:r>
    </w:p>
    <w:p>
      <w:pPr>
        <w:pStyle w:val="BodyText"/>
      </w:pPr>
      <w:r>
        <w:t xml:space="preserve">Gleichzeitig bilden Logistikimmobilien zentrale Knotenpunkte logistischer</w:t>
      </w:r>
      <w:r>
        <w:t xml:space="preserve"> </w:t>
      </w:r>
      <w:r>
        <w:t xml:space="preserve">Netzwerke und übernehmen eine entscheidende Rolle bei der Erbringung logistischer</w:t>
      </w:r>
      <w:r>
        <w:t xml:space="preserve"> </w:t>
      </w:r>
      <w:r>
        <w:t xml:space="preserve">Dienstleistungen. Vor dem Hintergrund steigender Strom- und Gaspreise sowie</w:t>
      </w:r>
      <w:r>
        <w:t xml:space="preserve"> </w:t>
      </w:r>
      <w:r>
        <w:t xml:space="preserve">wachsender regulatorischer Anforderungen, insbesondere im Kontext von</w:t>
      </w:r>
      <w:r>
        <w:t xml:space="preserve"> </w:t>
      </w:r>
      <w:r>
        <w:t xml:space="preserve">Nachhaltigkeit und CO</w:t>
      </w:r>
      <w:r>
        <w:rPr>
          <w:vertAlign w:val="subscript"/>
        </w:rPr>
        <w:t xml:space="preserve">2</w:t>
      </w:r>
      <w:r>
        <w:t xml:space="preserve">-Bilanzierung durch konkrete EU-Taxonomien, gewinnt die</w:t>
      </w:r>
      <w:r>
        <w:t xml:space="preserve"> </w:t>
      </w:r>
      <w:r>
        <w:t xml:space="preserve">Energieeffizienz von Logistikimmobilien zunehmend an Bedeutung.</w:t>
      </w:r>
    </w:p>
    <w:p>
      <w:pPr>
        <w:pStyle w:val="BodyText"/>
      </w:pPr>
      <w:r>
        <w:t xml:space="preserve">Dennoch bestehen erhebliche Herausforderungen: Die komplexe Akteurslandschaft mit</w:t>
      </w:r>
      <w:r>
        <w:t xml:space="preserve"> </w:t>
      </w:r>
      <w:r>
        <w:t xml:space="preserve">unterschiedlichen Perspektiven auf den Energieverbrauch erschwert den Zugang zu</w:t>
      </w:r>
      <w:r>
        <w:t xml:space="preserve"> </w:t>
      </w:r>
      <w:r>
        <w:t xml:space="preserve">entscheidenden Daten. Die Mobilisierung dieser Daten innerhalb der Unternehmen</w:t>
      </w:r>
      <w:r>
        <w:t xml:space="preserve"> </w:t>
      </w:r>
      <w:r>
        <w:t xml:space="preserve">erfordert zudem hohen manuellen Aufwand. Auch die Vielfalt der Gebäudetypen und</w:t>
      </w:r>
      <w:r>
        <w:t xml:space="preserve"> </w:t>
      </w:r>
      <w:r>
        <w:t xml:space="preserve">unterschiedliche Nutzungsregimes erschweren die Vergleichbarkeit der jeweiligen</w:t>
      </w:r>
      <w:r>
        <w:t xml:space="preserve"> </w:t>
      </w:r>
      <w:r>
        <w:t xml:space="preserve">Informationen.</w:t>
      </w:r>
    </w:p>
    <w:bookmarkEnd w:id="21"/>
    <w:bookmarkStart w:id="22" w:name="der-wissensgraph-als-schlüssel"/>
    <w:p>
      <w:pPr>
        <w:pStyle w:val="Heading2"/>
      </w:pPr>
      <w:r>
        <w:t xml:space="preserve">Der Wissensgraph als Schlüssel</w:t>
      </w:r>
    </w:p>
    <w:p>
      <w:pPr>
        <w:pStyle w:val="FirstParagraph"/>
      </w:pPr>
      <w:r>
        <w:t xml:space="preserve">Wissensgraphen bieten die geeignete technologische Grundlage, um diesen</w:t>
      </w:r>
      <w:r>
        <w:t xml:space="preserve"> </w:t>
      </w:r>
      <w:r>
        <w:t xml:space="preserve">Herausforderungen zu begegnen. Sie ermöglichen es, heterogene Daten aus</w:t>
      </w:r>
      <w:r>
        <w:t xml:space="preserve"> </w:t>
      </w:r>
      <w:r>
        <w:t xml:space="preserve">unterschiedlichen Quellen in einem einheitlichen, semantisch beschriebenen</w:t>
      </w:r>
      <w:r>
        <w:t xml:space="preserve"> </w:t>
      </w:r>
      <w:r>
        <w:t xml:space="preserve">Modell zusammenzuführen, ohne dass bestehende Systeme vollständig vereinheitlicht</w:t>
      </w:r>
      <w:r>
        <w:t xml:space="preserve"> </w:t>
      </w:r>
      <w:r>
        <w:t xml:space="preserve">werden müssen. Durch die explizite Modellierung von Entitäten (z. B. Gebäude</w:t>
      </w:r>
      <w:r>
        <w:t xml:space="preserve"> </w:t>
      </w:r>
      <w:r>
        <w:t xml:space="preserve">oder Zähler) und deren Beziehungen können Daten zudem nicht nur integriert,</w:t>
      </w:r>
      <w:r>
        <w:t xml:space="preserve"> </w:t>
      </w:r>
      <w:r>
        <w:t xml:space="preserve">sondern auch in den Kontext gesetzt und damit besser interpretiert werden.</w:t>
      </w:r>
    </w:p>
    <w:p>
      <w:pPr>
        <w:pStyle w:val="BodyText"/>
      </w:pPr>
      <w:r>
        <w:t xml:space="preserve">Daher wird dieser Ansatz im Projekt Granergize aufgegriffen und ein einheitliches</w:t>
      </w:r>
      <w:r>
        <w:t xml:space="preserve"> </w:t>
      </w:r>
      <w:r>
        <w:t xml:space="preserve">Datenmodell entwickelt. Damit wird eine gemeinsame semantische Grundlage</w:t>
      </w:r>
      <w:r>
        <w:t xml:space="preserve"> </w:t>
      </w:r>
      <w:r>
        <w:t xml:space="preserve">etabliert, die einen sicheren und kontrollierten Datenaustausch im gesamten</w:t>
      </w:r>
      <w:r>
        <w:t xml:space="preserve"> </w:t>
      </w:r>
      <w:r>
        <w:t xml:space="preserve">Immobilienökosystem ermöglicht. Gleichzeitig wird die Voraussetzung für internes</w:t>
      </w:r>
      <w:r>
        <w:t xml:space="preserve"> </w:t>
      </w:r>
      <w:r>
        <w:t xml:space="preserve">sowie externes Benchmarking geschaffen, ohne die Datenhoheit der einzelnen</w:t>
      </w:r>
      <w:r>
        <w:t xml:space="preserve"> </w:t>
      </w:r>
      <w:r>
        <w:t xml:space="preserve">Beteiligten einzuschränken: Innerhalb des Ökosystems kann demnach jeder Akteur</w:t>
      </w:r>
      <w:r>
        <w:t xml:space="preserve"> </w:t>
      </w:r>
      <w:r>
        <w:t xml:space="preserve">selbst bestimmen, mit wem er welche Daten in welcher Granularität und Frequenz</w:t>
      </w:r>
      <w:r>
        <w:t xml:space="preserve"> </w:t>
      </w:r>
      <w:r>
        <w:t xml:space="preserve">teilen möchte.</w:t>
      </w:r>
    </w:p>
    <w:p>
      <w:pPr>
        <w:pStyle w:val="BodyText"/>
      </w:pPr>
      <w:r>
        <w:t xml:space="preserve">Damit bilden Wissensgraphen eine zentrale Brücke zwischen der aktuell heterogenen</w:t>
      </w:r>
      <w:r>
        <w:t xml:space="preserve"> </w:t>
      </w:r>
      <w:r>
        <w:t xml:space="preserve">Datenlandschaft und einer zukunftsfähigen, datengetriebenen Steuerung von</w:t>
      </w:r>
      <w:r>
        <w:t xml:space="preserve"> </w:t>
      </w:r>
      <w:r>
        <w:t xml:space="preserve">Energieeffizienz in Logistikimmobilien.</w:t>
      </w:r>
    </w:p>
    <w:bookmarkEnd w:id="22"/>
    <w:bookmarkStart w:id="44" w:name="Xea4ec0664910c34db5b53014d039b2f0f8a7522"/>
    <w:p>
      <w:pPr>
        <w:pStyle w:val="Heading2"/>
      </w:pPr>
      <w:r>
        <w:t xml:space="preserve">Praxisbeispiele: Use Cases für die Anwendung</w:t>
      </w:r>
    </w:p>
    <w:p>
      <w:pPr>
        <w:pStyle w:val="FirstParagraph"/>
      </w:pPr>
      <w:r>
        <w:t xml:space="preserve">Drei Anwendungsfälle haben die Entwicklung der Granergize-App geleitet. Jeder</w:t>
      </w:r>
      <w:r>
        <w:t xml:space="preserve"> </w:t>
      </w:r>
      <w:r>
        <w:t xml:space="preserve">wird hier zunächst fachlich beschrieben; wo die App ihn einlöst, nennt der</w:t>
      </w:r>
      <w:r>
        <w:t xml:space="preserve"> </w:t>
      </w:r>
      <w:r>
        <w:t xml:space="preserve">jeweilige Abschnitt – und die betreffenden Stellen im praktischen Teil dieses</w:t>
      </w:r>
      <w:r>
        <w:t xml:space="preserve"> </w:t>
      </w:r>
      <w:r>
        <w:t xml:space="preserve">Handbuchs greifen den Anwendungsfall namentlich wieder auf. Die Reihenfolge</w:t>
      </w:r>
      <w:r>
        <w:t xml:space="preserve"> </w:t>
      </w:r>
      <w:r>
        <w:t xml:space="preserve">folgt der Zahl der Beteiligten: Der Soll-Ist-Vergleich spielt sich im eigenen</w:t>
      </w:r>
      <w:r>
        <w:t xml:space="preserve"> </w:t>
      </w:r>
      <w:r>
        <w:t xml:space="preserve">Bestand ab, die Vertriebsunterstützung lebt vom Teilen zwischen zwei Parteien,</w:t>
      </w:r>
      <w:r>
        <w:t xml:space="preserve"> </w:t>
      </w:r>
      <w:r>
        <w:t xml:space="preserve">und das Energieverbrauchsbenchmark bringt mit dem Benchmark-Dienstleister</w:t>
      </w:r>
      <w:r>
        <w:t xml:space="preserve"> </w:t>
      </w:r>
      <w:r>
        <w:t xml:space="preserve">einen dritten Akteur ins Spiel. Am Ende des praktischen Teils läuft jeder der</w:t>
      </w:r>
      <w:r>
        <w:t xml:space="preserve"> </w:t>
      </w:r>
      <w:r>
        <w:t xml:space="preserve">drei noch einmal als durchgehender Ablauf ab (Kapitel „Die Anwendungsfälle</w:t>
      </w:r>
      <w:r>
        <w:t xml:space="preserve"> </w:t>
      </w:r>
      <w:r>
        <w:t xml:space="preserve">durchgespielt”).</w:t>
      </w:r>
    </w:p>
    <w:p>
      <w:pPr>
        <w:pStyle w:val="BodyText"/>
      </w:pPr>
      <w:r>
        <w:t xml:space="preserve">Durch das gesamte Handbuch begleitet dabei ein festes Beispiel-Ensemble aus</w:t>
      </w:r>
      <w:r>
        <w:t xml:space="preserve"> </w:t>
      </w:r>
      <w:r>
        <w:t xml:space="preserve">drei Personen mit ihren Firmen:</w:t>
      </w:r>
    </w:p>
    <w:p>
      <w:pPr>
        <w:pStyle w:val="Compact"/>
        <w:numPr>
          <w:ilvl w:val="0"/>
          <w:numId w:val="1001"/>
        </w:numPr>
      </w:pPr>
      <w:r>
        <w:drawing>
          <wp:inline>
            <wp:extent cx="502919" cy="37719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figures/alice-avatar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19" cy="377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005840" cy="25146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figures/ahlmann-logistik-logo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840" cy="251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A — Alice Ahlmann</w:t>
      </w:r>
      <w:r>
        <w:t xml:space="preserve"> </w:t>
      </w:r>
      <w:r>
        <w:t xml:space="preserve">von der</w:t>
      </w:r>
      <w:r>
        <w:t xml:space="preserve"> </w:t>
      </w:r>
      <w:r>
        <w:rPr>
          <w:b/>
          <w:bCs/>
        </w:rPr>
        <w:t xml:space="preserve">Ahlmann Logistik GmbH</w:t>
      </w:r>
      <w:r>
        <w:t xml:space="preserve">, einer Logistikfirma,</w:t>
      </w:r>
      <w:r>
        <w:t xml:space="preserve"> </w:t>
      </w:r>
      <w:r>
        <w:t xml:space="preserve">die ihre eigenen Hallen nutzt. Im Soll-Ist-Vergleich agiert sie allein; in</w:t>
      </w:r>
      <w:r>
        <w:t xml:space="preserve"> </w:t>
      </w:r>
      <w:r>
        <w:t xml:space="preserve">den beiden anderen Anwendungsfällen ist sie die Bestandshalterin, die ihre</w:t>
      </w:r>
      <w:r>
        <w:t xml:space="preserve"> </w:t>
      </w:r>
      <w:r>
        <w:t xml:space="preserve">Daten teilt.</w:t>
      </w:r>
    </w:p>
    <w:p>
      <w:pPr>
        <w:pStyle w:val="Compact"/>
        <w:numPr>
          <w:ilvl w:val="0"/>
          <w:numId w:val="1001"/>
        </w:numPr>
      </w:pPr>
      <w:r>
        <w:drawing>
          <wp:inline>
            <wp:extent cx="315896" cy="37719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figures/bob-avatar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896" cy="377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005840" cy="25146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figures/bauer-grundbesitz-logo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840" cy="251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B — Bob Bauer</w:t>
      </w:r>
      <w:r>
        <w:t xml:space="preserve"> </w:t>
      </w:r>
      <w:r>
        <w:t xml:space="preserve">von</w:t>
      </w:r>
      <w:r>
        <w:t xml:space="preserve"> </w:t>
      </w:r>
      <w:r>
        <w:rPr>
          <w:b/>
          <w:bCs/>
        </w:rPr>
        <w:t xml:space="preserve">Bauer Grundbesitz</w:t>
      </w:r>
      <w:r>
        <w:t xml:space="preserve">, ein Geschäftspartner von A — je</w:t>
      </w:r>
      <w:r>
        <w:t xml:space="preserve"> </w:t>
      </w:r>
      <w:r>
        <w:t xml:space="preserve">nach Anwendungsfall Investor, Makler oder Berater, der geteilte Daten</w:t>
      </w:r>
      <w:r>
        <w:t xml:space="preserve"> </w:t>
      </w:r>
      <w:r>
        <w:t xml:space="preserve">einsieht, und im Benchmark selbst Bestandshalter.</w:t>
      </w:r>
    </w:p>
    <w:p>
      <w:pPr>
        <w:pStyle w:val="Compact"/>
        <w:numPr>
          <w:ilvl w:val="0"/>
          <w:numId w:val="1001"/>
        </w:numPr>
      </w:pPr>
      <w:r>
        <w:drawing>
          <wp:inline>
            <wp:extent cx="313768" cy="37719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figures/charlie-avatar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768" cy="377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005840" cy="25146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figures/conrad-kennwert-logo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840" cy="251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C — Charlie Conrad</w:t>
      </w:r>
      <w:r>
        <w:t xml:space="preserve"> </w:t>
      </w:r>
      <w:r>
        <w:t xml:space="preserve">von der</w:t>
      </w:r>
      <w:r>
        <w:t xml:space="preserve"> </w:t>
      </w:r>
      <w:r>
        <w:rPr>
          <w:b/>
          <w:bCs/>
        </w:rPr>
        <w:t xml:space="preserve">Conrad Kennwert GmbH</w:t>
      </w:r>
      <w:r>
        <w:t xml:space="preserve">, ein</w:t>
      </w:r>
      <w:r>
        <w:t xml:space="preserve"> </w:t>
      </w:r>
      <w:r>
        <w:t xml:space="preserve">Benchmark-Dienstleister (Benchmark Service Provider), der die Gebäude von A</w:t>
      </w:r>
      <w:r>
        <w:t xml:space="preserve"> </w:t>
      </w:r>
      <w:r>
        <w:t xml:space="preserve">und B vergleichbar macht.</w:t>
      </w:r>
    </w:p>
    <w:p>
      <w:pPr>
        <w:pStyle w:val="FirstParagraph"/>
      </w:pPr>
      <w:r>
        <w:t xml:space="preserve">Alle Bildschirmfotos dieses Handbuchs zeigen diese drei: Avatar und Firmenlogo</w:t>
      </w:r>
      <w:r>
        <w:t xml:space="preserve"> </w:t>
      </w:r>
      <w:r>
        <w:t xml:space="preserve">erscheinen in der App in der Kopfzeile und an den Gebäude-Markern auf der</w:t>
      </w:r>
      <w:r>
        <w:t xml:space="preserve"> </w:t>
      </w:r>
      <w:r>
        <w:t xml:space="preserve">Karte, sodass in jedem Bild erkennbar ist, wessen Sicht gerade gezeigt wird.</w:t>
      </w:r>
    </w:p>
    <w:bookmarkStart w:id="41" w:name="soll-ist-vergleich"/>
    <w:p>
      <w:pPr>
        <w:pStyle w:val="Heading3"/>
      </w:pPr>
      <w:r>
        <w:t xml:space="preserve">Soll-Ist-Vergleich</w:t>
      </w:r>
    </w:p>
    <w:p>
      <w:pPr>
        <w:pStyle w:val="FirstParagraph"/>
      </w:pPr>
      <w:r>
        <w:t xml:space="preserve">Ein zentraler Anwendungsfall ist die Durchführung von</w:t>
      </w:r>
      <w:r>
        <w:t xml:space="preserve"> </w:t>
      </w:r>
      <w:r>
        <w:t xml:space="preserve">Soll-Ist-Vergleichen. Dabei werden tatsächliche Energieverbräuche systematisch</w:t>
      </w:r>
      <w:r>
        <w:t xml:space="preserve"> </w:t>
      </w:r>
      <w:r>
        <w:t xml:space="preserve">den geplanten, erwarteten oder referenzierten Werten gegenübergestellt und</w:t>
      </w:r>
      <w:r>
        <w:t xml:space="preserve"> </w:t>
      </w:r>
      <w:r>
        <w:t xml:space="preserve">miteinander verglichen. So können Abweichungen frühzeitig erkannt und die</w:t>
      </w:r>
      <w:r>
        <w:t xml:space="preserve"> </w:t>
      </w:r>
      <w:r>
        <w:t xml:space="preserve">energetische Performance des Gebäudes fundiert bewertet werden. Als Referenzwerte</w:t>
      </w:r>
      <w:r>
        <w:t xml:space="preserve"> </w:t>
      </w:r>
      <w:r>
        <w:t xml:space="preserve">dienen u. a. Energiebedarfs- oder Verbrauchsausweise oder Verbrauchsprognosen,</w:t>
      </w:r>
      <w:r>
        <w:t xml:space="preserve"> </w:t>
      </w:r>
      <w:r>
        <w:t xml:space="preserve">z. B. auf Basis des definierten Nutzungsregimes oder der vorgegebenen</w:t>
      </w:r>
      <w:r>
        <w:t xml:space="preserve"> </w:t>
      </w:r>
      <w:r>
        <w:t xml:space="preserve">Raumtemperatur. Zudem können erwartete Einsparungen aus Investitionsmaßnahmen wie</w:t>
      </w:r>
      <w:r>
        <w:t xml:space="preserve"> </w:t>
      </w:r>
      <w:r>
        <w:t xml:space="preserve">Umrüstungen auf LED oder KNX-basierte Gebäudeautomation überprüft werden. Dieser</w:t>
      </w:r>
      <w:r>
        <w:t xml:space="preserve"> </w:t>
      </w:r>
      <w:r>
        <w:t xml:space="preserve">Soll-Ist-Vergleich ermöglicht es, die Wirksamkeit technischer und</w:t>
      </w:r>
      <w:r>
        <w:t xml:space="preserve"> </w:t>
      </w:r>
      <w:r>
        <w:t xml:space="preserve">organisatorischer Maßnahmen nachvollziehbar zu überprüfen und den erzielten</w:t>
      </w:r>
      <w:r>
        <w:t xml:space="preserve"> </w:t>
      </w:r>
      <w:r>
        <w:t xml:space="preserve">Return on Investment zu belegen. Voraussetzung sind belastbare Soll-Verbrauchs-</w:t>
      </w:r>
      <w:r>
        <w:t xml:space="preserve"> </w:t>
      </w:r>
      <w:r>
        <w:t xml:space="preserve">und Betriebsdaten sowie die jeweiligen granularen Ist-Daten; ergänzend werden</w:t>
      </w:r>
      <w:r>
        <w:t xml:space="preserve"> </w:t>
      </w:r>
      <w:r>
        <w:t xml:space="preserve">Wetterdaten benötigt, um äußere Einflüsse zu berücksichtigen. Besonders relevant</w:t>
      </w:r>
      <w:r>
        <w:t xml:space="preserve"> </w:t>
      </w:r>
      <w:r>
        <w:t xml:space="preserve">für Nutzer, Gebäudetechnikausstatter, Investoren, Facility Manager und</w:t>
      </w:r>
      <w:r>
        <w:t xml:space="preserve"> </w:t>
      </w:r>
      <w:r>
        <w:t xml:space="preserve">Projektentwickler.</w:t>
      </w:r>
    </w:p>
    <w:p>
      <w:pPr>
        <w:pStyle w:val="BodyText"/>
      </w:pPr>
      <w:r>
        <w:t xml:space="preserve">Die Granergize-App unterstützt diesen Anwendungsfall direkt: Zu jedem Gebäude und Jahr</w:t>
      </w:r>
      <w:r>
        <w:t xml:space="preserve"> </w:t>
      </w:r>
      <w:r>
        <w:t xml:space="preserve">können neben den Ist-Werten auch geplante (Soll-)Werte erfasst und in der</w:t>
      </w:r>
      <w:r>
        <w:t xml:space="preserve"> </w:t>
      </w:r>
      <w:r>
        <w:t xml:space="preserve">Energieansicht nebeneinander dargestellt werden (siehe Abschnitt „Energiedaten</w:t>
      </w:r>
      <w:r>
        <w:t xml:space="preserve"> </w:t>
      </w:r>
      <w:r>
        <w:t xml:space="preserve">erfassen und aktualisieren”). Dafür genügt der eigene Pod – weitere Beteiligte</w:t>
      </w:r>
      <w:r>
        <w:t xml:space="preserve"> </w:t>
      </w:r>
      <w:r>
        <w:t xml:space="preserve">sind nicht erforderlich. Den durchgehenden Ablauf zeigt der Abschnitt</w:t>
      </w:r>
      <w:r>
        <w:t xml:space="preserve"> </w:t>
      </w:r>
      <w:r>
        <w:t xml:space="preserve">„Soll-Ist-Vergleich durchgespielt” im Kapitel „Die Anwendungsfälle</w:t>
      </w:r>
      <w:r>
        <w:t xml:space="preserve"> </w:t>
      </w:r>
      <w:r>
        <w:t xml:space="preserve">durchgespielt”.</w:t>
      </w:r>
    </w:p>
    <w:bookmarkEnd w:id="41"/>
    <w:bookmarkStart w:id="42" w:name="vertriebsunterstützung"/>
    <w:p>
      <w:pPr>
        <w:pStyle w:val="Heading3"/>
      </w:pPr>
      <w:r>
        <w:t xml:space="preserve">Vertriebsunterstützung</w:t>
      </w:r>
    </w:p>
    <w:p>
      <w:pPr>
        <w:pStyle w:val="FirstParagraph"/>
      </w:pPr>
      <w:r>
        <w:t xml:space="preserve">Ein weiterer relevanter Anwendungsfall ist die Unterstützung vertrieblicher</w:t>
      </w:r>
      <w:r>
        <w:t xml:space="preserve"> </w:t>
      </w:r>
      <w:r>
        <w:t xml:space="preserve">Prozesse auf Basis energiebezogener Gebäude- und Standortdaten. Die energetische</w:t>
      </w:r>
      <w:r>
        <w:t xml:space="preserve"> </w:t>
      </w:r>
      <w:r>
        <w:t xml:space="preserve">Qualität eines Objekts ist bei der Vermietung und beim Verkauf von Logistik- und</w:t>
      </w:r>
      <w:r>
        <w:t xml:space="preserve"> </w:t>
      </w:r>
      <w:r>
        <w:t xml:space="preserve">Gewerbeimmobilien zunehmend ein Argument – aber nur, wenn sie belegbar ist. Kern</w:t>
      </w:r>
      <w:r>
        <w:t xml:space="preserve"> </w:t>
      </w:r>
      <w:r>
        <w:t xml:space="preserve">des Anwendungsfalls ist daher, die Energieeffizienz einer Immobilie mit echten</w:t>
      </w:r>
      <w:r>
        <w:t xml:space="preserve"> </w:t>
      </w:r>
      <w:r>
        <w:t xml:space="preserve">statt geschätzten Zahlen darzustellen, sodass Makler, Berater und Investoren im</w:t>
      </w:r>
      <w:r>
        <w:t xml:space="preserve"> </w:t>
      </w:r>
      <w:r>
        <w:t xml:space="preserve">Vertrieb belastbar damit argumentieren können. Entscheidend ist dabei die</w:t>
      </w:r>
      <w:r>
        <w:t xml:space="preserve"> </w:t>
      </w:r>
      <w:r>
        <w:t xml:space="preserve">Datenhoheit: Der Eigentümer gibt seine Energiedaten gezielt für die vertrieblich</w:t>
      </w:r>
      <w:r>
        <w:t xml:space="preserve"> </w:t>
      </w:r>
      <w:r>
        <w:t xml:space="preserve">Beteiligten frei, ohne sie aus der Hand zu geben oder zentral zu hinterlegen.</w:t>
      </w:r>
      <w:r>
        <w:t xml:space="preserve"> </w:t>
      </w:r>
      <w:r>
        <w:t xml:space="preserve">Für diesen Anwendungsfall werden vor allem aggregierte Verbrauchsdaten sowie</w:t>
      </w:r>
      <w:r>
        <w:t xml:space="preserve"> </w:t>
      </w:r>
      <w:r>
        <w:t xml:space="preserve">allgemeine Objektdaten benötigt.</w:t>
      </w:r>
    </w:p>
    <w:p>
      <w:pPr>
        <w:pStyle w:val="BodyText"/>
      </w:pPr>
      <w:r>
        <w:t xml:space="preserve">Die Granergize-App löst das über zwei ineinandergreifende Wege ein. Erstens die</w:t>
      </w:r>
      <w:r>
        <w:t xml:space="preserve"> </w:t>
      </w:r>
      <w:r>
        <w:t xml:space="preserve">gezielte Freigabe: Ein Eigentümer teilt sein Gebäude einschließlich der</w:t>
      </w:r>
      <w:r>
        <w:t xml:space="preserve"> </w:t>
      </w:r>
      <w:r>
        <w:t xml:space="preserve">Energiedaten mit seinem Makler oder Berater – die Daten bleiben dabei auf dem</w:t>
      </w:r>
      <w:r>
        <w:t xml:space="preserve"> </w:t>
      </w:r>
      <w:r>
        <w:t xml:space="preserve">Pod des Eigentümers, werden nicht kopiert und können jederzeit wieder entzogen</w:t>
      </w:r>
      <w:r>
        <w:t xml:space="preserve"> </w:t>
      </w:r>
      <w:r>
        <w:t xml:space="preserve">werden (siehe Abschnitt „Vorgehensweise beim Datenteilen”). Zweitens die</w:t>
      </w:r>
      <w:r>
        <w:t xml:space="preserve"> </w:t>
      </w:r>
      <w:r>
        <w:t xml:space="preserve">Energie-Linse der Karte: Sie färbt die Gebäude-Marker nach Energieintensität ein</w:t>
      </w:r>
      <w:r>
        <w:t xml:space="preserve"> </w:t>
      </w:r>
      <w:r>
        <w:t xml:space="preserve">und ordnet ein Objekt – einschließlich der mit Ihnen geteilten Gebäude – auf</w:t>
      </w:r>
      <w:r>
        <w:t xml:space="preserve"> </w:t>
      </w:r>
      <w:r>
        <w:t xml:space="preserve">einen Blick in sein sichtbares Umfeld ein (siehe Abschnitt „Gebäude nach</w:t>
      </w:r>
      <w:r>
        <w:t xml:space="preserve"> </w:t>
      </w:r>
      <w:r>
        <w:t xml:space="preserve">Energieverbrauch einordnen”). So wird die belegte Effizienz einer Halle zum</w:t>
      </w:r>
      <w:r>
        <w:t xml:space="preserve"> </w:t>
      </w:r>
      <w:r>
        <w:t xml:space="preserve">sichtbaren Argument gegenüber ihren Nachbarn. Wie eine solche Freigabe abläuft</w:t>
      </w:r>
      <w:r>
        <w:t xml:space="preserve"> </w:t>
      </w:r>
      <w:r>
        <w:t xml:space="preserve">und beim Empfänger auf der Karte landet, führt der Abschnitt</w:t>
      </w:r>
      <w:r>
        <w:t xml:space="preserve"> </w:t>
      </w:r>
      <w:r>
        <w:t xml:space="preserve">„Vertriebsunterstützung durchgespielt” im Kapitel „Die Anwendungsfälle</w:t>
      </w:r>
      <w:r>
        <w:t xml:space="preserve"> </w:t>
      </w:r>
      <w:r>
        <w:t xml:space="preserve">durchgespielt” aus.</w:t>
      </w:r>
    </w:p>
    <w:bookmarkEnd w:id="42"/>
    <w:bookmarkStart w:id="43" w:name="energieverbrauchsbenchmark"/>
    <w:p>
      <w:pPr>
        <w:pStyle w:val="Heading3"/>
      </w:pPr>
      <w:r>
        <w:t xml:space="preserve">Energieverbrauchsbenchmark</w:t>
      </w:r>
    </w:p>
    <w:p>
      <w:pPr>
        <w:pStyle w:val="FirstParagraph"/>
      </w:pPr>
      <w:r>
        <w:t xml:space="preserve">Das systematische Benchmarking von Energieverbräuchen bildet den dritten</w:t>
      </w:r>
      <w:r>
        <w:t xml:space="preserve"> </w:t>
      </w:r>
      <w:r>
        <w:t xml:space="preserve">Anwendungsfall. Ziel ist es, Energieverbräuche auf Objektebene transparent und</w:t>
      </w:r>
      <w:r>
        <w:t xml:space="preserve"> </w:t>
      </w:r>
      <w:r>
        <w:t xml:space="preserve">vergleichbar zu machen, um einzelne Immobilien innerhalb eines geeigneten</w:t>
      </w:r>
      <w:r>
        <w:t xml:space="preserve"> </w:t>
      </w:r>
      <w:r>
        <w:t xml:space="preserve">Vergleichsfeldes (z. B. nach Nutzungsart, Größe oder Betriebsprofil) einordnen</w:t>
      </w:r>
      <w:r>
        <w:t xml:space="preserve"> </w:t>
      </w:r>
      <w:r>
        <w:t xml:space="preserve">zu können. Auf diese Weise können besonders effiziente oder ineffiziente Objekte</w:t>
      </w:r>
      <w:r>
        <w:t xml:space="preserve"> </w:t>
      </w:r>
      <w:r>
        <w:t xml:space="preserve">identifiziert und fundierte Bewertungen der energetischen Performance vorgenommen</w:t>
      </w:r>
      <w:r>
        <w:t xml:space="preserve"> </w:t>
      </w:r>
      <w:r>
        <w:t xml:space="preserve">werden. Liegen zusätzlich detaillierte Messdaten vor, können darüber hinaus</w:t>
      </w:r>
      <w:r>
        <w:t xml:space="preserve"> </w:t>
      </w:r>
      <w:r>
        <w:t xml:space="preserve">Optimierungspotenziale erkannt und konkrete Verbesserungsmaßnahmen abgeleitet</w:t>
      </w:r>
      <w:r>
        <w:t xml:space="preserve"> </w:t>
      </w:r>
      <w:r>
        <w:t xml:space="preserve">werden. Für die Umsetzung werden insbesondere Objekt-, Nutzungs- sowie</w:t>
      </w:r>
      <w:r>
        <w:t xml:space="preserve"> </w:t>
      </w:r>
      <w:r>
        <w:t xml:space="preserve">Verbrauchsdaten benötigt, sowohl in aggregierter als auch in detaillierter Form.</w:t>
      </w:r>
      <w:r>
        <w:t xml:space="preserve"> </w:t>
      </w:r>
      <w:r>
        <w:t xml:space="preserve">Besonders relevant ist dieser Use Case für Nutzer, Investoren bzw.</w:t>
      </w:r>
      <w:r>
        <w:t xml:space="preserve"> </w:t>
      </w:r>
      <w:r>
        <w:t xml:space="preserve">Bestandshalter, Facility Manager und spezialisierte Benchmarking-Anbieter.</w:t>
      </w:r>
    </w:p>
    <w:p>
      <w:pPr>
        <w:pStyle w:val="BodyText"/>
      </w:pPr>
      <w:r>
        <w:t xml:space="preserve">Die Granergize-App löst diesen Anwendungsfall auf zwei Ebenen ein: Innerhalb</w:t>
      </w:r>
      <w:r>
        <w:t xml:space="preserve"> </w:t>
      </w:r>
      <w:r>
        <w:t xml:space="preserve">des eigenen Bestands stellt die Energie-Detailseite jeden Verbrauchswert dem</w:t>
      </w:r>
      <w:r>
        <w:t xml:space="preserve"> </w:t>
      </w:r>
      <w:r>
        <w:t xml:space="preserve">Portfolio- und dem Betreiber-Durchschnitt gegenüber (siehe Abschnitt</w:t>
      </w:r>
      <w:r>
        <w:t xml:space="preserve"> </w:t>
      </w:r>
      <w:r>
        <w:t xml:space="preserve">„Energie-Detailseite eines Gebäudes”). Über den eigenen Bestand hinaus kommt</w:t>
      </w:r>
      <w:r>
        <w:t xml:space="preserve"> </w:t>
      </w:r>
      <w:r>
        <w:t xml:space="preserve">der Vergleichswert von einem Benchmark-Dienstleister – in der App die Rolle</w:t>
      </w:r>
      <w:r>
        <w:t xml:space="preserve"> </w:t>
      </w:r>
      <w:r>
        <w:t xml:space="preserve">„Benchmark Service Provider” –, der über die Gebäude mehrerer Eigentümer</w:t>
      </w:r>
      <w:r>
        <w:t xml:space="preserve"> </w:t>
      </w:r>
      <w:r>
        <w:t xml:space="preserve">aggregiert; das vollständige Zusammenspiel führt der Abschnitt</w:t>
      </w:r>
      <w:r>
        <w:t xml:space="preserve"> </w:t>
      </w:r>
      <w:r>
        <w:t xml:space="preserve">„Energieverbrauchsbenchmark durchgespielt” im Kapitel „Die Anwendungsfälle</w:t>
      </w:r>
      <w:r>
        <w:t xml:space="preserve"> </w:t>
      </w:r>
      <w:r>
        <w:t xml:space="preserve">durchgespielt” aus.</w:t>
      </w:r>
    </w:p>
    <w:bookmarkEnd w:id="43"/>
    <w:bookmarkEnd w:id="44"/>
    <w:bookmarkEnd w:id="45"/>
    <w:bookmarkStart w:id="52" w:name="Xa356158e068e147ad70471d50e130f90ea31ccd"/>
    <w:p>
      <w:pPr>
        <w:pStyle w:val="Heading1"/>
      </w:pPr>
      <w:r>
        <w:t xml:space="preserve">Sicherer Umgang mit Energieverbrauchsdaten im Immobilienökosystem</w:t>
      </w:r>
    </w:p>
    <w:bookmarkStart w:id="50" w:name="daten-sicher-steuern-und-teilen"/>
    <w:p>
      <w:pPr>
        <w:pStyle w:val="Heading2"/>
      </w:pPr>
      <w:r>
        <w:t xml:space="preserve">Daten sicher steuern und teilen</w:t>
      </w:r>
    </w:p>
    <w:p>
      <w:pPr>
        <w:pStyle w:val="FirstParagraph"/>
      </w:pPr>
      <w:r>
        <w:t xml:space="preserve">Die Granergize-App ist eine moderne Webanwendung, die Ihnen hilft,</w:t>
      </w:r>
      <w:r>
        <w:t xml:space="preserve"> </w:t>
      </w:r>
      <w:r>
        <w:t xml:space="preserve">Energieverbrauchsdaten Ihrer Logistikimmobilien zu verwalten und mit anderen</w:t>
      </w:r>
      <w:r>
        <w:t xml:space="preserve"> </w:t>
      </w:r>
      <w:r>
        <w:t xml:space="preserve">Akteuren zu teilen. Was die App besonders macht: Sie behalten die volle</w:t>
      </w:r>
      <w:r>
        <w:t xml:space="preserve"> </w:t>
      </w:r>
      <w:r>
        <w:t xml:space="preserve">Kontrolle über Ihre Daten. Im Gegensatz zu herkömmlichen Cloud-Plattformen, bei</w:t>
      </w:r>
      <w:r>
        <w:t xml:space="preserve"> </w:t>
      </w:r>
      <w:r>
        <w:t xml:space="preserve">denen Ihre Daten auf fremden Servern liegen, speichert die Granergize-App</w:t>
      </w:r>
      <w:r>
        <w:t xml:space="preserve"> </w:t>
      </w:r>
      <w:r>
        <w:rPr>
          <w:b/>
          <w:bCs/>
        </w:rPr>
        <w:t xml:space="preserve">nichts</w:t>
      </w:r>
      <w:r>
        <w:rPr>
          <w:b/>
          <w:bCs/>
        </w:rPr>
        <w:t xml:space="preserve"> </w:t>
      </w:r>
      <w:r>
        <w:rPr>
          <w:b/>
          <w:bCs/>
        </w:rPr>
        <w:t xml:space="preserve">zentral</w:t>
      </w:r>
      <w:r>
        <w:t xml:space="preserve">.</w:t>
      </w:r>
    </w:p>
    <w:p>
      <w:pPr>
        <w:pStyle w:val="BodyText"/>
      </w:pPr>
      <w:r>
        <w:t xml:space="preserve">Die Anwendung läuft komplett in Ihrem Webbrowser – Sie benötigen keine</w:t>
      </w:r>
      <w:r>
        <w:t xml:space="preserve"> </w:t>
      </w:r>
      <w:r>
        <w:t xml:space="preserve">Installation und keine lokale Software. Ihre Daten liegen sicher auf Ihrem</w:t>
      </w:r>
      <w:r>
        <w:t xml:space="preserve"> </w:t>
      </w:r>
      <w:r>
        <w:t xml:space="preserve">eigenen</w:t>
      </w:r>
      <w:r>
        <w:t xml:space="preserve"> </w:t>
      </w:r>
      <w:r>
        <w:rPr>
          <w:b/>
          <w:bCs/>
        </w:rPr>
        <w:t xml:space="preserve">Solid Pod</w:t>
      </w:r>
      <w:r>
        <w:t xml:space="preserve">, einem persönlichen Datenspeicher im Internet, den nur Sie</w:t>
      </w:r>
      <w:r>
        <w:t xml:space="preserve"> </w:t>
      </w:r>
      <w:r>
        <w:t xml:space="preserve">kontrollieren. Die Anwendung greift nur mit Ihrer ausdrücklichen Erlaubnis auf</w:t>
      </w:r>
      <w:r>
        <w:t xml:space="preserve"> </w:t>
      </w:r>
      <w:r>
        <w:t xml:space="preserve">diese Daten zu, und Sie entscheiden jederzeit, welche Informationen Sie mit</w:t>
      </w:r>
      <w:r>
        <w:t xml:space="preserve"> </w:t>
      </w:r>
      <w:r>
        <w:t xml:space="preserve">Kollegen, Mietern oder Geschäftspartnern teilen möchten.</w:t>
      </w:r>
    </w:p>
    <w:p>
      <w:pPr>
        <w:pStyle w:val="BodyText"/>
      </w:pPr>
      <w:r>
        <w:rPr>
          <w:b/>
          <w:bCs/>
        </w:rPr>
        <w:t xml:space="preserve">Das Kernprinzip:</w:t>
      </w:r>
      <w:r>
        <w:t xml:space="preserve"> </w:t>
      </w:r>
      <w:r>
        <w:t xml:space="preserve">Ihre Daten gehören Ihnen, liegen auf Ihrem Solid Pod, und</w:t>
      </w:r>
      <w:r>
        <w:t xml:space="preserve"> </w:t>
      </w:r>
      <w:r>
        <w:t xml:space="preserve">die Anwendung holt sie nur bei Bedarf ab – vollständige Datensouveränität ohne</w:t>
      </w:r>
      <w:r>
        <w:t xml:space="preserve"> </w:t>
      </w:r>
      <w:r>
        <w:t xml:space="preserve">zentrale Datenbank oder Backend-Server, die gehackt werden könnten oder denen Sie</w:t>
      </w:r>
      <w:r>
        <w:t xml:space="preserve"> </w:t>
      </w:r>
      <w:r>
        <w:t xml:space="preserve">vertrauen müssten.</w:t>
      </w:r>
    </w:p>
    <w:bookmarkStart w:id="49" w:name="architektur-im-überblick"/>
    <w:p>
      <w:pPr>
        <w:pStyle w:val="Heading3"/>
      </w:pPr>
      <w:r>
        <w:t xml:space="preserve">Architektur im Überblick</w:t>
      </w:r>
    </w:p>
    <w:p>
      <w:pPr>
        <w:pStyle w:val="FirstParagraph"/>
      </w:pPr>
      <w:r>
        <w:t xml:space="preserve">Die Granergize-App läuft in Ihrem Browser und ruft Ihre Daten aus Ihrem persönlichen</w:t>
      </w:r>
      <w:r>
        <w:t xml:space="preserve"> </w:t>
      </w:r>
      <w:r>
        <w:t xml:space="preserve">Solid Pod ab. Möchten Sie mit Kollegen zusammenarbeiten, geben Sie diesen gezielt</w:t>
      </w:r>
      <w:r>
        <w:t xml:space="preserve"> </w:t>
      </w:r>
      <w:r>
        <w:t xml:space="preserve">Zugriff auf bestimmte Teile Ihres Pods – die Daten bleiben aber immer in Ihrem</w:t>
      </w:r>
      <w:r>
        <w:t xml:space="preserve"> </w:t>
      </w:r>
      <w:r>
        <w:t xml:space="preserve">Besitz. Wenn Sie sich anmelden, verbindet sich die Anwendung über eine sichere</w:t>
      </w:r>
      <w:r>
        <w:t xml:space="preserve"> </w:t>
      </w:r>
      <w:r>
        <w:t xml:space="preserve">Verbindung (HTTPS) mit Ihrem Solid Pod und zeigt Ihre Gebäude- und Energiedaten</w:t>
      </w:r>
      <w:r>
        <w:t xml:space="preserve"> </w:t>
      </w:r>
      <w:r>
        <w:t xml:space="preserve">an. Teilen Sie Daten mit einem Geschäftspartner, erteilen Sie diesem eine</w:t>
      </w:r>
      <w:r>
        <w:t xml:space="preserve"> </w:t>
      </w:r>
      <w:r>
        <w:t xml:space="preserve">Leseberechtigung für bestimmte Dateien auf Ihrem Pod. Der Partner ruft die Daten</w:t>
      </w:r>
      <w:r>
        <w:t xml:space="preserve"> </w:t>
      </w:r>
      <w:r>
        <w:t xml:space="preserve">dann direkt von Ihrem Pod ab – sie fließen niemals über einen zentralen Server,</w:t>
      </w:r>
      <w:r>
        <w:t xml:space="preserve"> </w:t>
      </w:r>
      <w:r>
        <w:t xml:space="preserve">den jemand anderes kontrolliert.</w:t>
      </w:r>
    </w:p>
    <w:p>
      <w:pPr>
        <w:pStyle w:val="CaptionedFigure"/>
      </w:pPr>
      <w:r>
        <w:drawing>
          <wp:inline>
            <wp:extent cx="4533900" cy="4411362"/>
            <wp:effectExtent b="0" l="0" r="0" t="0"/>
            <wp:docPr descr="Dezentrale Architektur: Die browserbasierte Anwendung kommuniziert direkt mit den dezentralen Solid Pods." title="" id="47" name="Picture"/>
            <a:graphic>
              <a:graphicData uri="http://schemas.openxmlformats.org/drawingml/2006/picture">
                <pic:pic>
                  <pic:nvPicPr>
                    <pic:cNvPr descr="figures/architektur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44113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Dezentrale Architektur: Die browserbasierte Anwendung kommuniziert direkt mit den dezentralen Solid Pods.</w:t>
      </w:r>
    </w:p>
    <w:bookmarkEnd w:id="49"/>
    <w:bookmarkEnd w:id="50"/>
    <w:bookmarkStart w:id="51" w:name="X75843d6a19bc85ab246dd3326690a501cb66331"/>
    <w:p>
      <w:pPr>
        <w:pStyle w:val="Heading2"/>
      </w:pPr>
      <w:r>
        <w:t xml:space="preserve">Datenschutz und sicherer Umgang mit sensiblen Daten</w:t>
      </w:r>
    </w:p>
    <w:p>
      <w:pPr>
        <w:pStyle w:val="FirstParagraph"/>
      </w:pPr>
      <w:r>
        <w:t xml:space="preserve">Energieverbrauchsdaten von Logistikimmobilien sind sensible Geschäftsdaten.</w:t>
      </w:r>
      <w:r>
        <w:t xml:space="preserve"> </w:t>
      </w:r>
      <w:r>
        <w:t xml:space="preserve">Die Granergize-App setzt deshalb auf Datensouveränität: Über Solid verbleiben die Daten</w:t>
      </w:r>
      <w:r>
        <w:t xml:space="preserve"> </w:t>
      </w:r>
      <w:r>
        <w:t xml:space="preserve">im persönlichen Datenspeicher (Solid Pod) des jeweiligen Akteurs. Die Anwendung</w:t>
      </w:r>
      <w:r>
        <w:t xml:space="preserve"> </w:t>
      </w:r>
      <w:r>
        <w:t xml:space="preserve">hält selbst keine Daten vor, sondern greift erst nach Anmeldung und</w:t>
      </w:r>
      <w:r>
        <w:t xml:space="preserve"> </w:t>
      </w:r>
      <w:r>
        <w:t xml:space="preserve">ausdrücklicher Einwilligung zu. Wer welche Daten sehen darf, regelt der</w:t>
      </w:r>
      <w:r>
        <w:t xml:space="preserve"> </w:t>
      </w:r>
      <w:r>
        <w:t xml:space="preserve">Eigentümer über die Zugriffskontrolle des Pods. Freigaben sind gezielt und</w:t>
      </w:r>
      <w:r>
        <w:t xml:space="preserve"> </w:t>
      </w:r>
      <w:r>
        <w:t xml:space="preserve">jederzeit widerrufbar.</w:t>
      </w:r>
    </w:p>
    <w:p>
      <w:pPr>
        <w:pStyle w:val="BodyText"/>
      </w:pPr>
      <w:r>
        <w:t xml:space="preserve">Der aktuelle Demonstrator bietet diese Garantien noch nicht vollständig, da die</w:t>
      </w:r>
      <w:r>
        <w:t xml:space="preserve"> </w:t>
      </w:r>
      <w:r>
        <w:t xml:space="preserve">Daten auf externen, öffentlich betriebenen Solid-Datenspeichern (z. B.</w:t>
      </w:r>
      <w:r>
        <w:t xml:space="preserve"> </w:t>
      </w:r>
      <w:r>
        <w:t xml:space="preserve">solidcommunity.net) liegen. Diese stehen nicht unter Kontrolle des Projekts. Für</w:t>
      </w:r>
      <w:r>
        <w:t xml:space="preserve"> </w:t>
      </w:r>
      <w:r>
        <w:t xml:space="preserve">die Funktionserprobung genügt das, für reale sensible Daten ist es nicht</w:t>
      </w:r>
      <w:r>
        <w:t xml:space="preserve"> </w:t>
      </w:r>
      <w:r>
        <w:t xml:space="preserve">geeignet.</w:t>
      </w:r>
    </w:p>
    <w:p>
      <w:pPr>
        <w:pStyle w:val="BodyText"/>
      </w:pPr>
      <w:r>
        <w:t xml:space="preserve">Für den produktiven Einsatz ist vorgesehen, die Pods auf kontrollierter</w:t>
      </w:r>
      <w:r>
        <w:t xml:space="preserve"> </w:t>
      </w:r>
      <w:r>
        <w:t xml:space="preserve">Infrastruktur zu betreiben, etwa bei einem Hoster mit Standort in Deutschland</w:t>
      </w:r>
      <w:r>
        <w:t xml:space="preserve"> </w:t>
      </w:r>
      <w:r>
        <w:t xml:space="preserve">bzw. der EU (z. B. Hetzner) oder auf eigener Infrastruktur, um Datenschutz und</w:t>
      </w:r>
      <w:r>
        <w:t xml:space="preserve"> </w:t>
      </w:r>
      <w:r>
        <w:t xml:space="preserve">DSGVO-Konformität sicherzustellen. Das Souveränitäts- und Zugriffsmodell bleibt</w:t>
      </w:r>
      <w:r>
        <w:t xml:space="preserve"> </w:t>
      </w:r>
      <w:r>
        <w:t xml:space="preserve">dabei unverändert, und die Anwendung muss dafür nicht angepasst werden, da sie</w:t>
      </w:r>
      <w:r>
        <w:t xml:space="preserve"> </w:t>
      </w:r>
      <w:r>
        <w:t xml:space="preserve">unabhängig vom Pod-Anbieter arbeitet. Wie Sie einen solchen Server selbst</w:t>
      </w:r>
      <w:r>
        <w:t xml:space="preserve"> </w:t>
      </w:r>
      <w:r>
        <w:t xml:space="preserve">aufsetzen, beschreibt der Abschnitt „Einen eigenen Solid-Server betreiben”.</w:t>
      </w:r>
    </w:p>
    <w:bookmarkEnd w:id="51"/>
    <w:bookmarkEnd w:id="52"/>
    <w:bookmarkStart w:id="105" w:name="die-granergize-app-in-der-praxis-nutzen"/>
    <w:p>
      <w:pPr>
        <w:pStyle w:val="Heading1"/>
      </w:pPr>
      <w:r>
        <w:t xml:space="preserve">Die Granergize-App in der Praxis nutzen</w:t>
      </w:r>
    </w:p>
    <w:bookmarkStart w:id="53" w:name="voraussetzungen"/>
    <w:p>
      <w:pPr>
        <w:pStyle w:val="Heading2"/>
      </w:pPr>
      <w:r>
        <w:t xml:space="preserve">Voraussetzungen</w:t>
      </w:r>
    </w:p>
    <w:p>
      <w:pPr>
        <w:pStyle w:val="FirstParagraph"/>
      </w:pPr>
      <w:r>
        <w:t xml:space="preserve">Um die Granergize-App zu nutzen, benötigen Sie lediglich einen aktuellen Webbrowser und</w:t>
      </w:r>
      <w:r>
        <w:t xml:space="preserve"> </w:t>
      </w:r>
      <w:r>
        <w:t xml:space="preserve">eine Internetverbindung. Die meisten modernen Browser, die sich automatisch</w:t>
      </w:r>
      <w:r>
        <w:t xml:space="preserve"> </w:t>
      </w:r>
      <w:r>
        <w:t xml:space="preserve">aktualisieren, erfüllen alle technischen Voraussetzungen. Dazu gehören Google</w:t>
      </w:r>
      <w:r>
        <w:t xml:space="preserve"> </w:t>
      </w:r>
      <w:r>
        <w:t xml:space="preserve">Chrome, Microsoft Edge, Mozilla Firefox und Safari.</w:t>
      </w:r>
    </w:p>
    <w:p>
      <w:pPr>
        <w:pStyle w:val="BodyText"/>
      </w:pPr>
      <w:r>
        <w:t xml:space="preserve">Für die Datenspeicherung benötigen Sie einen</w:t>
      </w:r>
      <w:r>
        <w:t xml:space="preserve"> </w:t>
      </w:r>
      <w:r>
        <w:rPr>
          <w:b/>
          <w:bCs/>
        </w:rPr>
        <w:t xml:space="preserve">Solid Pod</w:t>
      </w:r>
      <w:r>
        <w:t xml:space="preserve">. Das ist Ihr</w:t>
      </w:r>
      <w:r>
        <w:t xml:space="preserve"> </w:t>
      </w:r>
      <w:r>
        <w:t xml:space="preserve">persönlicher Datenspeicher im Internet – vergleichbar mit einem privaten</w:t>
      </w:r>
      <w:r>
        <w:t xml:space="preserve"> </w:t>
      </w:r>
      <w:r>
        <w:t xml:space="preserve">Cloud-Speicher, nur dass Sie die vollständige Kontrolle behalten. Im nächsten</w:t>
      </w:r>
      <w:r>
        <w:t xml:space="preserve"> </w:t>
      </w:r>
      <w:r>
        <w:t xml:space="preserve">Abschnitt erklären wir, wie Sie einen solchen Pod einrichten. Der benötigte</w:t>
      </w:r>
      <w:r>
        <w:t xml:space="preserve"> </w:t>
      </w:r>
      <w:r>
        <w:t xml:space="preserve">Speicherplatz ist überschaubar: Für ein typisches Logistikgebäude mit</w:t>
      </w:r>
      <w:r>
        <w:t xml:space="preserve"> </w:t>
      </w:r>
      <w:r>
        <w:t xml:space="preserve">Jahresverbrauchsdaten genügen wenige Kilobyte.</w:t>
      </w:r>
    </w:p>
    <w:p>
      <w:pPr>
        <w:pStyle w:val="BlockText"/>
      </w:pPr>
      <w:r>
        <w:rPr>
          <w:b/>
          <w:bCs/>
        </w:rPr>
        <w:t xml:space="preserve">Technische Details (für Administratoren)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Browser:</w:t>
      </w:r>
      <w:r>
        <w:t xml:space="preserve"> </w:t>
      </w:r>
      <w:r>
        <w:t xml:space="preserve">moderne Browser mit ES2020-Unterstützung und Web Crypto API</w:t>
      </w:r>
      <w:r>
        <w:t xml:space="preserve"> </w:t>
      </w:r>
      <w:r>
        <w:t xml:space="preserve">(Chrome/Edge 80+, Firefox 74+, Safari 13.1+); aktiviertes JavaScript; aktive</w:t>
      </w:r>
      <w:r>
        <w:t xml:space="preserve"> </w:t>
      </w:r>
      <w:r>
        <w:t xml:space="preserve">Internetverbindung.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Datenspeicherung:</w:t>
      </w:r>
      <w:r>
        <w:t xml:space="preserve"> </w:t>
      </w:r>
      <w:r>
        <w:t xml:space="preserve">ein eigener Solid Pod je Nutzer; Speicherbedarf</w:t>
      </w:r>
      <w:r>
        <w:t xml:space="preserve"> </w:t>
      </w:r>
      <w:r>
        <w:t xml:space="preserve">abhängig von der Anzahl der verwalteten Gebäude (Größenordnung einige zehn</w:t>
      </w:r>
      <w:r>
        <w:t xml:space="preserve"> </w:t>
      </w:r>
      <w:r>
        <w:t xml:space="preserve">bis wenige hundert Kilobyte je Gebäude und Jahr).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Lokale Entwicklung/Tests (optional):</w:t>
      </w:r>
      <w:r>
        <w:t xml:space="preserve"> </w:t>
      </w:r>
      <w:r>
        <w:t xml:space="preserve">Deno 2.x; für</w:t>
      </w:r>
      <w:r>
        <w:t xml:space="preserve"> </w:t>
      </w:r>
      <w:r>
        <w:t xml:space="preserve">Datentransformations-Pipelines Python mit YARRRML/RML.</w:t>
      </w:r>
    </w:p>
    <w:bookmarkEnd w:id="53"/>
    <w:bookmarkStart w:id="55" w:name="solid-pod-einrichten"/>
    <w:p>
      <w:pPr>
        <w:pStyle w:val="Heading2"/>
      </w:pPr>
      <w:r>
        <w:t xml:space="preserve">Solid Pod einrichten</w:t>
      </w:r>
    </w:p>
    <w:p>
      <w:pPr>
        <w:pStyle w:val="FirstParagraph"/>
      </w:pPr>
      <w:r>
        <w:t xml:space="preserve">Bevor Sie die Granergize-App nutzen können, benötigen Sie einen Solid Pod. Einen Pod</w:t>
      </w:r>
      <w:r>
        <w:t xml:space="preserve"> </w:t>
      </w:r>
      <w:r>
        <w:t xml:space="preserve">einzurichten ist einfach und kostenlos. Für den Einstieg empfehlen wir</w:t>
      </w:r>
      <w:r>
        <w:t xml:space="preserve"> </w:t>
      </w:r>
      <w:hyperlink r:id="rId54">
        <w:r>
          <w:rPr>
            <w:rStyle w:val="Hyperlink"/>
          </w:rPr>
          <w:t xml:space="preserve">solidcommunity.net</w:t>
        </w:r>
      </w:hyperlink>
      <w:r>
        <w:t xml:space="preserve"> </w:t>
      </w:r>
      <w:r>
        <w:t xml:space="preserve">– einen öffentlich</w:t>
      </w:r>
      <w:r>
        <w:t xml:space="preserve"> </w:t>
      </w:r>
      <w:r>
        <w:t xml:space="preserve">zugänglichen, kostenlosen Service. Später können Sie bei Bedarf einen eigenen</w:t>
      </w:r>
      <w:r>
        <w:t xml:space="preserve"> </w:t>
      </w:r>
      <w:r>
        <w:t xml:space="preserve">Solid-Server betreiben (siehe Abschnitt „Einen eigenen Solid-Server betreiben”)</w:t>
      </w:r>
      <w:r>
        <w:t xml:space="preserve"> </w:t>
      </w:r>
      <w:r>
        <w:t xml:space="preserve">oder auf einen kommerziellen Anbieter umsteigen; die Hintergründe erläutert der</w:t>
      </w:r>
      <w:r>
        <w:t xml:space="preserve"> </w:t>
      </w:r>
      <w:r>
        <w:t xml:space="preserve">Abschnitt „Datenschutz”.</w:t>
      </w:r>
    </w:p>
    <w:p>
      <w:pPr>
        <w:pStyle w:val="BodyText"/>
      </w:pPr>
      <w:r>
        <w:t xml:space="preserve">So erstellen Sie Ihren Solid Pod bei solidcommunity.net:</w:t>
      </w:r>
    </w:p>
    <w:p>
      <w:pPr>
        <w:pStyle w:val="Compact"/>
        <w:numPr>
          <w:ilvl w:val="0"/>
          <w:numId w:val="1003"/>
        </w:numPr>
      </w:pPr>
      <w:r>
        <w:t xml:space="preserve">Öffnen Sie</w:t>
      </w:r>
      <w:r>
        <w:t xml:space="preserve"> </w:t>
      </w:r>
      <w:hyperlink r:id="rId54">
        <w:r>
          <w:rPr>
            <w:rStyle w:val="Hyperlink"/>
          </w:rPr>
          <w:t xml:space="preserve">https://solidcommunity.net/</w:t>
        </w:r>
      </w:hyperlink>
      <w:r>
        <w:t xml:space="preserve"> </w:t>
      </w:r>
      <w:r>
        <w:t xml:space="preserve">und</w:t>
      </w:r>
      <w:r>
        <w:t xml:space="preserve"> </w:t>
      </w:r>
      <w:r>
        <w:t xml:space="preserve">registrieren Sie sich bzw. melden Sie sich an.</w:t>
      </w:r>
    </w:p>
    <w:p>
      <w:pPr>
        <w:pStyle w:val="Compact"/>
        <w:numPr>
          <w:ilvl w:val="0"/>
          <w:numId w:val="1003"/>
        </w:numPr>
      </w:pPr>
      <w:r>
        <w:t xml:space="preserve">Wählen Sie</w:t>
      </w:r>
      <w:r>
        <w:t xml:space="preserve"> </w:t>
      </w:r>
      <w:r>
        <w:rPr>
          <w:b/>
          <w:bCs/>
        </w:rPr>
        <w:t xml:space="preserve">Pod → Create Pod</w:t>
      </w:r>
      <w:r>
        <w:t xml:space="preserve"> </w:t>
      </w:r>
      <w:r>
        <w:t xml:space="preserve">und vergeben Sie einen Pod-Namen</w:t>
      </w:r>
      <w:r>
        <w:t xml:space="preserve"> </w:t>
      </w:r>
      <w:r>
        <w:t xml:space="preserve">(Benutzernamen). Wählen Sie den Namen mit Bedacht, denn er erscheint in der</w:t>
      </w:r>
      <w:r>
        <w:t xml:space="preserve"> </w:t>
      </w:r>
      <w:r>
        <w:t xml:space="preserve">Adresse und ist später nur schwer zu ändern.</w:t>
      </w:r>
    </w:p>
    <w:p>
      <w:pPr>
        <w:pStyle w:val="Compact"/>
        <w:numPr>
          <w:ilvl w:val="0"/>
          <w:numId w:val="1003"/>
        </w:numPr>
      </w:pPr>
      <w:r>
        <w:t xml:space="preserve">Aus dem Pod-Namen ergibt sich Ihre</w:t>
      </w:r>
      <w:r>
        <w:t xml:space="preserve"> </w:t>
      </w:r>
      <w:r>
        <w:rPr>
          <w:b/>
          <w:bCs/>
        </w:rPr>
        <w:t xml:space="preserve">WebID</w:t>
      </w:r>
      <w:r>
        <w:t xml:space="preserve"> </w:t>
      </w:r>
      <w:r>
        <w:t xml:space="preserve">– Ihre digitale Kennung im</w:t>
      </w:r>
      <w:r>
        <w:t xml:space="preserve"> </w:t>
      </w:r>
      <w:r>
        <w:t xml:space="preserve">Solid-Ökosystem, z. B.</w:t>
      </w:r>
      <w:r>
        <w:t xml:space="preserve"> </w:t>
      </w:r>
      <w:r>
        <w:rPr>
          <w:rStyle w:val="VerbatimChar"/>
        </w:rPr>
        <w:t xml:space="preserve">https://maxmustermann.solidcommunity.net/profile/card#me</w:t>
      </w:r>
      <w:r>
        <w:t xml:space="preserve">. Diese WebID ist</w:t>
      </w:r>
      <w:r>
        <w:t xml:space="preserve"> </w:t>
      </w:r>
      <w:r>
        <w:t xml:space="preserve">wie eine digitale Ausweisnummer.</w:t>
      </w:r>
    </w:p>
    <w:p>
      <w:pPr>
        <w:pStyle w:val="FirstParagraph"/>
      </w:pPr>
      <w:r>
        <w:t xml:space="preserve">Ein Dienst wie solidcommunity.net übernimmt dabei zwei getrennte Rollen: Er ist</w:t>
      </w:r>
      <w:r>
        <w:t xml:space="preserve"> </w:t>
      </w:r>
      <w:r>
        <w:t xml:space="preserve">Ihr</w:t>
      </w:r>
      <w:r>
        <w:t xml:space="preserve"> </w:t>
      </w:r>
      <w:r>
        <w:rPr>
          <w:b/>
          <w:bCs/>
        </w:rPr>
        <w:t xml:space="preserve">Identity Provider</w:t>
      </w:r>
      <w:r>
        <w:t xml:space="preserve"> </w:t>
      </w:r>
      <w:r>
        <w:t xml:space="preserve">– er verwaltet Ihre WebID und bestätigt beim Anmelden,</w:t>
      </w:r>
      <w:r>
        <w:t xml:space="preserve"> </w:t>
      </w:r>
      <w:r>
        <w:t xml:space="preserve">dass Sie deren Inhaber sind – und zugleich Ihr</w:t>
      </w:r>
      <w:r>
        <w:t xml:space="preserve"> </w:t>
      </w:r>
      <w:r>
        <w:rPr>
          <w:b/>
          <w:bCs/>
        </w:rPr>
        <w:t xml:space="preserve">Speicheranbieter</w:t>
      </w:r>
      <w:r>
        <w:t xml:space="preserve">, der Ihren</w:t>
      </w:r>
      <w:r>
        <w:t xml:space="preserve"> </w:t>
      </w:r>
      <w:r>
        <w:t xml:space="preserve">Pod beherbergt. Diese Rollen müssen nicht beim selben Anbieter liegen: Ihr</w:t>
      </w:r>
      <w:r>
        <w:t xml:space="preserve"> </w:t>
      </w:r>
      <w:r>
        <w:t xml:space="preserve">WebID-Profil verweist auf Ihren Speicherort, sodass Ihre Identität nicht an</w:t>
      </w:r>
      <w:r>
        <w:t xml:space="preserve"> </w:t>
      </w:r>
      <w:r>
        <w:t xml:space="preserve">einen bestimmten Datenspeicher gebunden ist. In diesem Handbuch gehen wir vom</w:t>
      </w:r>
      <w:r>
        <w:t xml:space="preserve"> </w:t>
      </w:r>
      <w:r>
        <w:t xml:space="preserve">üblichen Fall aus, dass beides aus einer Hand kommt.</w:t>
      </w:r>
    </w:p>
    <w:p>
      <w:pPr>
        <w:pStyle w:val="BodyText"/>
      </w:pPr>
      <w:r>
        <w:rPr>
          <w:b/>
          <w:bCs/>
        </w:rPr>
        <w:t xml:space="preserve">Wichtig:</w:t>
      </w:r>
      <w:r>
        <w:t xml:space="preserve"> </w:t>
      </w:r>
      <w:r>
        <w:t xml:space="preserve">Notieren Sie sich Ihre WebID. Sie benötigen sie jedes Mal, wenn Sie</w:t>
      </w:r>
      <w:r>
        <w:t xml:space="preserve"> </w:t>
      </w:r>
      <w:r>
        <w:t xml:space="preserve">sich anmelden, und Sie geben sie an Geschäftspartner weiter, wenn diese Daten mit</w:t>
      </w:r>
      <w:r>
        <w:t xml:space="preserve"> </w:t>
      </w:r>
      <w:r>
        <w:t xml:space="preserve">Ihnen teilen möchten.</w:t>
      </w:r>
    </w:p>
    <w:p>
      <w:pPr>
        <w:pStyle w:val="BodyText"/>
      </w:pPr>
      <w:r>
        <w:rPr>
          <w:b/>
          <w:bCs/>
        </w:rPr>
        <w:t xml:space="preserve">Die Struktur Ihres Pods:</w:t>
      </w:r>
      <w:r>
        <w:t xml:space="preserve"> </w:t>
      </w:r>
      <w:r>
        <w:t xml:space="preserve">Ihr Pod enthält u. a. einen Ordner</w:t>
      </w:r>
      <w:r>
        <w:t xml:space="preserve"> </w:t>
      </w:r>
      <w:r>
        <w:rPr>
          <w:rStyle w:val="VerbatimChar"/>
        </w:rPr>
        <w:t xml:space="preserve">profile/</w:t>
      </w:r>
      <w:r>
        <w:t xml:space="preserve"> </w:t>
      </w:r>
      <w:r>
        <w:t xml:space="preserve">mit</w:t>
      </w:r>
      <w:r>
        <w:t xml:space="preserve"> </w:t>
      </w:r>
      <w:r>
        <w:t xml:space="preserve">Ihrem öffentlichen Profil sowie einen Posteingang (</w:t>
      </w:r>
      <w:r>
        <w:rPr>
          <w:rStyle w:val="VerbatimChar"/>
        </w:rPr>
        <w:t xml:space="preserve">inbox/</w:t>
      </w:r>
      <w:r>
        <w:t xml:space="preserve">) für</w:t>
      </w:r>
      <w:r>
        <w:t xml:space="preserve"> </w:t>
      </w:r>
      <w:r>
        <w:t xml:space="preserve">Benachrichtigungen, wenn andere Daten mit Ihnen teilen möchten. Die Granergize-App legt</w:t>
      </w:r>
      <w:r>
        <w:t xml:space="preserve"> </w:t>
      </w:r>
      <w:r>
        <w:t xml:space="preserve">seine eigene Unterstruktur (</w:t>
      </w:r>
      <w:r>
        <w:rPr>
          <w:rStyle w:val="VerbatimChar"/>
        </w:rPr>
        <w:t xml:space="preserve">granergize/</w:t>
      </w:r>
      <w:r>
        <w:t xml:space="preserve">), in der alle Gebäude-, Energie- und</w:t>
      </w:r>
      <w:r>
        <w:t xml:space="preserve"> </w:t>
      </w:r>
      <w:r>
        <w:t xml:space="preserve">Freigabedaten organisiert abgelegt werden, automatisch an, sobald Sie das erste</w:t>
      </w:r>
      <w:r>
        <w:t xml:space="preserve"> </w:t>
      </w:r>
      <w:r>
        <w:t xml:space="preserve">Mal Daten speichern. Um diese Struktur müssen Sie sich nicht kümmern – die</w:t>
      </w:r>
      <w:r>
        <w:t xml:space="preserve"> </w:t>
      </w:r>
      <w:r>
        <w:t xml:space="preserve">Anwendung übernimmt das für Sie.</w:t>
      </w:r>
    </w:p>
    <w:bookmarkEnd w:id="55"/>
    <w:bookmarkStart w:id="59" w:name="X66760c61cad132569a5cedccff8ed197724136f"/>
    <w:p>
      <w:pPr>
        <w:pStyle w:val="Heading2"/>
      </w:pPr>
      <w:r>
        <w:t xml:space="preserve">Einen eigenen Solid-Server betreiben (für Administratoren)</w:t>
      </w:r>
    </w:p>
    <w:p>
      <w:pPr>
        <w:pStyle w:val="FirstParagraph"/>
      </w:pPr>
      <w:r>
        <w:t xml:space="preserve">Für die Funktionserprobung genügt ein öffentlicher Dienst wie</w:t>
      </w:r>
      <w:r>
        <w:t xml:space="preserve"> </w:t>
      </w:r>
      <w:r>
        <w:t xml:space="preserve">solidcommunity.net. Sobald reale, sensible Daten ins Spiel kommen, sollten die</w:t>
      </w:r>
      <w:r>
        <w:t xml:space="preserve"> </w:t>
      </w:r>
      <w:r>
        <w:t xml:space="preserve">Pods dagegen auf Infrastruktur liegen, die Sie selbst kontrollieren (siehe</w:t>
      </w:r>
      <w:r>
        <w:t xml:space="preserve"> </w:t>
      </w:r>
      <w:r>
        <w:t xml:space="preserve">Abschnitt „Datenschutz”). Da die Granergize-App unabhängig vom Pod-Anbieter arbeitet,</w:t>
      </w:r>
      <w:r>
        <w:t xml:space="preserve"> </w:t>
      </w:r>
      <w:r>
        <w:t xml:space="preserve">brauchen Sie dafür nur einen spezifikationskonformen Solid-Server – an der</w:t>
      </w:r>
      <w:r>
        <w:t xml:space="preserve"> </w:t>
      </w:r>
      <w:r>
        <w:t xml:space="preserve">Anwendung selbst ändert sich nichts, und auch die Bedienung bleibt identisch:</w:t>
      </w:r>
      <w:r>
        <w:t xml:space="preserve"> </w:t>
      </w:r>
      <w:r>
        <w:t xml:space="preserve">Bei der Anmeldung geben Sie statt solidcommunity.net einfach die Adresse Ihres</w:t>
      </w:r>
      <w:r>
        <w:t xml:space="preserve"> </w:t>
      </w:r>
      <w:r>
        <w:t xml:space="preserve">eigenen Servers als Identity Provider ein. Ein so betriebener Server übernimmt</w:t>
      </w:r>
      <w:r>
        <w:t xml:space="preserve"> </w:t>
      </w:r>
      <w:r>
        <w:t xml:space="preserve">– wie solidcommunity.net – beide Rollen zugleich: Er ist Identity Provider und</w:t>
      </w:r>
      <w:r>
        <w:t xml:space="preserve"> </w:t>
      </w:r>
      <w:r>
        <w:t xml:space="preserve">Speicheranbieter für die Pods, die auf ihm liegen (siehe Abschnitt „Solid Pod</w:t>
      </w:r>
      <w:r>
        <w:t xml:space="preserve"> </w:t>
      </w:r>
      <w:r>
        <w:t xml:space="preserve">einrichten”).</w:t>
      </w:r>
    </w:p>
    <w:p>
      <w:pPr>
        <w:pStyle w:val="BodyText"/>
      </w:pPr>
      <w:r>
        <w:t xml:space="preserve">Wir empfehlen den</w:t>
      </w:r>
      <w:r>
        <w:t xml:space="preserve"> </w:t>
      </w:r>
      <w:hyperlink r:id="rId56">
        <w:r>
          <w:rPr>
            <w:rStyle w:val="Hyperlink"/>
          </w:rPr>
          <w:t xml:space="preserve">Community Solid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Server</w:t>
        </w:r>
      </w:hyperlink>
      <w:r>
        <w:t xml:space="preserve"> </w:t>
      </w:r>
      <w:r>
        <w:t xml:space="preserve">(CSS) –</w:t>
      </w:r>
      <w:r>
        <w:t xml:space="preserve"> </w:t>
      </w:r>
      <w:r>
        <w:t xml:space="preserve">eine quelloffene, frei verfügbare Server-Implementierung, die vom</w:t>
      </w:r>
      <w:r>
        <w:t xml:space="preserve"> </w:t>
      </w:r>
      <w:r>
        <w:t xml:space="preserve">Solid-Projekt gepflegt wird. Die Granergize-App wird fortlaufend automatisiert gegen</w:t>
      </w:r>
      <w:r>
        <w:t xml:space="preserve"> </w:t>
      </w:r>
      <w:r>
        <w:t xml:space="preserve">den Community Solid Server (Version 7) getestet, von der Datenschicht bis zur</w:t>
      </w:r>
      <w:r>
        <w:t xml:space="preserve"> </w:t>
      </w:r>
      <w:r>
        <w:t xml:space="preserve">Browser-Oberfläche; diese Kombination ist damit gut abgesichert.</w:t>
      </w:r>
    </w:p>
    <w:p>
      <w:pPr>
        <w:pStyle w:val="BodyText"/>
      </w:pPr>
      <w:r>
        <w:rPr>
          <w:b/>
          <w:bCs/>
        </w:rPr>
        <w:t xml:space="preserve">Ausprobieren auf dem eigenen Rechner:</w:t>
      </w:r>
      <w:r>
        <w:t xml:space="preserve"> </w:t>
      </w:r>
      <w:r>
        <w:t xml:space="preserve">Sie benötigen lediglich</w:t>
      </w:r>
      <w:r>
        <w:t xml:space="preserve"> </w:t>
      </w:r>
      <w:hyperlink r:id="rId57">
        <w:r>
          <w:rPr>
            <w:rStyle w:val="Hyperlink"/>
          </w:rPr>
          <w:t xml:space="preserve">Node.js</w:t>
        </w:r>
      </w:hyperlink>
      <w:r>
        <w:t xml:space="preserve"> </w:t>
      </w:r>
      <w:r>
        <w:t xml:space="preserve">(Version 18 oder neuer). Ein einziger Befehl</w:t>
      </w:r>
      <w:r>
        <w:t xml:space="preserve"> </w:t>
      </w:r>
      <w:r>
        <w:t xml:space="preserve">startet den Server:</w:t>
      </w:r>
    </w:p>
    <w:p>
      <w:pPr>
        <w:pStyle w:val="SourceCode"/>
      </w:pPr>
      <w:r>
        <w:rPr>
          <w:rStyle w:val="VerbatimChar"/>
        </w:rPr>
        <w:t xml:space="preserve">npx @solid/community-server@7 -p 3000 -b http://localhost:3000/ -f ./solid-daten</w:t>
      </w:r>
    </w:p>
    <w:p>
      <w:pPr>
        <w:pStyle w:val="FirstParagraph"/>
      </w:pPr>
      <w:r>
        <w:t xml:space="preserve">Die drei Optionen bedeuten: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-p</w:t>
      </w:r>
      <w:r>
        <w:t xml:space="preserve"> </w:t>
      </w:r>
      <w:r>
        <w:t xml:space="preserve">– der Port, auf dem der Server erreichbar ist.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-b</w:t>
      </w:r>
      <w:r>
        <w:t xml:space="preserve"> </w:t>
      </w:r>
      <w:r>
        <w:t xml:space="preserve">– die Basis-Adresse des Servers. Sie wird Bestandteil aller WebIDs und</w:t>
      </w:r>
      <w:r>
        <w:t xml:space="preserve"> </w:t>
      </w:r>
      <w:r>
        <w:t xml:space="preserve">Pod-Adressen, die auf diesem Server entstehen.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-f</w:t>
      </w:r>
      <w:r>
        <w:t xml:space="preserve"> </w:t>
      </w:r>
      <w:r>
        <w:t xml:space="preserve">– das Verzeichnis, in dem die Daten als Dateien abgelegt werden. Ohne</w:t>
      </w:r>
      <w:r>
        <w:t xml:space="preserve"> </w:t>
      </w:r>
      <w:r>
        <w:t xml:space="preserve">diese Option hält der Server alle Daten nur im Arbeitsspeicher – nach einem</w:t>
      </w:r>
      <w:r>
        <w:t xml:space="preserve"> </w:t>
      </w:r>
      <w:r>
        <w:t xml:space="preserve">Neustart wäre alles verloren.</w:t>
      </w:r>
    </w:p>
    <w:p>
      <w:pPr>
        <w:pStyle w:val="FirstParagraph"/>
      </w:pPr>
      <w:r>
        <w:t xml:space="preserve">Öffnen Sie anschließend</w:t>
      </w:r>
      <w:r>
        <w:t xml:space="preserve"> </w:t>
      </w:r>
      <w:r>
        <w:rPr>
          <w:rStyle w:val="VerbatimChar"/>
        </w:rPr>
        <w:t xml:space="preserve">http://localhost:3000/</w:t>
      </w:r>
      <w:r>
        <w:t xml:space="preserve"> </w:t>
      </w:r>
      <w:r>
        <w:t xml:space="preserve">im Browser, legen Sie dort ein</w:t>
      </w:r>
      <w:r>
        <w:t xml:space="preserve"> </w:t>
      </w:r>
      <w:r>
        <w:t xml:space="preserve">Konto und einen Pod an (der Ablauf entspricht dem im Abschnitt „Solid Pod</w:t>
      </w:r>
      <w:r>
        <w:t xml:space="preserve"> </w:t>
      </w:r>
      <w:r>
        <w:t xml:space="preserve">einrichten” beschriebenen), und melden Sie sich in der Granergize-App mit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 </w:t>
      </w:r>
      <w:r>
        <w:t xml:space="preserve">als Identity Provider an.</w:t>
      </w:r>
    </w:p>
    <w:p>
      <w:pPr>
        <w:pStyle w:val="BodyText"/>
      </w:pPr>
      <w:r>
        <w:rPr>
          <w:b/>
          <w:bCs/>
        </w:rPr>
        <w:t xml:space="preserve">Produktiver Betrieb:</w:t>
      </w:r>
      <w:r>
        <w:t xml:space="preserve"> </w:t>
      </w:r>
      <w:r>
        <w:t xml:space="preserve">Für den Dauerbetrieb auf einem eigenen Server kommen</w:t>
      </w:r>
      <w:r>
        <w:t xml:space="preserve"> </w:t>
      </w:r>
      <w:r>
        <w:t xml:space="preserve">einige Punkte hinzu: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Verschlüsselung (HTTPS):</w:t>
      </w:r>
      <w:r>
        <w:t xml:space="preserve"> </w:t>
      </w:r>
      <w:r>
        <w:t xml:space="preserve">Betreiben Sie den Server hinter einem Reverse</w:t>
      </w:r>
      <w:r>
        <w:t xml:space="preserve"> </w:t>
      </w:r>
      <w:r>
        <w:t xml:space="preserve">Proxy (z. B. nginx oder Caddy), der TLS-Zertifikate bereitstellt. Browser</w:t>
      </w:r>
      <w:r>
        <w:t xml:space="preserve"> </w:t>
      </w:r>
      <w:r>
        <w:t xml:space="preserve">lassen die Solid-Anmeldung außerhalb des eigenen Rechners nur über</w:t>
      </w:r>
      <w:r>
        <w:t xml:space="preserve"> </w:t>
      </w:r>
      <w:r>
        <w:t xml:space="preserve">verschlüsselte Verbindungen zu. Die Option</w:t>
      </w:r>
      <w:r>
        <w:t xml:space="preserve"> </w:t>
      </w:r>
      <w:r>
        <w:rPr>
          <w:rStyle w:val="VerbatimChar"/>
        </w:rPr>
        <w:t xml:space="preserve">-b</w:t>
      </w:r>
      <w:r>
        <w:t xml:space="preserve"> </w:t>
      </w:r>
      <w:r>
        <w:t xml:space="preserve">muss dabei auf die</w:t>
      </w:r>
      <w:r>
        <w:t xml:space="preserve"> </w:t>
      </w:r>
      <w:r>
        <w:t xml:space="preserve">öffentliche</w:t>
      </w:r>
      <w:r>
        <w:t xml:space="preserve"> </w:t>
      </w:r>
      <w:r>
        <w:rPr>
          <w:rStyle w:val="VerbatimChar"/>
        </w:rPr>
        <w:t xml:space="preserve">https://</w:t>
      </w:r>
      <w:r>
        <w:t xml:space="preserve">-Adresse zeigen.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Basis-Adresse mit Bedacht wählen:</w:t>
      </w:r>
      <w:r>
        <w:t xml:space="preserve"> </w:t>
      </w:r>
      <w:r>
        <w:t xml:space="preserve">Wie der Pod-Name ist auch die</w:t>
      </w:r>
      <w:r>
        <w:t xml:space="preserve"> </w:t>
      </w:r>
      <w:r>
        <w:t xml:space="preserve">Server-Adresse später nur schwer zu ändern – sie steckt in jeder WebID und</w:t>
      </w:r>
      <w:r>
        <w:t xml:space="preserve"> </w:t>
      </w:r>
      <w:r>
        <w:t xml:space="preserve">in allen gespeicherten Verweisen. Wählen Sie also von Anfang an die</w:t>
      </w:r>
      <w:r>
        <w:t xml:space="preserve"> </w:t>
      </w:r>
      <w:r>
        <w:t xml:space="preserve">endgültige Domain.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Als Dienst betreiben:</w:t>
      </w:r>
      <w:r>
        <w:t xml:space="preserve"> </w:t>
      </w:r>
      <w:r>
        <w:t xml:space="preserve">Richten Sie den Server als Systemdienst (z. B.</w:t>
      </w:r>
      <w:r>
        <w:t xml:space="preserve"> </w:t>
      </w:r>
      <w:r>
        <w:t xml:space="preserve">systemd) ein oder nutzen Sie das offizielle Docker-Image</w:t>
      </w:r>
      <w:r>
        <w:t xml:space="preserve"> </w:t>
      </w:r>
      <w:r>
        <w:rPr>
          <w:rStyle w:val="VerbatimChar"/>
        </w:rPr>
        <w:t xml:space="preserve">solidproject/community-server</w:t>
      </w:r>
      <w:r>
        <w:t xml:space="preserve">; in beiden Fällen geben Sie dieselben</w:t>
      </w:r>
      <w:r>
        <w:t xml:space="preserve"> </w:t>
      </w:r>
      <w:r>
        <w:t xml:space="preserve">Optionen</w:t>
      </w:r>
      <w:r>
        <w:t xml:space="preserve"> </w:t>
      </w:r>
      <w:r>
        <w:rPr>
          <w:rStyle w:val="VerbatimChar"/>
        </w:rPr>
        <w:t xml:space="preserve">-b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-f</w:t>
      </w:r>
      <w:r>
        <w:t xml:space="preserve"> </w:t>
      </w:r>
      <w:r>
        <w:t xml:space="preserve">an.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Datensicherung:</w:t>
      </w:r>
      <w:r>
        <w:t xml:space="preserve"> </w:t>
      </w:r>
      <w:r>
        <w:t xml:space="preserve">Das mit</w:t>
      </w:r>
      <w:r>
        <w:t xml:space="preserve"> </w:t>
      </w:r>
      <w:r>
        <w:rPr>
          <w:rStyle w:val="VerbatimChar"/>
        </w:rPr>
        <w:t xml:space="preserve">-f</w:t>
      </w:r>
      <w:r>
        <w:t xml:space="preserve"> </w:t>
      </w:r>
      <w:r>
        <w:t xml:space="preserve">gewählte Verzeichnis enthält alle Pods als</w:t>
      </w:r>
      <w:r>
        <w:t xml:space="preserve"> </w:t>
      </w:r>
      <w:r>
        <w:t xml:space="preserve">gewöhnliche Dateien. Eine regelmäßige Sicherung dieses Verzeichnisses</w:t>
      </w:r>
      <w:r>
        <w:t xml:space="preserve"> </w:t>
      </w:r>
      <w:r>
        <w:t xml:space="preserve">genügt als Backup.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Benutzerverwaltung:</w:t>
      </w:r>
      <w:r>
        <w:t xml:space="preserve"> </w:t>
      </w:r>
      <w:r>
        <w:t xml:space="preserve">Neue Nutzer registrieren sich selbst über die</w:t>
      </w:r>
      <w:r>
        <w:t xml:space="preserve"> </w:t>
      </w:r>
      <w:r>
        <w:t xml:space="preserve">Startseite des Servers. Alternativ können Sie Konten und Pods beim</w:t>
      </w:r>
      <w:r>
        <w:t xml:space="preserve"> </w:t>
      </w:r>
      <w:r>
        <w:t xml:space="preserve">Serverstart über die Option</w:t>
      </w:r>
      <w:r>
        <w:t xml:space="preserve"> </w:t>
      </w:r>
      <w:r>
        <w:rPr>
          <w:rStyle w:val="VerbatimChar"/>
        </w:rPr>
        <w:t xml:space="preserve">--seedConfig</w:t>
      </w:r>
      <w:r>
        <w:t xml:space="preserve"> </w:t>
      </w:r>
      <w:r>
        <w:t xml:space="preserve">(eine JSON-Datei mit</w:t>
      </w:r>
      <w:r>
        <w:t xml:space="preserve"> </w:t>
      </w:r>
      <w:r>
        <w:t xml:space="preserve">Kontenliste) vorab anlegen.</w:t>
      </w:r>
    </w:p>
    <w:p>
      <w:pPr>
        <w:pStyle w:val="FirstParagraph"/>
      </w:pPr>
      <w:r>
        <w:rPr>
          <w:b/>
          <w:bCs/>
        </w:rPr>
        <w:t xml:space="preserve">Auch die Anwendung selbst können Sie betreiben:</w:t>
      </w:r>
      <w:r>
        <w:t xml:space="preserve"> </w:t>
      </w:r>
      <w:r>
        <w:t xml:space="preserve">Die Granergize-App</w:t>
      </w:r>
      <w:r>
        <w:t xml:space="preserve"> </w:t>
      </w:r>
      <w:r>
        <w:t xml:space="preserve">ist quelloffen</w:t>
      </w:r>
      <w:r>
        <w:t xml:space="preserve"> </w:t>
      </w:r>
      <w:r>
        <w:t xml:space="preserve">(siehe Abschnitt „Was steckt hinter Granergize”); der Quellcode liegt auf GitHub</w:t>
      </w:r>
      <w:r>
        <w:t xml:space="preserve"> </w:t>
      </w:r>
      <w:r>
        <w:t xml:space="preserve">unter</w:t>
      </w:r>
      <w:r>
        <w:t xml:space="preserve"> </w:t>
      </w:r>
      <w:hyperlink r:id="rId58">
        <w:r>
          <w:rPr>
            <w:rStyle w:val="Hyperlink"/>
          </w:rPr>
          <w:t xml:space="preserve">github.com/wintechis/granergize-webapp</w:t>
        </w:r>
      </w:hyperlink>
      <w:r>
        <w:t xml:space="preserve">.</w:t>
      </w:r>
      <w:r>
        <w:t xml:space="preserve"> </w:t>
      </w:r>
      <w:r>
        <w:t xml:space="preserve">Die Anwendung läuft vollständig im Browser und hat kein eigenes Backend:</w:t>
      </w:r>
      <w:r>
        <w:t xml:space="preserve"> </w:t>
      </w:r>
      <w:r>
        <w:rPr>
          <w:rStyle w:val="VerbatimChar"/>
        </w:rPr>
        <w:t xml:space="preserve">deno task build</w:t>
      </w:r>
      <w:r>
        <w:t xml:space="preserve"> </w:t>
      </w:r>
      <w:r>
        <w:t xml:space="preserve">erzeugt einen statischen Build (</w:t>
      </w:r>
      <w:r>
        <w:rPr>
          <w:rStyle w:val="VerbatimChar"/>
        </w:rPr>
        <w:t xml:space="preserve">dist/</w:t>
      </w:r>
      <w:r>
        <w:t xml:space="preserve">), den jeder</w:t>
      </w:r>
      <w:r>
        <w:t xml:space="preserve"> </w:t>
      </w:r>
      <w:r>
        <w:t xml:space="preserve">gewöhnliche Webserver ausliefern kann – etwa derselbe Reverse Proxy, hinter dem</w:t>
      </w:r>
      <w:r>
        <w:t xml:space="preserve"> </w:t>
      </w:r>
      <w:r>
        <w:t xml:space="preserve">Ihr Solid-Server läuft. Damit liegen alle drei Bausteine – Identität, Speicher</w:t>
      </w:r>
      <w:r>
        <w:t xml:space="preserve"> </w:t>
      </w:r>
      <w:r>
        <w:t xml:space="preserve">und Anwendung – auf Infrastruktur, die Sie selbst kontrollieren.</w:t>
      </w:r>
    </w:p>
    <w:p>
      <w:pPr>
        <w:pStyle w:val="BlockText"/>
      </w:pPr>
      <w:r>
        <w:rPr>
          <w:b/>
          <w:bCs/>
        </w:rPr>
        <w:t xml:space="preserve">Hinweis:</w:t>
      </w:r>
      <w:r>
        <w:t xml:space="preserve"> </w:t>
      </w:r>
      <w:r>
        <w:t xml:space="preserve">Auch andere spezifikationskonforme Solid-Server und</w:t>
      </w:r>
      <w:r>
        <w:t xml:space="preserve"> </w:t>
      </w:r>
      <w:r>
        <w:t xml:space="preserve">kommerzielle Anbieter funktionieren mit der Granergize-App – sie ist an</w:t>
      </w:r>
      <w:r>
        <w:t xml:space="preserve"> </w:t>
      </w:r>
      <w:r>
        <w:t xml:space="preserve">keinen Anbieter gebunden. Der Community Solid Server ist lediglich die vom</w:t>
      </w:r>
      <w:r>
        <w:t xml:space="preserve"> </w:t>
      </w:r>
      <w:r>
        <w:t xml:space="preserve">Projekt am intensivsten erprobte Variante.</w:t>
      </w:r>
    </w:p>
    <w:bookmarkEnd w:id="59"/>
    <w:bookmarkStart w:id="66" w:name="erste-anmeldung-in-der-granergize-app"/>
    <w:p>
      <w:pPr>
        <w:pStyle w:val="Heading2"/>
      </w:pPr>
      <w:r>
        <w:t xml:space="preserve">Erste Anmeldung in der Granergize-App</w:t>
      </w:r>
    </w:p>
    <w:p>
      <w:pPr>
        <w:pStyle w:val="FirstParagraph"/>
      </w:pPr>
      <w:r>
        <w:t xml:space="preserve">Nachdem Sie Ihren Solid Pod eingerichtet haben, können Sie sich bei der</w:t>
      </w:r>
      <w:r>
        <w:t xml:space="preserve"> </w:t>
      </w:r>
      <w:r>
        <w:t xml:space="preserve">Granergize-App anmelden. Die Anwendung ist über Ihren Webbrowser zugänglich – Sie müssen nichts</w:t>
      </w:r>
      <w:r>
        <w:t xml:space="preserve"> </w:t>
      </w:r>
      <w:r>
        <w:t xml:space="preserve">installieren.</w:t>
      </w:r>
    </w:p>
    <w:p>
      <w:pPr>
        <w:pStyle w:val="Compact"/>
        <w:numPr>
          <w:ilvl w:val="0"/>
          <w:numId w:val="1006"/>
        </w:numPr>
      </w:pPr>
      <w:r>
        <w:t xml:space="preserve">Öffnen Sie die Granergize-App in Ihrem Browser. Auf der Startseite</w:t>
      </w:r>
      <w:r>
        <w:t xml:space="preserve"> </w:t>
      </w:r>
      <w:r>
        <w:t xml:space="preserve">sehen Sie eine kurze Erklärung der Anwendung und einen „Login”-Button.</w:t>
      </w:r>
    </w:p>
    <w:p>
      <w:pPr>
        <w:pStyle w:val="Compact"/>
        <w:numPr>
          <w:ilvl w:val="0"/>
          <w:numId w:val="1006"/>
        </w:numPr>
      </w:pPr>
      <w:r>
        <w:t xml:space="preserve">Wählen Sie Ihren Identity Provider – den Dienst, der Ihre WebID verwaltet</w:t>
      </w:r>
      <w:r>
        <w:t xml:space="preserve"> </w:t>
      </w:r>
      <w:r>
        <w:t xml:space="preserve">und beim Anmelden bestätigt, dass Sie deren Inhaber sind (in der Regel</w:t>
      </w:r>
      <w:r>
        <w:t xml:space="preserve"> </w:t>
      </w:r>
      <w:r>
        <w:t xml:space="preserve">derselbe Dienst, bei dem auch Ihr Pod liegt). Wenn Sie Ihren Pod bei</w:t>
      </w:r>
      <w:r>
        <w:t xml:space="preserve"> </w:t>
      </w:r>
      <w:r>
        <w:t xml:space="preserve">solidcommunity.net erstellt haben, wählen Sie diesen</w:t>
      </w:r>
      <w:r>
        <w:t xml:space="preserve"> </w:t>
      </w:r>
      <w:r>
        <w:t xml:space="preserve">aus der Liste oder geben Sie die Adresse</w:t>
      </w:r>
      <w:r>
        <w:t xml:space="preserve"> </w:t>
      </w:r>
      <w:r>
        <w:rPr>
          <w:rStyle w:val="VerbatimChar"/>
        </w:rPr>
        <w:t xml:space="preserve">solidcommunity.net</w:t>
      </w:r>
      <w:r>
        <w:t xml:space="preserve"> </w:t>
      </w:r>
      <w:r>
        <w:t xml:space="preserve">ein.</w:t>
      </w:r>
      <w:r>
        <w:t xml:space="preserve"> </w:t>
      </w:r>
      <w:r>
        <w:t xml:space="preserve">Alternativ können Sie auch Ihre vollständige WebID eingeben.</w:t>
      </w:r>
    </w:p>
    <w:p>
      <w:pPr>
        <w:pStyle w:val="Compact"/>
        <w:numPr>
          <w:ilvl w:val="0"/>
          <w:numId w:val="1006"/>
        </w:numPr>
      </w:pPr>
      <w:r>
        <w:t xml:space="preserve">Melden Sie sich beim Identity Provider an und</w:t>
      </w:r>
      <w:r>
        <w:t xml:space="preserve"> </w:t>
      </w:r>
      <w:r>
        <w:rPr>
          <w:b/>
          <w:bCs/>
        </w:rPr>
        <w:t xml:space="preserve">bestätigen</w:t>
      </w:r>
      <w:r>
        <w:t xml:space="preserve"> </w:t>
      </w:r>
      <w:r>
        <w:t xml:space="preserve">Sie, dass die</w:t>
      </w:r>
      <w:r>
        <w:t xml:space="preserve"> </w:t>
      </w:r>
      <w:r>
        <w:t xml:space="preserve">Granergize-App Zugriff auf Ihren Pod erhalten darf. Ohne diese Berechtigung kann die</w:t>
      </w:r>
      <w:r>
        <w:t xml:space="preserve"> </w:t>
      </w:r>
      <w:r>
        <w:t xml:space="preserve">Anwendung nicht auf Ihre Daten zugreifen oder neue Gebäude speichern. Sie</w:t>
      </w:r>
      <w:r>
        <w:t xml:space="preserve"> </w:t>
      </w:r>
      <w:r>
        <w:t xml:space="preserve">können die Berechtigung jederzeit in den Einstellungen Ihres Pods widerrufen.</w:t>
      </w:r>
    </w:p>
    <w:p>
      <w:pPr>
        <w:pStyle w:val="BlockText"/>
      </w:pPr>
      <w:r>
        <w:rPr>
          <w:b/>
          <w:bCs/>
        </w:rPr>
        <w:t xml:space="preserve">Hinweis:</w:t>
      </w:r>
      <w:r>
        <w:t xml:space="preserve"> </w:t>
      </w:r>
      <w:r>
        <w:t xml:space="preserve">Läuft Ihre Anmeldung nach längerer Nutzung ab, zeigt die</w:t>
      </w:r>
      <w:r>
        <w:t xml:space="preserve"> </w:t>
      </w:r>
      <w:r>
        <w:t xml:space="preserve">Anwendung einmalig den Hinweis „Session expired – please log in again” und</w:t>
      </w:r>
      <w:r>
        <w:t xml:space="preserve"> </w:t>
      </w:r>
      <w:r>
        <w:t xml:space="preserve">meldet Sie ab. Melden Sie sich danach einfach erneut an – Ihre Daten sind</w:t>
      </w:r>
      <w:r>
        <w:t xml:space="preserve"> </w:t>
      </w:r>
      <w:r>
        <w:t xml:space="preserve">davon nicht betroffen.</w:t>
      </w:r>
    </w:p>
    <w:p>
      <w:pPr>
        <w:pStyle w:val="CaptionedFigure"/>
      </w:pPr>
      <w:r>
        <w:drawing>
          <wp:inline>
            <wp:extent cx="5334000" cy="4000499"/>
            <wp:effectExtent b="0" l="0" r="0" t="0"/>
            <wp:docPr descr="Anmeldung: Identity Provider wählen" title="" id="61" name="Picture"/>
            <a:graphic>
              <a:graphicData uri="http://schemas.openxmlformats.org/drawingml/2006/picture">
                <pic:pic>
                  <pic:nvPicPr>
                    <pic:cNvPr descr="figures/anmelden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Anmeldung: Identity Provider wählen</w:t>
      </w:r>
    </w:p>
    <w:p>
      <w:pPr>
        <w:pStyle w:val="BodyText"/>
      </w:pPr>
      <w:r>
        <w:rPr>
          <w:b/>
          <w:bCs/>
        </w:rPr>
        <w:t xml:space="preserve">Was beim ersten Start passiert:</w:t>
      </w:r>
      <w:r>
        <w:t xml:space="preserve"> </w:t>
      </w:r>
      <w:r>
        <w:t xml:space="preserve">Bei der ersten Anmeldung ist Ihr Dashboard</w:t>
      </w:r>
      <w:r>
        <w:t xml:space="preserve"> </w:t>
      </w:r>
      <w:r>
        <w:t xml:space="preserve">zunächst leer – es werden keine Daten vorausgesetzt und nichts im Voraus</w:t>
      </w:r>
      <w:r>
        <w:t xml:space="preserve"> </w:t>
      </w:r>
      <w:r>
        <w:t xml:space="preserve">angelegt. Für einen schnellen Einstieg bietet Ihnen die Granergize-App an,</w:t>
      </w:r>
      <w:r>
        <w:t xml:space="preserve"> </w:t>
      </w:r>
      <w:r>
        <w:rPr>
          <w:b/>
          <w:bCs/>
        </w:rPr>
        <w:t xml:space="preserve">vier</w:t>
      </w:r>
      <w:r>
        <w:rPr>
          <w:b/>
          <w:bCs/>
        </w:rPr>
        <w:t xml:space="preserve"> </w:t>
      </w:r>
      <w:r>
        <w:rPr>
          <w:b/>
          <w:bCs/>
        </w:rPr>
        <w:t xml:space="preserve">beispielhafte Demo-Gebäude</w:t>
      </w:r>
      <w:r>
        <w:t xml:space="preserve"> </w:t>
      </w:r>
      <w:r>
        <w:t xml:space="preserve">hinzuzufügen („Add examples”); diesen Hinweis</w:t>
      </w:r>
      <w:r>
        <w:t xml:space="preserve"> </w:t>
      </w:r>
      <w:r>
        <w:t xml:space="preserve">können Sie auch ausblenden. Er erscheint nur, solange Sie weder eigene noch</w:t>
      </w:r>
      <w:r>
        <w:t xml:space="preserve"> </w:t>
      </w:r>
      <w:r>
        <w:t xml:space="preserve">mit Ihnen geteilte Gebäude haben; schlägt das Anlegen einzelner Beispiele fehl</w:t>
      </w:r>
      <w:r>
        <w:t xml:space="preserve"> </w:t>
      </w:r>
      <w:r>
        <w:t xml:space="preserve">(etwa durch eine instabile Verbindung), meldet die Anwendung, wie viele der</w:t>
      </w:r>
      <w:r>
        <w:t xml:space="preserve"> </w:t>
      </w:r>
      <w:r>
        <w:t xml:space="preserve">vier Gebäude angelegt wurden, und das Angebot bleibt zum erneuten Versuch</w:t>
      </w:r>
      <w:r>
        <w:t xml:space="preserve"> </w:t>
      </w:r>
      <w:r>
        <w:t xml:space="preserve">verfügbar. Die Beispiele decken beide Datenformen ab – zwei</w:t>
      </w:r>
      <w:r>
        <w:t xml:space="preserve"> </w:t>
      </w:r>
      <w:r>
        <w:t xml:space="preserve">Gebäude mit Jahreswerten (2022–2024) und vollständigen Stammdaten, zwei mit</w:t>
      </w:r>
      <w:r>
        <w:t xml:space="preserve"> </w:t>
      </w:r>
      <w:r>
        <w:t xml:space="preserve">15-Minuten-Messreihen (eines davon trägt zusätzlich Jahreswerte). Zwei der</w:t>
      </w:r>
      <w:r>
        <w:t xml:space="preserve"> </w:t>
      </w:r>
      <w:r>
        <w:t xml:space="preserve">Gebäude mit Jahreswerten teilen sich denselben Betreiber und eines enthält</w:t>
      </w:r>
      <w:r>
        <w:t xml:space="preserve"> </w:t>
      </w:r>
      <w:r>
        <w:t xml:space="preserve">zusätzlich geplante (Soll-)Werte, sodass Betreiber-Durchschnitt und</w:t>
      </w:r>
      <w:r>
        <w:t xml:space="preserve"> </w:t>
      </w:r>
      <w:r>
        <w:t xml:space="preserve">Soll-Ist-Vergleich direkt an den Beispieldaten sichtbar sind. Die Abbildungen in diesem Handbuch zeigen genau diese</w:t>
      </w:r>
      <w:r>
        <w:t xml:space="preserve"> </w:t>
      </w:r>
      <w:r>
        <w:t xml:space="preserve">Demo-Gebäude. Die benötigte Ordnerstruktur unter</w:t>
      </w:r>
      <w:r>
        <w:t xml:space="preserve"> </w:t>
      </w:r>
      <w:r>
        <w:rPr>
          <w:rStyle w:val="VerbatimChar"/>
        </w:rPr>
        <w:t xml:space="preserve">granergize/</w:t>
      </w:r>
      <w:r>
        <w:t xml:space="preserve"> </w:t>
      </w:r>
      <w:r>
        <w:t xml:space="preserve">legt die Anwendung automatisch an, sobald Sie Ihr erstes Gebäude speichern – Sie</w:t>
      </w:r>
      <w:r>
        <w:t xml:space="preserve"> </w:t>
      </w:r>
      <w:r>
        <w:t xml:space="preserve">müssen sich darum nicht kümmern. Anschließend können Sie eigene Gebäudedaten</w:t>
      </w:r>
      <w:r>
        <w:t xml:space="preserve"> </w:t>
      </w:r>
      <w:r>
        <w:t xml:space="preserve">hinzufügen und mit der eigentlichen Arbeit beginnen.</w:t>
      </w:r>
    </w:p>
    <w:p>
      <w:pPr>
        <w:pStyle w:val="CaptionedFigure"/>
      </w:pPr>
      <w:r>
        <w:drawing>
          <wp:inline>
            <wp:extent cx="5334000" cy="4000499"/>
            <wp:effectExtent b="0" l="0" r="0" t="0"/>
            <wp:docPr descr="Nach der Anmeldung: Die App öffnet sich auf der Karte (Tab „Explore”); auf einem leeren Pod bietet ein Hinweisbalken an, beispielhafte Gebäude hinzuzufügen – der Einstieg beginnt mit dem Anlegen von Gebäuden." title="" id="64" name="Picture"/>
            <a:graphic>
              <a:graphicData uri="http://schemas.openxmlformats.org/drawingml/2006/picture">
                <pic:pic>
                  <pic:nvPicPr>
                    <pic:cNvPr descr="figures/erster-start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Nach der Anmeldung: Die App öffnet sich auf der Karte (Tab „Explore”); auf einem leeren Pod bietet ein Hinweisbalken an, beispielhafte Gebäude hinzuzufügen – der Einstieg beginnt mit dem Anlegen von Gebäuden.</w:t>
      </w:r>
    </w:p>
    <w:bookmarkEnd w:id="66"/>
    <w:bookmarkStart w:id="67" w:name="ihre-organisation-festlegen"/>
    <w:p>
      <w:pPr>
        <w:pStyle w:val="Heading2"/>
      </w:pPr>
      <w:r>
        <w:t xml:space="preserve">Ihre Organisation festlegen</w:t>
      </w:r>
    </w:p>
    <w:p>
      <w:pPr>
        <w:pStyle w:val="FirstParagraph"/>
      </w:pPr>
      <w:r>
        <w:t xml:space="preserve">Bevor Sie Gebäude anlegen, hinterlegen Sie einmalig Ihre</w:t>
      </w:r>
      <w:r>
        <w:t xml:space="preserve"> </w:t>
      </w:r>
      <w:r>
        <w:rPr>
          <w:b/>
          <w:bCs/>
        </w:rPr>
        <w:t xml:space="preserve">Organisation</w:t>
      </w:r>
      <w:r>
        <w:t xml:space="preserve"> </w:t>
      </w:r>
      <w:r>
        <w:t xml:space="preserve">– Ihr</w:t>
      </w:r>
      <w:r>
        <w:t xml:space="preserve"> </w:t>
      </w:r>
      <w:r>
        <w:t xml:space="preserve">Unternehmen samt Logo. Diese Angaben gelten danach für alle Gebäude, die Sie</w:t>
      </w:r>
      <w:r>
        <w:t xml:space="preserve"> </w:t>
      </w:r>
      <w:r>
        <w:t xml:space="preserve">erfassen; Sie müssen sie nicht bei jeder Dateneingabe wiederholen. Öffnen Sie über</w:t>
      </w:r>
      <w:r>
        <w:t xml:space="preserve"> </w:t>
      </w:r>
      <w:r>
        <w:t xml:space="preserve">das Avatar-Symbol (oben rechts) den Dialog</w:t>
      </w:r>
      <w:r>
        <w:t xml:space="preserve"> </w:t>
      </w:r>
      <w:r>
        <w:rPr>
          <w:b/>
          <w:bCs/>
        </w:rPr>
        <w:t xml:space="preserve">Organisation</w:t>
      </w:r>
      <w:r>
        <w:t xml:space="preserve"> </w:t>
      </w:r>
      <w:r>
        <w:t xml:space="preserve">und füllen Sie die</w:t>
      </w:r>
      <w:r>
        <w:t xml:space="preserve"> </w:t>
      </w:r>
      <w:r>
        <w:t xml:space="preserve">Felder aus: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Firmenname</w:t>
      </w:r>
      <w:r>
        <w:t xml:space="preserve"> </w:t>
      </w:r>
      <w:r>
        <w:t xml:space="preserve">(„Company name”): der Name Ihres Unternehmens – etwa</w:t>
      </w:r>
      <w:r>
        <w:t xml:space="preserve"> </w:t>
      </w:r>
      <w:r>
        <w:t xml:space="preserve">„Granergize AG”.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Firmenlogo</w:t>
      </w:r>
      <w:r>
        <w:t xml:space="preserve"> </w:t>
      </w:r>
      <w:r>
        <w:t xml:space="preserve">(„Choose logo…“): wählen Sie eine Bilddatei (PNG, JPG, SVG, WEBP</w:t>
      </w:r>
      <w:r>
        <w:t xml:space="preserve"> </w:t>
      </w:r>
      <w:r>
        <w:t xml:space="preserve">oder GIF); die Vorschau zeigt das Bild sofort.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Homepage</w:t>
      </w:r>
      <w:r>
        <w:t xml:space="preserve"> </w:t>
      </w:r>
      <w:r>
        <w:t xml:space="preserve">(„Homepage URI”, optional): die Website Ihres Unternehmens.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Organisations-WebID</w:t>
      </w:r>
      <w:r>
        <w:t xml:space="preserve"> </w:t>
      </w:r>
      <w:r>
        <w:t xml:space="preserve">(„Organisation WebID”, optional): besitzt Ihr</w:t>
      </w:r>
      <w:r>
        <w:t xml:space="preserve"> </w:t>
      </w:r>
      <w:r>
        <w:t xml:space="preserve">Unternehmen eine eigene WebID, verknüpfen Sie sie hier.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Speichern:</w:t>
      </w:r>
      <w:r>
        <w:t xml:space="preserve"> </w:t>
      </w:r>
      <w:r>
        <w:t xml:space="preserve">Bestätigen Sie mit „Save”.</w:t>
      </w:r>
    </w:p>
    <w:p>
      <w:pPr>
        <w:pStyle w:val="FirstParagraph"/>
      </w:pPr>
      <w:r>
        <w:t xml:space="preserve">Sie müssen</w:t>
      </w:r>
      <w:r>
        <w:t xml:space="preserve"> </w:t>
      </w:r>
      <w:r>
        <w:rPr>
          <w:b/>
          <w:bCs/>
        </w:rPr>
        <w:t xml:space="preserve">keine Rolle</w:t>
      </w:r>
      <w:r>
        <w:t xml:space="preserve"> </w:t>
      </w:r>
      <w:r>
        <w:t xml:space="preserve">festlegen, um Gebäude anzulegen: Jedes Gebäude und seine</w:t>
      </w:r>
      <w:r>
        <w:t xml:space="preserve"> </w:t>
      </w:r>
      <w:r>
        <w:t xml:space="preserve">Energiedaten werden ohne Rollenzuordnung erfasst, lediglich mit Ihrer WebID als</w:t>
      </w:r>
      <w:r>
        <w:t xml:space="preserve"> </w:t>
      </w:r>
      <w:r>
        <w:t xml:space="preserve">Datenproduzent vermerkt. Rollen kommen ausschließlich in</w:t>
      </w:r>
      <w:r>
        <w:t xml:space="preserve"> </w:t>
      </w:r>
      <w:r>
        <w:rPr>
          <w:b/>
          <w:bCs/>
        </w:rPr>
        <w:t xml:space="preserve">Datenräumen</w:t>
      </w:r>
      <w:r>
        <w:t xml:space="preserve"> </w:t>
      </w:r>
      <w:r>
        <w:t xml:space="preserve">zum Einsatz</w:t>
      </w:r>
      <w:r>
        <w:t xml:space="preserve"> </w:t>
      </w:r>
      <w:r>
        <w:t xml:space="preserve">(siehe „Rollenbasierte Freigaben”). Der „Add Building”-Dialog zeigt für alle Gebäude</w:t>
      </w:r>
      <w:r>
        <w:t xml:space="preserve"> </w:t>
      </w:r>
      <w:r>
        <w:t xml:space="preserve">dieselbe, einheitliche Eingabemaske.</w:t>
      </w:r>
    </w:p>
    <w:p>
      <w:pPr>
        <w:pStyle w:val="BodyText"/>
      </w:pPr>
      <w:r>
        <w:t xml:space="preserve">Das Firmenlogo erscheint anschließend im Hinweisfenster, das sich öffnet, wenn</w:t>
      </w:r>
      <w:r>
        <w:t xml:space="preserve"> </w:t>
      </w:r>
      <w:r>
        <w:t xml:space="preserve">man auf der Karte mit der Maus über eine Gebäude-Markierung fährt (siehe</w:t>
      </w:r>
      <w:r>
        <w:t xml:space="preserve"> </w:t>
      </w:r>
      <w:r>
        <w:t xml:space="preserve">Abschnitt „Daten ansehen”), und steigert so die Wiedererkennbarkeit gegenüber</w:t>
      </w:r>
      <w:r>
        <w:t xml:space="preserve"> </w:t>
      </w:r>
      <w:r>
        <w:t xml:space="preserve">Geschäftspartnern.</w:t>
      </w:r>
    </w:p>
    <w:p>
      <w:pPr>
        <w:pStyle w:val="BlockText"/>
      </w:pPr>
      <w:r>
        <w:rPr>
          <w:b/>
          <w:bCs/>
        </w:rPr>
        <w:t xml:space="preserve">Hinweis:</w:t>
      </w:r>
      <w:r>
        <w:t xml:space="preserve"> </w:t>
      </w:r>
      <w:r>
        <w:t xml:space="preserve">Ihr persönlicher</w:t>
      </w:r>
      <w:r>
        <w:t xml:space="preserve"> </w:t>
      </w:r>
      <w:r>
        <w:rPr>
          <w:b/>
          <w:bCs/>
        </w:rPr>
        <w:t xml:space="preserve">Anzeigename</w:t>
      </w:r>
      <w:r>
        <w:t xml:space="preserve"> </w:t>
      </w:r>
      <w:r>
        <w:t xml:space="preserve">und Ihr Profilbild stammen aus</w:t>
      </w:r>
      <w:r>
        <w:t xml:space="preserve"> </w:t>
      </w:r>
      <w:r>
        <w:t xml:space="preserve">Ihrem Solid-WebID-Profil (Teil Ihrer Identität, gepflegt bei Ihrem Identity</w:t>
      </w:r>
      <w:r>
        <w:t xml:space="preserve"> </w:t>
      </w:r>
      <w:r>
        <w:t xml:space="preserve">Provider), nicht aus diesem</w:t>
      </w:r>
      <w:r>
        <w:t xml:space="preserve"> </w:t>
      </w:r>
      <w:r>
        <w:t xml:space="preserve">Dialog. Ist dort ein Name hinterlegt, erscheint er überall dort, wo die</w:t>
      </w:r>
      <w:r>
        <w:t xml:space="preserve"> </w:t>
      </w:r>
      <w:r>
        <w:t xml:space="preserve">Granergize-App Sie als Person ausweist – etwa als Absender einer Freigabe.</w:t>
      </w:r>
    </w:p>
    <w:bookmarkEnd w:id="67"/>
    <w:bookmarkStart w:id="77" w:name="Xdbc935233a015ae8edf22cc414651fc0f22dd02"/>
    <w:p>
      <w:pPr>
        <w:pStyle w:val="Heading2"/>
      </w:pPr>
      <w:r>
        <w:t xml:space="preserve">Wie die Granergize-App Gebäudedaten organisiert und sicher freigibt</w:t>
      </w:r>
    </w:p>
    <w:p>
      <w:pPr>
        <w:pStyle w:val="FirstParagraph"/>
      </w:pPr>
      <w:r>
        <w:t xml:space="preserve">Sie haben die volle Kontrolle darüber, wer welche Ihrer Gebäudedaten sehen darf.</w:t>
      </w:r>
      <w:r>
        <w:t xml:space="preserve"> </w:t>
      </w:r>
      <w:r>
        <w:t xml:space="preserve">Die Granergize-App baut auf dem Solid-Prinzip auf, das eine klare Trennung vorsieht: Ihre</w:t>
      </w:r>
      <w:r>
        <w:t xml:space="preserve"> </w:t>
      </w:r>
      <w:r>
        <w:t xml:space="preserve">Identität, Ihre Daten und die Anwendungen, die darauf zugreifen, sind voneinander</w:t>
      </w:r>
      <w:r>
        <w:t xml:space="preserve"> </w:t>
      </w:r>
      <w:r>
        <w:t xml:space="preserve">unabhängig. Das bedeutet konkret: Ihre</w:t>
      </w:r>
      <w:r>
        <w:t xml:space="preserve"> </w:t>
      </w:r>
      <w:r>
        <w:rPr>
          <w:b/>
          <w:bCs/>
        </w:rPr>
        <w:t xml:space="preserve">Identität</w:t>
      </w:r>
      <w:r>
        <w:t xml:space="preserve"> </w:t>
      </w:r>
      <w:r>
        <w:t xml:space="preserve">ist Ihre WebID samt Profil –</w:t>
      </w:r>
      <w:r>
        <w:t xml:space="preserve"> </w:t>
      </w:r>
      <w:r>
        <w:t xml:space="preserve">sie weist Sie aus, unabhängig davon, wo Ihre Daten liegen. Ihre</w:t>
      </w:r>
      <w:r>
        <w:t xml:space="preserve"> </w:t>
      </w:r>
      <w:r>
        <w:rPr>
          <w:b/>
          <w:bCs/>
        </w:rPr>
        <w:t xml:space="preserve">Daten</w:t>
      </w:r>
      <w:r>
        <w:t xml:space="preserve"> </w:t>
      </w:r>
      <w:r>
        <w:t xml:space="preserve">gehören</w:t>
      </w:r>
      <w:r>
        <w:t xml:space="preserve"> </w:t>
      </w:r>
      <w:r>
        <w:t xml:space="preserve">Ihnen und liegen auf Ihrem eigenen Solid Pod – nicht auf einem Server, den andere</w:t>
      </w:r>
      <w:r>
        <w:t xml:space="preserve"> </w:t>
      </w:r>
      <w:r>
        <w:t xml:space="preserve">kontrollieren. Und die</w:t>
      </w:r>
      <w:r>
        <w:t xml:space="preserve"> </w:t>
      </w:r>
      <w:r>
        <w:rPr>
          <w:b/>
          <w:bCs/>
        </w:rPr>
        <w:t xml:space="preserve">Anwendung</w:t>
      </w:r>
      <w:r>
        <w:t xml:space="preserve"> </w:t>
      </w:r>
      <w:r>
        <w:t xml:space="preserve">ist austauschbar: die Granergize-App ist eine von</w:t>
      </w:r>
      <w:r>
        <w:t xml:space="preserve"> </w:t>
      </w:r>
      <w:r>
        <w:t xml:space="preserve">beliebig vielen Anwendungen, die – jeweils nur mit Ihrer Erlaubnis – auf dieselben</w:t>
      </w:r>
      <w:r>
        <w:t xml:space="preserve"> </w:t>
      </w:r>
      <w:r>
        <w:t xml:space="preserve">Daten zugreifen können; keiner der drei Bausteine bindet Sie an die anderen.</w:t>
      </w:r>
      <w:r>
        <w:t xml:space="preserve"> </w:t>
      </w:r>
      <w:r>
        <w:t xml:space="preserve">Die Anwendung selbst ist quelloffen und kann wie Identität und Speicher auf</w:t>
      </w:r>
      <w:r>
        <w:t xml:space="preserve"> </w:t>
      </w:r>
      <w:r>
        <w:t xml:space="preserve">eigener Infrastruktur betrieben werden (siehe Abschnitt „Was steckt hinter</w:t>
      </w:r>
      <w:r>
        <w:t xml:space="preserve"> </w:t>
      </w:r>
      <w:r>
        <w:t xml:space="preserve">Granergize”).</w:t>
      </w:r>
    </w:p>
    <w:bookmarkStart w:id="71" w:name="Xe523239d3eebc2da33e71867c867871d14e4b8a"/>
    <w:p>
      <w:pPr>
        <w:pStyle w:val="Heading3"/>
      </w:pPr>
      <w:r>
        <w:t xml:space="preserve">Zugriffskontrolle über Web Access Control (WAC)</w:t>
      </w:r>
    </w:p>
    <w:p>
      <w:pPr>
        <w:pStyle w:val="FirstParagraph"/>
      </w:pPr>
      <w:r>
        <w:t xml:space="preserve">Wenn Sie eine Datei mit einem Kollegen teilen möchten – zum Beispiel ein</w:t>
      </w:r>
      <w:r>
        <w:t xml:space="preserve"> </w:t>
      </w:r>
      <w:r>
        <w:t xml:space="preserve">Energiezertifikat im PDF-Format oder die Verbrauchsdaten eines Gebäudes – legen</w:t>
      </w:r>
      <w:r>
        <w:t xml:space="preserve"> </w:t>
      </w:r>
      <w:r>
        <w:t xml:space="preserve">Sie fest, welche Rechte diese Person erhält: nur lesen oder auch ändern. Diese</w:t>
      </w:r>
      <w:r>
        <w:t xml:space="preserve"> </w:t>
      </w:r>
      <w:r>
        <w:t xml:space="preserve">Berechtigungen werden technisch über Zugriffskontroll-Dateien (Access Control</w:t>
      </w:r>
      <w:r>
        <w:t xml:space="preserve"> </w:t>
      </w:r>
      <w:r>
        <w:t xml:space="preserve">Lists, ACL) geregelt, die die App automatisch im Hintergrund erstellt, wenn</w:t>
      </w:r>
      <w:r>
        <w:t xml:space="preserve"> </w:t>
      </w:r>
      <w:r>
        <w:t xml:space="preserve">Sie auf „Teilen” klicken.</w:t>
      </w:r>
    </w:p>
    <w:p>
      <w:pPr>
        <w:pStyle w:val="BodyText"/>
      </w:pPr>
      <w:r>
        <w:t xml:space="preserve">Stellen Sie sich das wie ein digitales Dokumentenmanagementsystem vor: Jede Datei</w:t>
      </w:r>
      <w:r>
        <w:t xml:space="preserve"> </w:t>
      </w:r>
      <w:r>
        <w:t xml:space="preserve">in Ihrem Pod kann individuell freigegeben werden. Sie können einem</w:t>
      </w:r>
      <w:r>
        <w:t xml:space="preserve"> </w:t>
      </w:r>
      <w:r>
        <w:t xml:space="preserve">Geschäftspartner Zugriff auf die Energiedaten von Gebäude A geben, ohne dass</w:t>
      </w:r>
      <w:r>
        <w:t xml:space="preserve"> </w:t>
      </w:r>
      <w:r>
        <w:t xml:space="preserve">dieser Zugriff auf Gebäude B oder C erhält. Diese granulare Kontrolle ist ein</w:t>
      </w:r>
      <w:r>
        <w:t xml:space="preserve"> </w:t>
      </w:r>
      <w:r>
        <w:t xml:space="preserve">Kernvorteil des Solid-Ansatzes.</w:t>
      </w:r>
    </w:p>
    <w:p>
      <w:pPr>
        <w:pStyle w:val="CaptionedFigure"/>
      </w:pPr>
      <w:r>
        <w:drawing>
          <wp:inline>
            <wp:extent cx="4533900" cy="3602134"/>
            <wp:effectExtent b="0" l="0" r="0" t="0"/>
            <wp:docPr descr="Web Access Control (WAC): Eine ACL-Datei legt fest, wer (Agent) welche Zugriffsmodi (Read, Write, Control) auf eine Ressource erhält." title="" id="69" name="Picture"/>
            <a:graphic>
              <a:graphicData uri="http://schemas.openxmlformats.org/drawingml/2006/picture">
                <pic:pic>
                  <pic:nvPicPr>
                    <pic:cNvPr descr="figures/wac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6021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Web Access Control (WAC): Eine ACL-Datei legt fest, wer (Agent) welche Zugriffsmodi (Read, Write, Control) auf eine Ressource erhält.</w:t>
      </w:r>
    </w:p>
    <w:p>
      <w:pPr>
        <w:pStyle w:val="BlockText"/>
      </w:pPr>
      <w:r>
        <w:rPr>
          <w:b/>
          <w:bCs/>
        </w:rPr>
        <w:t xml:space="preserve">Technische Details (für Administratoren)</w:t>
      </w:r>
    </w:p>
    <w:p>
      <w:pPr>
        <w:pStyle w:val="BlockText"/>
      </w:pPr>
      <w:r>
        <w:t xml:space="preserve">Solid (Social Linked Data) basiert auf der Trennung von Identität, Daten und</w:t>
      </w:r>
      <w:r>
        <w:t xml:space="preserve"> </w:t>
      </w:r>
      <w:r>
        <w:t xml:space="preserve">Anwendungen. Jede Ressource auf einem Solid Pod kann über eine</w:t>
      </w:r>
      <w:r>
        <w:t xml:space="preserve"> </w:t>
      </w:r>
      <w:r>
        <w:rPr>
          <w:rStyle w:val="VerbatimChar"/>
        </w:rPr>
        <w:t xml:space="preserve">.acl</w:t>
      </w:r>
      <w:r>
        <w:t xml:space="preserve">-Datei</w:t>
      </w:r>
      <w:r>
        <w:t xml:space="preserve"> </w:t>
      </w:r>
      <w:r>
        <w:t xml:space="preserve">geschützt werden, die definiert,</w:t>
      </w:r>
      <w:r>
        <w:t xml:space="preserve"> </w:t>
      </w:r>
      <w:r>
        <w:rPr>
          <w:b/>
          <w:bCs/>
        </w:rPr>
        <w:t xml:space="preserve">wer</w:t>
      </w:r>
      <w:r>
        <w:t xml:space="preserve"> </w:t>
      </w:r>
      <w:r>
        <w:t xml:space="preserve">(</w:t>
      </w:r>
      <w:r>
        <w:rPr>
          <w:rStyle w:val="VerbatimChar"/>
        </w:rPr>
        <w:t xml:space="preserve">acl:agent</w:t>
      </w:r>
      <w:r>
        <w:t xml:space="preserve">) zugreifen darf und</w:t>
      </w:r>
      <w:r>
        <w:t xml:space="preserve"> </w:t>
      </w:r>
      <w:r>
        <w:rPr>
          <w:b/>
          <w:bCs/>
        </w:rPr>
        <w:t xml:space="preserve">welche Aktionen</w:t>
      </w:r>
      <w:r>
        <w:t xml:space="preserve"> </w:t>
      </w:r>
      <w:r>
        <w:t xml:space="preserve">(</w:t>
      </w:r>
      <w:r>
        <w:rPr>
          <w:rStyle w:val="VerbatimChar"/>
        </w:rPr>
        <w:t xml:space="preserve">acl:mode</w:t>
      </w:r>
      <w:r>
        <w:t xml:space="preserve">: Read, Write, Append, Control) erlaubt sind.</w:t>
      </w:r>
      <w:r>
        <w:t xml:space="preserve"> </w:t>
      </w:r>
      <w:r>
        <w:t xml:space="preserve">Beispiel – ein Energiezertifikat teilen:</w:t>
      </w:r>
    </w:p>
    <w:p>
      <w:pPr>
        <w:pStyle w:val="SourceCode"/>
      </w:pPr>
      <w:r>
        <w:rPr>
          <w:rStyle w:val="VerbatimChar"/>
        </w:rPr>
        <w:t xml:space="preserve"># Datei: …/building-123-certificate.pdf.acl</w:t>
      </w:r>
      <w:r>
        <w:br/>
      </w:r>
      <w:r>
        <w:rPr>
          <w:rStyle w:val="VerbatimChar"/>
        </w:rPr>
        <w:t xml:space="preserve">@prefix acl: &lt;http://www.w3.org/ns/auth/acl#&gt; .</w:t>
      </w:r>
      <w:r>
        <w:br/>
      </w:r>
      <w:r>
        <w:br/>
      </w:r>
      <w:r>
        <w:rPr>
          <w:rStyle w:val="VerbatimChar"/>
        </w:rPr>
        <w:t xml:space="preserve">&lt;#owner&gt; a acl:Authorization ;</w:t>
      </w:r>
      <w:r>
        <w:br/>
      </w:r>
      <w:r>
        <w:rPr>
          <w:rStyle w:val="VerbatimChar"/>
        </w:rPr>
        <w:t xml:space="preserve">  acl:agent   &lt;https://alice.solidcommunity.net/profile/card#me&gt; ;</w:t>
      </w:r>
      <w:r>
        <w:br/>
      </w:r>
      <w:r>
        <w:rPr>
          <w:rStyle w:val="VerbatimChar"/>
        </w:rPr>
        <w:t xml:space="preserve">  acl:accessTo &lt;./building-123-certificate.pdf&gt; ;</w:t>
      </w:r>
      <w:r>
        <w:br/>
      </w:r>
      <w:r>
        <w:rPr>
          <w:rStyle w:val="VerbatimChar"/>
        </w:rPr>
        <w:t xml:space="preserve">  acl:mode    acl:Read, acl:Write, acl:Control .</w:t>
      </w:r>
      <w:r>
        <w:br/>
      </w:r>
      <w:r>
        <w:br/>
      </w:r>
      <w:r>
        <w:rPr>
          <w:rStyle w:val="VerbatimChar"/>
        </w:rPr>
        <w:t xml:space="preserve">&lt;#shared&gt; a acl:Authorization ;</w:t>
      </w:r>
      <w:r>
        <w:br/>
      </w:r>
      <w:r>
        <w:rPr>
          <w:rStyle w:val="VerbatimChar"/>
        </w:rPr>
        <w:t xml:space="preserve">  acl:agent   &lt;https://bob.solidcommunity.net/profile/card#me&gt; ;</w:t>
      </w:r>
      <w:r>
        <w:br/>
      </w:r>
      <w:r>
        <w:rPr>
          <w:rStyle w:val="VerbatimChar"/>
        </w:rPr>
        <w:t xml:space="preserve">  acl:accessTo &lt;./building-123-certificate.pdf&gt; ;</w:t>
      </w:r>
      <w:r>
        <w:br/>
      </w:r>
      <w:r>
        <w:rPr>
          <w:rStyle w:val="VerbatimChar"/>
        </w:rPr>
        <w:t xml:space="preserve">  acl:mode    acl:Read .</w:t>
      </w:r>
    </w:p>
    <w:bookmarkEnd w:id="71"/>
    <w:bookmarkStart w:id="75" w:name="die-strukturierte-datenbasis"/>
    <w:p>
      <w:pPr>
        <w:pStyle w:val="Heading3"/>
      </w:pPr>
      <w:r>
        <w:t xml:space="preserve">Die strukturierte Datenbasis</w:t>
      </w:r>
    </w:p>
    <w:p>
      <w:pPr>
        <w:pStyle w:val="FirstParagraph"/>
      </w:pPr>
      <w:r>
        <w:t xml:space="preserve">Die Granergize-App speichert Ihre Gebäude- und Energiedaten in einer strukturierten Form,</w:t>
      </w:r>
      <w:r>
        <w:t xml:space="preserve"> </w:t>
      </w:r>
      <w:r>
        <w:t xml:space="preserve">die mehrere Vorteile bietet. Das System nutzt ein Datenmodell, das auf</w:t>
      </w:r>
      <w:r>
        <w:t xml:space="preserve"> </w:t>
      </w:r>
      <w:r>
        <w:t xml:space="preserve">internationalen Standards basiert – dadurch können Daten aus verschiedenen</w:t>
      </w:r>
      <w:r>
        <w:t xml:space="preserve"> </w:t>
      </w:r>
      <w:r>
        <w:t xml:space="preserve">Quellen problemlos zusammengeführt werden, und andere Anwendungen können Ihre</w:t>
      </w:r>
      <w:r>
        <w:t xml:space="preserve"> </w:t>
      </w:r>
      <w:r>
        <w:t xml:space="preserve">Daten ebenfalls lesen, falls Sie das wünschen.</w:t>
      </w:r>
    </w:p>
    <w:p>
      <w:pPr>
        <w:pStyle w:val="BodyText"/>
      </w:pPr>
      <w:r>
        <w:t xml:space="preserve">Die App trennt grundsätzlich zwei Arten von Informationen:</w:t>
      </w:r>
      <w:r>
        <w:t xml:space="preserve"> </w:t>
      </w:r>
      <w:r>
        <w:rPr>
          <w:b/>
          <w:bCs/>
        </w:rPr>
        <w:t xml:space="preserve">statische</w:t>
      </w:r>
      <w:r>
        <w:rPr>
          <w:b/>
          <w:bCs/>
        </w:rPr>
        <w:t xml:space="preserve"> </w:t>
      </w:r>
      <w:r>
        <w:rPr>
          <w:b/>
          <w:bCs/>
        </w:rPr>
        <w:t xml:space="preserve">Metadaten</w:t>
      </w:r>
      <w:r>
        <w:t xml:space="preserve"> </w:t>
      </w:r>
      <w:r>
        <w:t xml:space="preserve">(Adresse, Baujahr, Fläche, Nutzungsart) und</w:t>
      </w:r>
      <w:r>
        <w:t xml:space="preserve"> </w:t>
      </w:r>
      <w:r>
        <w:rPr>
          <w:b/>
          <w:bCs/>
        </w:rPr>
        <w:t xml:space="preserve">Energiemessdaten</w:t>
      </w:r>
      <w:r>
        <w:t xml:space="preserve"> </w:t>
      </w:r>
      <w:r>
        <w:t xml:space="preserve">(Strom-, Gas-, Wärme- und Wasserverbrauch pro Jahr). Diese Trennung ist</w:t>
      </w:r>
      <w:r>
        <w:t xml:space="preserve"> </w:t>
      </w:r>
      <w:r>
        <w:t xml:space="preserve">entscheidend: Die Metadaten eines Gebäudes – wo es steht, wie groß es ist, ob</w:t>
      </w:r>
      <w:r>
        <w:t xml:space="preserve"> </w:t>
      </w:r>
      <w:r>
        <w:t xml:space="preserve">eine Photovoltaik-Anlage installiert ist – können Sie mit jemandem teilen, ohne</w:t>
      </w:r>
      <w:r>
        <w:t xml:space="preserve"> </w:t>
      </w:r>
      <w:r>
        <w:t xml:space="preserve">dass dieser die sensiblen Verbrauchswerte sieht. Umgekehrt können Sie jemandem</w:t>
      </w:r>
      <w:r>
        <w:t xml:space="preserve"> </w:t>
      </w:r>
      <w:r>
        <w:t xml:space="preserve">Zugriff auf die Energiedaten eines bestimmten Jahres geben, ohne ältere Jahre</w:t>
      </w:r>
      <w:r>
        <w:t xml:space="preserve"> </w:t>
      </w:r>
      <w:r>
        <w:t xml:space="preserve">freizugeben.</w:t>
      </w:r>
    </w:p>
    <w:p>
      <w:pPr>
        <w:pStyle w:val="BodyText"/>
      </w:pPr>
      <w:r>
        <w:t xml:space="preserve">Für jedes Gebäude erstellt die App eine Hauptdatei mit allen Stammdaten</w:t>
      </w:r>
      <w:r>
        <w:t xml:space="preserve"> </w:t>
      </w:r>
      <w:r>
        <w:t xml:space="preserve">(geografische Koordinaten für die Karte, Adresse, Flächen, Baujahr, Information</w:t>
      </w:r>
      <w:r>
        <w:t xml:space="preserve"> </w:t>
      </w:r>
      <w:r>
        <w:t xml:space="preserve">über vorhandene Photovoltaik-Anlagen). Diese Datei verweist auf separate</w:t>
      </w:r>
      <w:r>
        <w:t xml:space="preserve"> </w:t>
      </w:r>
      <w:r>
        <w:t xml:space="preserve">Energiedateien – für jedes Jahr eine eigene Datei. Jede dieser Dateien kann</w:t>
      </w:r>
      <w:r>
        <w:t xml:space="preserve"> </w:t>
      </w:r>
      <w:r>
        <w:t xml:space="preserve">individuell freigegeben werden. Wenn Sie einem Geschäftspartner Zugriff geben,</w:t>
      </w:r>
      <w:r>
        <w:t xml:space="preserve"> </w:t>
      </w:r>
      <w:r>
        <w:t xml:space="preserve">können Sie also präzise steuern: nur Metadaten, nur die Energiedaten eines</w:t>
      </w:r>
      <w:r>
        <w:t xml:space="preserve"> </w:t>
      </w:r>
      <w:r>
        <w:t xml:space="preserve">bestimmten Jahres oder alles.</w:t>
      </w:r>
    </w:p>
    <w:p>
      <w:pPr>
        <w:pStyle w:val="CaptionedFigure"/>
      </w:pPr>
      <w:r>
        <w:drawing>
          <wp:inline>
            <wp:extent cx="4000500" cy="2299865"/>
            <wp:effectExtent b="0" l="0" r="0" t="0"/>
            <wp:docPr descr="Struktur des Wissensgraphen: Aufteilung in statische Metadaten und nach Jahren strukturierte Energiemessdaten – jeder Zweig in eigener Datei mit eigener Zugriffskontrolle." title="" id="73" name="Picture"/>
            <a:graphic>
              <a:graphicData uri="http://schemas.openxmlformats.org/drawingml/2006/picture">
                <pic:pic>
                  <pic:nvPicPr>
                    <pic:cNvPr descr="figures/wissensgraph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99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Struktur des Wissensgraphen: Aufteilung in statische Metadaten und nach Jahren strukturierte Energiemessdaten – jeder Zweig in eigener Datei mit eigener Zugriffskontrolle.</w:t>
      </w:r>
    </w:p>
    <w:bookmarkEnd w:id="75"/>
    <w:bookmarkStart w:id="76" w:name="verknüpfung-mit-externem-wissen"/>
    <w:p>
      <w:pPr>
        <w:pStyle w:val="Heading3"/>
      </w:pPr>
      <w:r>
        <w:t xml:space="preserve">Verknüpfung mit externem Wissen</w:t>
      </w:r>
    </w:p>
    <w:p>
      <w:pPr>
        <w:pStyle w:val="FirstParagraph"/>
      </w:pPr>
      <w:r>
        <w:t xml:space="preserve">Ein weiterer Vorteil der strukturierten Datenbasis: die App kann Ihre</w:t>
      </w:r>
      <w:r>
        <w:t xml:space="preserve"> </w:t>
      </w:r>
      <w:r>
        <w:t xml:space="preserve">Gebäudedaten mit externen Informationsquellen verknüpfen. So lassen sich etwa</w:t>
      </w:r>
      <w:r>
        <w:t xml:space="preserve"> </w:t>
      </w:r>
      <w:r>
        <w:t xml:space="preserve">Wetterdaten für eine Region heranziehen, um äußere Einflüsse auf den</w:t>
      </w:r>
      <w:r>
        <w:t xml:space="preserve"> </w:t>
      </w:r>
      <w:r>
        <w:t xml:space="preserve">Energieverbrauch (z. B. über Heizgradtage) einzuordnen, oder internationale</w:t>
      </w:r>
      <w:r>
        <w:t xml:space="preserve"> </w:t>
      </w:r>
      <w:r>
        <w:t xml:space="preserve">Referenzwerte für eine Gebäudeklassifikation berücksichtigen. In der aktuellen</w:t>
      </w:r>
      <w:r>
        <w:t xml:space="preserve"> </w:t>
      </w:r>
      <w:r>
        <w:t xml:space="preserve">Anwendung steht hierzu bereits eine Wetterdatenansicht je Gebäude zur Verfügung</w:t>
      </w:r>
      <w:r>
        <w:t xml:space="preserve"> </w:t>
      </w:r>
      <w:r>
        <w:t xml:space="preserve">(Reiter</w:t>
      </w:r>
      <w:r>
        <w:t xml:space="preserve"> </w:t>
      </w:r>
      <w:r>
        <w:rPr>
          <w:b/>
          <w:bCs/>
        </w:rPr>
        <w:t xml:space="preserve">Weather data</w:t>
      </w:r>
      <w:r>
        <w:t xml:space="preserve">); die automatische Normalisierung von Verbräuchen anhand</w:t>
      </w:r>
      <w:r>
        <w:t xml:space="preserve"> </w:t>
      </w:r>
      <w:r>
        <w:t xml:space="preserve">von Wetterdaten ist Gegenstand der Weiterentwicklung.</w:t>
      </w:r>
    </w:p>
    <w:p>
      <w:pPr>
        <w:pStyle w:val="BlockText"/>
      </w:pPr>
      <w:r>
        <w:rPr>
          <w:b/>
          <w:bCs/>
        </w:rPr>
        <w:t xml:space="preserve">Technische Details (für Administratoren) – verwendete Vokabulare</w:t>
      </w:r>
    </w:p>
    <w:p>
      <w:pPr>
        <w:pStyle w:val="BlockText"/>
      </w:pPr>
      <w:r>
        <w:t xml:space="preserve">Die Granergize-Ontologie kombiniert etablierte Vokabulare mit</w:t>
      </w:r>
      <w:r>
        <w:t xml:space="preserve"> </w:t>
      </w:r>
      <w:r>
        <w:t xml:space="preserve">domänenspezifischen Erweiterungen: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rec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https://w3id.org/rec#</w:t>
      </w:r>
      <w:r>
        <w:t xml:space="preserve">) – Gebäudeklassifikationen, Agenten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sosa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http://www.w3.org/ns/sosa/</w:t>
      </w:r>
      <w:r>
        <w:t xml:space="preserve">) – Messwerte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ssn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http://www.w3.org/ns/ssn/</w:t>
      </w:r>
      <w:r>
        <w:t xml:space="preserve">) – Messwert-Metadaten, Einheiten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schema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http://schema.org/</w:t>
      </w:r>
      <w:r>
        <w:t xml:space="preserve">) – Organisationen, Kunden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vcard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http://www.w3.org/2006/vcard/ns#</w:t>
      </w:r>
      <w:r>
        <w:t xml:space="preserve">) – Postadressen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geo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http://www.w3.org/2003/01/geo/wgs84_pos#</w:t>
      </w:r>
      <w:r>
        <w:t xml:space="preserve">) – GPS-Koordinaten (WGS84)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xsd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http://www.w3.org/2001/XMLSchema#</w:t>
      </w:r>
      <w:r>
        <w:t xml:space="preserve">) – Datentypen (integer, decimal,</w:t>
      </w:r>
      <w:r>
        <w:t xml:space="preserve"> </w:t>
      </w:r>
      <w:r>
        <w:t xml:space="preserve">dateTime …)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gran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https://solid.ti.rw.fau.de/gra/vocab.ttl#</w:t>
      </w:r>
      <w:r>
        <w:t xml:space="preserve">) – Granergize-spezifische</w:t>
      </w:r>
      <w:r>
        <w:t xml:space="preserve"> </w:t>
      </w:r>
      <w:r>
        <w:t xml:space="preserve">Erweiterungen</w:t>
      </w:r>
    </w:p>
    <w:bookmarkEnd w:id="76"/>
    <w:bookmarkEnd w:id="77"/>
    <w:bookmarkStart w:id="81" w:name="gebäude-hinzufügen"/>
    <w:p>
      <w:pPr>
        <w:pStyle w:val="Heading2"/>
      </w:pPr>
      <w:r>
        <w:t xml:space="preserve">Gebäude hinzufügen</w:t>
      </w:r>
    </w:p>
    <w:p>
      <w:pPr>
        <w:pStyle w:val="FirstParagraph"/>
      </w:pPr>
      <w:r>
        <w:t xml:space="preserve">Im Tab</w:t>
      </w:r>
      <w:r>
        <w:t xml:space="preserve"> </w:t>
      </w:r>
      <w:r>
        <w:rPr>
          <w:b/>
          <w:bCs/>
        </w:rPr>
        <w:t xml:space="preserve">Manage</w:t>
      </w:r>
      <w:r>
        <w:t xml:space="preserve"> </w:t>
      </w:r>
      <w:r>
        <w:t xml:space="preserve">bündelt eine Aktionsleiste über der Liste „Your buildings”</w:t>
      </w:r>
      <w:r>
        <w:t xml:space="preserve"> </w:t>
      </w:r>
      <w:r>
        <w:t xml:space="preserve">alle Aktionen, die den Bestand betreffen. Zum Erfassen stehen zwei Wege zur</w:t>
      </w:r>
      <w:r>
        <w:t xml:space="preserve"> </w:t>
      </w:r>
      <w:r>
        <w:t xml:space="preserve">Verfügung: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Add Building:</w:t>
      </w:r>
      <w:r>
        <w:t xml:space="preserve"> </w:t>
      </w:r>
      <w:r>
        <w:t xml:space="preserve">Ein einzelnes Gebäude über das Formular erfassen (Adresse,</w:t>
      </w:r>
      <w:r>
        <w:t xml:space="preserve"> </w:t>
      </w:r>
      <w:r>
        <w:t xml:space="preserve">Koordinaten, Fläche usw.). Für alle Gebäude erscheint dieselbe, einheitliche</w:t>
      </w:r>
      <w:r>
        <w:t xml:space="preserve"> </w:t>
      </w:r>
      <w:r>
        <w:t xml:space="preserve">Eingabemaske – es gibt keine Rollen- oder Vorlagenauswahl mehr. Über „Get</w:t>
      </w:r>
      <w:r>
        <w:t xml:space="preserve"> </w:t>
      </w:r>
      <w:r>
        <w:t xml:space="preserve">coordinates” können die Koordinaten aus der Adresse automatisch ermittelt werden.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Autofill from file:</w:t>
      </w:r>
      <w:r>
        <w:t xml:space="preserve"> </w:t>
      </w:r>
      <w:r>
        <w:t xml:space="preserve">Mehrere Gebäude auf einmal aus einer Excel-Datei</w:t>
      </w:r>
      <w:r>
        <w:t xml:space="preserve"> </w:t>
      </w:r>
      <w:r>
        <w:t xml:space="preserve">einlesen. Das Tabellenformat wird beim Hochladen</w:t>
      </w:r>
      <w:r>
        <w:t xml:space="preserve"> </w:t>
      </w:r>
      <w:r>
        <w:rPr>
          <w:b/>
          <w:bCs/>
        </w:rPr>
        <w:t xml:space="preserve">automatisch erkannt</w:t>
      </w:r>
      <w:r>
        <w:t xml:space="preserve"> </w:t>
      </w:r>
      <w:r>
        <w:t xml:space="preserve">(bei</w:t>
      </w:r>
      <w:r>
        <w:t xml:space="preserve"> </w:t>
      </w:r>
      <w:r>
        <w:t xml:space="preserve">Bedarf über „File format” manuell überschreibbar); enthält die Datei auch</w:t>
      </w:r>
      <w:r>
        <w:t xml:space="preserve"> </w:t>
      </w:r>
      <w:r>
        <w:t xml:space="preserve">Energiedaten, werden diese mit übernommen – sowohl</w:t>
      </w:r>
      <w:r>
        <w:t xml:space="preserve"> </w:t>
      </w:r>
      <w:r>
        <w:rPr>
          <w:b/>
          <w:bCs/>
        </w:rPr>
        <w:t xml:space="preserve">Jahreswerte</w:t>
      </w:r>
      <w:r>
        <w:t xml:space="preserve"> </w:t>
      </w:r>
      <w:r>
        <w:t xml:space="preserve">als auch</w:t>
      </w:r>
      <w:r>
        <w:t xml:space="preserve"> </w:t>
      </w:r>
      <w:r>
        <w:rPr>
          <w:b/>
          <w:bCs/>
        </w:rPr>
        <w:t xml:space="preserve">15-Minuten-Lastgänge</w:t>
      </w:r>
      <w:r>
        <w:t xml:space="preserve"> </w:t>
      </w:r>
      <w:r>
        <w:t xml:space="preserve">(das Hochladen einer langen Messreihe lässt sich</w:t>
      </w:r>
      <w:r>
        <w:t xml:space="preserve"> </w:t>
      </w:r>
      <w:r>
        <w:t xml:space="preserve">jederzeit abbrechen). Die eingelesenen Gebäude können Sie vor</w:t>
      </w:r>
      <w:r>
        <w:t xml:space="preserve"> </w:t>
      </w:r>
      <w:r>
        <w:t xml:space="preserve">dem Speichern prüfen und anpassen; fehlende Koordinaten werden automatisch ergänzt.</w:t>
      </w:r>
    </w:p>
    <w:p>
      <w:pPr>
        <w:pStyle w:val="FirstParagraph"/>
      </w:pPr>
      <w:r>
        <w:t xml:space="preserve">Daneben bietet die Aktionsleiste</w:t>
      </w:r>
      <w:r>
        <w:t xml:space="preserve"> </w:t>
      </w:r>
      <w:r>
        <w:rPr>
          <w:b/>
          <w:bCs/>
        </w:rPr>
        <w:t xml:space="preserve">„Download all (Excel)“</w:t>
      </w:r>
      <w:r>
        <w:t xml:space="preserve">: Damit laden Sie</w:t>
      </w:r>
      <w:r>
        <w:t xml:space="preserve"> </w:t>
      </w:r>
      <w:r>
        <w:t xml:space="preserve">alle eigenen Gebäude samt ihrer Jahreswerte in eine gemeinsame Excel-Datei</w:t>
      </w:r>
      <w:r>
        <w:t xml:space="preserve"> </w:t>
      </w:r>
      <w:r>
        <w:t xml:space="preserve">herunter – etwa zur Weitergabe oder als Sicherung.</w:t>
      </w:r>
    </w:p>
    <w:p>
      <w:pPr>
        <w:pStyle w:val="BodyText"/>
      </w:pPr>
      <w:r>
        <w:t xml:space="preserve">Ein gesondertes Template wird</w:t>
      </w:r>
      <w:r>
        <w:t xml:space="preserve"> </w:t>
      </w:r>
      <w:r>
        <w:rPr>
          <w:b/>
          <w:bCs/>
        </w:rPr>
        <w:t xml:space="preserve">nicht benötigt</w:t>
      </w:r>
      <w:r>
        <w:t xml:space="preserve">: Laden Sie ein vorhandenes</w:t>
      </w:r>
      <w:r>
        <w:t xml:space="preserve"> </w:t>
      </w:r>
      <w:r>
        <w:t xml:space="preserve">Gebäude über „Download this building’s data” als Excel-Datei herunter – diese</w:t>
      </w:r>
      <w:r>
        <w:t xml:space="preserve"> </w:t>
      </w:r>
      <w:r>
        <w:t xml:space="preserve">Datei lässt sich (auch ausgefüllt mit eigenen Werten) über „Autofill from file”</w:t>
      </w:r>
      <w:r>
        <w:t xml:space="preserve"> </w:t>
      </w:r>
      <w:r>
        <w:t xml:space="preserve">wieder einlesen und dient damit zugleich als Vorlage. Für einen schnellen Start</w:t>
      </w:r>
      <w:r>
        <w:t xml:space="preserve"> </w:t>
      </w:r>
      <w:r>
        <w:t xml:space="preserve">eignen sich dazu auch die Demo-Gebäude („Add examples”).</w:t>
      </w:r>
    </w:p>
    <w:p>
      <w:pPr>
        <w:pStyle w:val="BodyText"/>
      </w:pPr>
      <w:r>
        <w:t xml:space="preserve">Nachdem Sie die Felder ausgefüllt bzw. die Datei eingelesen haben, klicken Sie auf</w:t>
      </w:r>
      <w:r>
        <w:t xml:space="preserve"> </w:t>
      </w:r>
      <w:r>
        <w:t xml:space="preserve">„Add Building”. Die eingegebenen Daten werden automatisch in das richtige Format</w:t>
      </w:r>
      <w:r>
        <w:t xml:space="preserve"> </w:t>
      </w:r>
      <w:r>
        <w:t xml:space="preserve">(RDF) überführt und in Ihrem Solid Pod gespeichert; anschließend erscheint das</w:t>
      </w:r>
      <w:r>
        <w:t xml:space="preserve"> </w:t>
      </w:r>
      <w:r>
        <w:t xml:space="preserve">Gebäude in der Liste und auf der Karte.</w:t>
      </w:r>
    </w:p>
    <w:p>
      <w:pPr>
        <w:pStyle w:val="CaptionedFigure"/>
      </w:pPr>
      <w:r>
        <w:drawing>
          <wp:inline>
            <wp:extent cx="5334000" cy="4000499"/>
            <wp:effectExtent b="0" l="0" r="0" t="0"/>
            <wp:docPr descr="Tab „Manage”: das Formular „Add Building” zum Erfassen eines Gebäudes" title="" id="79" name="Picture"/>
            <a:graphic>
              <a:graphicData uri="http://schemas.openxmlformats.org/drawingml/2006/picture">
                <pic:pic>
                  <pic:nvPicPr>
                    <pic:cNvPr descr="figures/add-building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Tab „Manage”: das Formular „Add Building” zum Erfassen eines Gebäudes</w:t>
      </w:r>
    </w:p>
    <w:p>
      <w:pPr>
        <w:pStyle w:val="BlockText"/>
      </w:pPr>
      <w:r>
        <w:rPr>
          <w:b/>
          <w:bCs/>
        </w:rPr>
        <w:t xml:space="preserve">Technische Details (für Administratoren)</w:t>
      </w:r>
    </w:p>
    <w:p>
      <w:pPr>
        <w:pStyle w:val="BlockText"/>
      </w:pPr>
      <w:r>
        <w:t xml:space="preserve">Im Hintergrund werden die eingegebenen Daten mit der Granergize-Ontologie</w:t>
      </w:r>
      <w:r>
        <w:t xml:space="preserve"> </w:t>
      </w:r>
      <w:r>
        <w:t xml:space="preserve">modelliert und in einen RDF-Graphen überführt. Für jedes Gebäude wird ein</w:t>
      </w:r>
      <w:r>
        <w:t xml:space="preserve"> </w:t>
      </w:r>
      <w:r>
        <w:t xml:space="preserve">eindeutiger Name erzeugt; der Graph wird als Turtle-Datei in Ihren Pod</w:t>
      </w:r>
      <w:r>
        <w:t xml:space="preserve"> </w:t>
      </w:r>
      <w:r>
        <w:t xml:space="preserve">hochgeladen (Verzeichnis</w:t>
      </w:r>
      <w:r>
        <w:t xml:space="preserve"> </w:t>
      </w:r>
      <w:r>
        <w:rPr>
          <w:rStyle w:val="VerbatimChar"/>
        </w:rPr>
        <w:t xml:space="preserve">granergize/buildings/</w:t>
      </w:r>
      <w:r>
        <w:t xml:space="preserve">).</w:t>
      </w:r>
    </w:p>
    <w:bookmarkEnd w:id="81"/>
    <w:bookmarkStart w:id="85" w:name="Xd4e6cbb7b18fe0423323af20d44339d90884c11"/>
    <w:p>
      <w:pPr>
        <w:pStyle w:val="Heading2"/>
      </w:pPr>
      <w:r>
        <w:t xml:space="preserve">Gebäude bearbeiten, Dateien verwalten und löschen</w:t>
      </w:r>
    </w:p>
    <w:p>
      <w:pPr>
        <w:pStyle w:val="FirstParagraph"/>
      </w:pPr>
      <w:r>
        <w:t xml:space="preserve">Jedes Gebäude in der Liste „Your buildings” (Tab</w:t>
      </w:r>
      <w:r>
        <w:t xml:space="preserve"> </w:t>
      </w:r>
      <w:r>
        <w:rPr>
          <w:b/>
          <w:bCs/>
        </w:rPr>
        <w:t xml:space="preserve">Manage</w:t>
      </w:r>
      <w:r>
        <w:t xml:space="preserve">) bietet über Symbole</w:t>
      </w:r>
      <w:r>
        <w:t xml:space="preserve"> </w:t>
      </w:r>
      <w:r>
        <w:t xml:space="preserve">am Zeilenende mehrere Aktionen: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Edit building:</w:t>
      </w:r>
      <w:r>
        <w:t xml:space="preserve"> </w:t>
      </w:r>
      <w:r>
        <w:t xml:space="preserve">Die Stammdaten eines Gebäudes nachträglich ändern oder</w:t>
      </w:r>
      <w:r>
        <w:t xml:space="preserve"> </w:t>
      </w:r>
      <w:r>
        <w:t xml:space="preserve">ergänzen (Adresse, Fläche, Baujahr, Nutzungsart usw.).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Manage files:</w:t>
      </w:r>
      <w:r>
        <w:t xml:space="preserve"> </w:t>
      </w:r>
      <w:r>
        <w:t xml:space="preserve">Beliebige Dateien jeden Typs zum Gebäude hinterlegen – etwa</w:t>
      </w:r>
      <w:r>
        <w:t xml:space="preserve"> </w:t>
      </w:r>
      <w:r>
        <w:t xml:space="preserve">PDFs, Word-Dokumente, Pläne oder Fotos – sowie herunterladen und wieder löschen.</w:t>
      </w:r>
      <w:r>
        <w:t xml:space="preserve"> </w:t>
      </w:r>
      <w:r>
        <w:t xml:space="preserve">Genau eine Datei können Sie über „Set as cert” als</w:t>
      </w:r>
      <w:r>
        <w:t xml:space="preserve"> </w:t>
      </w:r>
      <w:r>
        <w:rPr>
          <w:b/>
          <w:bCs/>
        </w:rPr>
        <w:t xml:space="preserve">Energieausweis</w:t>
      </w:r>
      <w:r>
        <w:t xml:space="preserve"> </w:t>
      </w:r>
      <w:r>
        <w:t xml:space="preserve">markieren;</w:t>
      </w:r>
      <w:r>
        <w:t xml:space="preserve"> </w:t>
      </w:r>
      <w:r>
        <w:t xml:space="preserve">sie wird dann mit einem entsprechenden Hinweis gekennzeichnet. Angehängte</w:t>
      </w:r>
      <w:r>
        <w:t xml:space="preserve"> </w:t>
      </w:r>
      <w:r>
        <w:t xml:space="preserve">Dateien werden automatisch mitgeteilt, wenn Sie das Gebäude teilen, und teilen</w:t>
      </w:r>
      <w:r>
        <w:t xml:space="preserve"> </w:t>
      </w:r>
      <w:r>
        <w:t xml:space="preserve">dessen Zugriffsrechte.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Download this building’s data:</w:t>
      </w:r>
      <w:r>
        <w:t xml:space="preserve"> </w:t>
      </w:r>
      <w:r>
        <w:t xml:space="preserve">Die Gebäudedaten als Excel-Datei</w:t>
      </w:r>
      <w:r>
        <w:t xml:space="preserve"> </w:t>
      </w:r>
      <w:r>
        <w:t xml:space="preserve">herunterladen; dabei wählen Sie das gewünschte Tabellenformat (Zeilen-Layout,</w:t>
      </w:r>
      <w:r>
        <w:t xml:space="preserve"> </w:t>
      </w:r>
      <w:r>
        <w:t xml:space="preserve">Tabelle oder generisch).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Share building data:</w:t>
      </w:r>
      <w:r>
        <w:t xml:space="preserve"> </w:t>
      </w:r>
      <w:r>
        <w:t xml:space="preserve">Das Gebäude mit Partnern teilen (siehe Kapitel „Daten</w:t>
      </w:r>
      <w:r>
        <w:t xml:space="preserve"> </w:t>
      </w:r>
      <w:r>
        <w:t xml:space="preserve">gemeinsam nutzen und Mehrwerte schaffen”).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Delete building:</w:t>
      </w:r>
      <w:r>
        <w:t xml:space="preserve"> </w:t>
      </w:r>
      <w:r>
        <w:t xml:space="preserve">Das Gebäude dauerhaft entfernen. Nach einer</w:t>
      </w:r>
      <w:r>
        <w:t xml:space="preserve"> </w:t>
      </w:r>
      <w:r>
        <w:t xml:space="preserve">Sicherheitsabfrage werden die Gebäudedatei sowie die zugehörigen Energie- und</w:t>
      </w:r>
      <w:r>
        <w:t xml:space="preserve"> </w:t>
      </w:r>
      <w:r>
        <w:t xml:space="preserve">Freigabedaten aus Ihrem Pod gelöscht.</w:t>
      </w:r>
    </w:p>
    <w:p>
      <w:pPr>
        <w:pStyle w:val="CaptionedFigure"/>
      </w:pPr>
      <w:r>
        <w:drawing>
          <wp:inline>
            <wp:extent cx="5334000" cy="4000499"/>
            <wp:effectExtent b="0" l="0" r="0" t="0"/>
            <wp:docPr descr="Aktionen je Gebäude im Tab „Manage”: bearbeiten, Dateien, Energiejahr, teilen, herunterladen, löschen" title="" id="83" name="Picture"/>
            <a:graphic>
              <a:graphicData uri="http://schemas.openxmlformats.org/drawingml/2006/picture">
                <pic:pic>
                  <pic:nvPicPr>
                    <pic:cNvPr descr="figures/manage-actions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Aktionen je Gebäude im Tab „Manage”: bearbeiten, Dateien, Energiejahr, teilen, herunterladen, löschen</w:t>
      </w:r>
    </w:p>
    <w:bookmarkEnd w:id="85"/>
    <w:bookmarkStart w:id="89" w:name="energiedaten-erfassen-und-aktualisieren"/>
    <w:p>
      <w:pPr>
        <w:pStyle w:val="Heading2"/>
      </w:pPr>
      <w:r>
        <w:t xml:space="preserve">Energiedaten erfassen und aktualisieren</w:t>
      </w:r>
    </w:p>
    <w:p>
      <w:pPr>
        <w:pStyle w:val="FirstParagraph"/>
      </w:pPr>
      <w:r>
        <w:t xml:space="preserve">Energieverbrauchsdaten werden je Gebäude und</w:t>
      </w:r>
      <w:r>
        <w:t xml:space="preserve"> </w:t>
      </w:r>
      <w:r>
        <w:rPr>
          <w:b/>
          <w:bCs/>
        </w:rPr>
        <w:t xml:space="preserve">Jahr</w:t>
      </w:r>
      <w:r>
        <w:t xml:space="preserve"> </w:t>
      </w:r>
      <w:r>
        <w:t xml:space="preserve">gepflegt. Öffnen Sie im</w:t>
      </w:r>
      <w:r>
        <w:t xml:space="preserve"> </w:t>
      </w:r>
      <w:r>
        <w:t xml:space="preserve">Tab</w:t>
      </w:r>
      <w:r>
        <w:t xml:space="preserve"> </w:t>
      </w:r>
      <w:r>
        <w:rPr>
          <w:b/>
          <w:bCs/>
        </w:rPr>
        <w:t xml:space="preserve">Manage</w:t>
      </w:r>
      <w:r>
        <w:t xml:space="preserve"> </w:t>
      </w:r>
      <w:r>
        <w:t xml:space="preserve">beim gewünschten Gebäude über das Symbol</w:t>
      </w:r>
      <w:r>
        <w:t xml:space="preserve"> </w:t>
      </w:r>
      <w:r>
        <w:rPr>
          <w:b/>
          <w:bCs/>
        </w:rPr>
        <w:t xml:space="preserve">„Add / edit energy</w:t>
      </w:r>
      <w:r>
        <w:rPr>
          <w:b/>
          <w:bCs/>
        </w:rPr>
        <w:t xml:space="preserve"> </w:t>
      </w:r>
      <w:r>
        <w:rPr>
          <w:b/>
          <w:bCs/>
        </w:rPr>
        <w:t xml:space="preserve">year”</w:t>
      </w:r>
      <w:r>
        <w:t xml:space="preserve"> </w:t>
      </w:r>
      <w:r>
        <w:t xml:space="preserve">den Dialog. Die Kopfzeile des Dialogs nennt</w:t>
      </w:r>
      <w:r>
        <w:t xml:space="preserve"> </w:t>
      </w:r>
      <w:r>
        <w:rPr>
          <w:b/>
          <w:bCs/>
        </w:rPr>
        <w:t xml:space="preserve">Name und Anschrift des</w:t>
      </w:r>
      <w:r>
        <w:rPr>
          <w:b/>
          <w:bCs/>
        </w:rPr>
        <w:t xml:space="preserve"> </w:t>
      </w:r>
      <w:r>
        <w:rPr>
          <w:b/>
          <w:bCs/>
        </w:rPr>
        <w:t xml:space="preserve">Gebäudes</w:t>
      </w:r>
      <w:r>
        <w:t xml:space="preserve">, sodass Sie beim Wechsel zwischen mehreren Gebäuden stets sehen,</w:t>
      </w:r>
      <w:r>
        <w:t xml:space="preserve"> </w:t>
      </w:r>
      <w:r>
        <w:t xml:space="preserve">wessen Daten Sie gerade bearbeiten. Oben listet die Tabelle</w:t>
      </w:r>
      <w:r>
        <w:t xml:space="preserve"> </w:t>
      </w:r>
      <w:r>
        <w:rPr>
          <w:b/>
          <w:bCs/>
        </w:rPr>
        <w:t xml:space="preserve">„Stored years”</w:t>
      </w:r>
      <w:r>
        <w:t xml:space="preserve"> </w:t>
      </w:r>
      <w:r>
        <w:t xml:space="preserve">alle bereits erfassten Jahre mit ihren Werten auf – so sehen Sie auf einen</w:t>
      </w:r>
      <w:r>
        <w:t xml:space="preserve"> </w:t>
      </w:r>
      <w:r>
        <w:t xml:space="preserve">Blick, was gespeichert ist; darunter steht das Eingabeformular.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Jahr erfassen:</w:t>
      </w:r>
      <w:r>
        <w:t xml:space="preserve"> </w:t>
      </w:r>
      <w:r>
        <w:t xml:space="preserve">Wählen Sie ein Jahr und tragen Sie die Verbrauchswerte ein.</w:t>
      </w:r>
      <w:r>
        <w:t xml:space="preserve"> </w:t>
      </w:r>
      <w:r>
        <w:t xml:space="preserve">Nach dem Speichern bleibt der Dialog geöffnet, und das neue Jahr erscheint</w:t>
      </w:r>
      <w:r>
        <w:t xml:space="preserve"> </w:t>
      </w:r>
      <w:r>
        <w:t xml:space="preserve">sofort in der Tabelle.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Jahr aktualisieren oder löschen:</w:t>
      </w:r>
      <w:r>
        <w:t xml:space="preserve"> </w:t>
      </w:r>
      <w:r>
        <w:t xml:space="preserve">Über die Schaltflächen je Tabellenzeile</w:t>
      </w:r>
      <w:r>
        <w:t xml:space="preserve"> </w:t>
      </w:r>
      <w:r>
        <w:t xml:space="preserve">laden Sie ein gespeichertes Jahr zum</w:t>
      </w:r>
      <w:r>
        <w:t xml:space="preserve"> </w:t>
      </w:r>
      <w:r>
        <w:rPr>
          <w:b/>
          <w:bCs/>
        </w:rPr>
        <w:t xml:space="preserve">Bearbeiten</w:t>
      </w:r>
      <w:r>
        <w:t xml:space="preserve"> </w:t>
      </w:r>
      <w:r>
        <w:t xml:space="preserve">zurück ins Formular – die</w:t>
      </w:r>
      <w:r>
        <w:t xml:space="preserve"> </w:t>
      </w:r>
      <w:r>
        <w:t xml:space="preserve">vorhandenen Werte werden vorbefüllt, sodass das Ergänzen einzelner Kennzahlen</w:t>
      </w:r>
      <w:r>
        <w:t xml:space="preserve"> </w:t>
      </w:r>
      <w:r>
        <w:t xml:space="preserve">die übrigen nicht überschreibt – oder</w:t>
      </w:r>
      <w:r>
        <w:t xml:space="preserve"> </w:t>
      </w:r>
      <w:r>
        <w:rPr>
          <w:b/>
          <w:bCs/>
        </w:rPr>
        <w:t xml:space="preserve">löschen</w:t>
      </w:r>
      <w:r>
        <w:t xml:space="preserve"> </w:t>
      </w:r>
      <w:r>
        <w:t xml:space="preserve">es. So halten Sie die</w:t>
      </w:r>
      <w:r>
        <w:t xml:space="preserve"> </w:t>
      </w:r>
      <w:r>
        <w:t xml:space="preserve">Verbrauchsdaten über die Jahre aktuell.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Soll-Ist-Vergleich:</w:t>
      </w:r>
      <w:r>
        <w:t xml:space="preserve"> </w:t>
      </w:r>
      <w:r>
        <w:t xml:space="preserve">Erfassen Sie neben den</w:t>
      </w:r>
      <w:r>
        <w:t xml:space="preserve"> </w:t>
      </w:r>
      <w:r>
        <w:rPr>
          <w:b/>
          <w:bCs/>
        </w:rPr>
        <w:t xml:space="preserve">tatsächlichen</w:t>
      </w:r>
      <w:r>
        <w:t xml:space="preserve"> </w:t>
      </w:r>
      <w:r>
        <w:t xml:space="preserve">(Ist-)Werten</w:t>
      </w:r>
      <w:r>
        <w:t xml:space="preserve"> </w:t>
      </w:r>
      <w:r>
        <w:t xml:space="preserve">auch</w:t>
      </w:r>
      <w:r>
        <w:t xml:space="preserve"> </w:t>
      </w:r>
      <w:r>
        <w:rPr>
          <w:b/>
          <w:bCs/>
        </w:rPr>
        <w:t xml:space="preserve">geplante</w:t>
      </w:r>
      <w:r>
        <w:t xml:space="preserve"> </w:t>
      </w:r>
      <w:r>
        <w:t xml:space="preserve">(Soll-)Werte. In der Energieansicht des Gebäudes werden Soll</w:t>
      </w:r>
      <w:r>
        <w:t xml:space="preserve"> </w:t>
      </w:r>
      <w:r>
        <w:t xml:space="preserve">und Ist je Jahr nebeneinander dargestellt.</w:t>
      </w:r>
    </w:p>
    <w:p>
      <w:pPr>
        <w:pStyle w:val="FirstParagraph"/>
      </w:pPr>
      <w:r>
        <w:t xml:space="preserve">Einen</w:t>
      </w:r>
      <w:r>
        <w:t xml:space="preserve"> </w:t>
      </w:r>
      <w:r>
        <w:rPr>
          <w:b/>
          <w:bCs/>
        </w:rPr>
        <w:t xml:space="preserve">Energieausweis</w:t>
      </w:r>
      <w:r>
        <w:t xml:space="preserve"> </w:t>
      </w:r>
      <w:r>
        <w:t xml:space="preserve">hinterlegen Sie als Datei-Anhang des Gebäudes: Laden Sie</w:t>
      </w:r>
      <w:r>
        <w:t xml:space="preserve"> </w:t>
      </w:r>
      <w:r>
        <w:t xml:space="preserve">ihn unter</w:t>
      </w:r>
      <w:r>
        <w:t xml:space="preserve"> </w:t>
      </w:r>
      <w:r>
        <w:rPr>
          <w:b/>
          <w:bCs/>
        </w:rPr>
        <w:t xml:space="preserve">„Manage files”</w:t>
      </w:r>
      <w:r>
        <w:t xml:space="preserve"> </w:t>
      </w:r>
      <w:r>
        <w:t xml:space="preserve">hoch und markieren Sie ihn dort als Energieausweis</w:t>
      </w:r>
      <w:r>
        <w:t xml:space="preserve"> </w:t>
      </w:r>
      <w:r>
        <w:t xml:space="preserve">(siehe Abschnitt „Gebäude bearbeiten, Dateien verwalten und löschen”).</w:t>
      </w:r>
    </w:p>
    <w:p>
      <w:pPr>
        <w:pStyle w:val="CaptionedFigure"/>
      </w:pPr>
      <w:r>
        <w:drawing>
          <wp:inline>
            <wp:extent cx="5334000" cy="4000499"/>
            <wp:effectExtent b="0" l="0" r="0" t="0"/>
            <wp:docPr descr="„Add / edit energy year”: Jahresverbrauch erfassen – mit geplanten (Soll) und tatsächlichen (Ist) Werten" title="" id="87" name="Picture"/>
            <a:graphic>
              <a:graphicData uri="http://schemas.openxmlformats.org/drawingml/2006/picture">
                <pic:pic>
                  <pic:nvPicPr>
                    <pic:cNvPr descr="figures/energy-year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„Add / edit energy year”: Jahresverbrauch erfassen – mit geplanten (Soll) und tatsächlichen (Ist) Werten</w:t>
      </w:r>
    </w:p>
    <w:bookmarkEnd w:id="89"/>
    <w:bookmarkStart w:id="100" w:name="daten-ansehen"/>
    <w:p>
      <w:pPr>
        <w:pStyle w:val="Heading2"/>
      </w:pPr>
      <w:r>
        <w:t xml:space="preserve">Daten ansehen</w:t>
      </w:r>
    </w:p>
    <w:p>
      <w:pPr>
        <w:pStyle w:val="FirstParagraph"/>
      </w:pPr>
      <w:r>
        <w:t xml:space="preserve">Wählen Sie im Tab</w:t>
      </w:r>
      <w:r>
        <w:t xml:space="preserve"> </w:t>
      </w:r>
      <w:r>
        <w:rPr>
          <w:b/>
          <w:bCs/>
        </w:rPr>
        <w:t xml:space="preserve">Explore</w:t>
      </w:r>
      <w:r>
        <w:t xml:space="preserve"> </w:t>
      </w:r>
      <w:r>
        <w:t xml:space="preserve">einen Gebäude-Marker. Die Farbe der Markierung</w:t>
      </w:r>
      <w:r>
        <w:t xml:space="preserve"> </w:t>
      </w:r>
      <w:r>
        <w:t xml:space="preserve">unterscheidet eigene Gebäude (blau) von mit Ihnen geteilten (orange). Beim</w:t>
      </w:r>
      <w:r>
        <w:t xml:space="preserve"> </w:t>
      </w:r>
      <w:r>
        <w:t xml:space="preserve">Überfahren eines Markers mit der Maus zeigt ein Hinweisfenster Name und Adresse</w:t>
      </w:r>
      <w:r>
        <w:t xml:space="preserve"> </w:t>
      </w:r>
      <w:r>
        <w:t xml:space="preserve">des Gebäudes sowie Firmenname und -logo des jeweiligen Datenproduzenten, sofern</w:t>
      </w:r>
      <w:r>
        <w:t xml:space="preserve"> </w:t>
      </w:r>
      <w:r>
        <w:t xml:space="preserve">diese im Dialog</w:t>
      </w:r>
      <w:r>
        <w:t xml:space="preserve"> </w:t>
      </w:r>
      <w:r>
        <w:rPr>
          <w:b/>
          <w:bCs/>
        </w:rPr>
        <w:t xml:space="preserve">Organisation</w:t>
      </w:r>
      <w:r>
        <w:t xml:space="preserve"> </w:t>
      </w:r>
      <w:r>
        <w:t xml:space="preserve">hinterlegt wurden.</w:t>
      </w:r>
      <w:r>
        <w:t xml:space="preserve"> </w:t>
      </w:r>
      <w:r>
        <w:t xml:space="preserve">Im rechten Bereich wechseln Sie über die Reiter zwischen drei Ansichten: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Building data:</w:t>
      </w:r>
      <w:r>
        <w:t xml:space="preserve"> </w:t>
      </w:r>
      <w:r>
        <w:t xml:space="preserve">die Stammdaten des Gebäudes (Adresse, Fläche, Baujahr,</w:t>
      </w:r>
      <w:r>
        <w:t xml:space="preserve"> </w:t>
      </w:r>
      <w:r>
        <w:t xml:space="preserve">Nutzungsart, Photovoltaik usw.). Ist ein Betreiber hinterlegt, wird dessen WebID</w:t>
      </w:r>
      <w:r>
        <w:t xml:space="preserve"> </w:t>
      </w:r>
      <w:r>
        <w:t xml:space="preserve">als anklickbarer Verweis auf das jeweilige Profil angezeigt.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Energy data:</w:t>
      </w:r>
      <w:r>
        <w:t xml:space="preserve"> </w:t>
      </w:r>
      <w:r>
        <w:t xml:space="preserve">der Energieverbrauch je Jahr – zunächst als</w:t>
      </w:r>
      <w:r>
        <w:t xml:space="preserve"> </w:t>
      </w:r>
      <w:r>
        <w:rPr>
          <w:b/>
          <w:bCs/>
        </w:rPr>
        <w:t xml:space="preserve">Übersichtstabelle</w:t>
      </w:r>
      <w:r>
        <w:t xml:space="preserve"> </w:t>
      </w:r>
      <w:r>
        <w:t xml:space="preserve">mit den Jahreswerten, darunter als Diagramm. Haben Sie zu</w:t>
      </w:r>
      <w:r>
        <w:t xml:space="preserve"> </w:t>
      </w:r>
      <w:r>
        <w:t xml:space="preserve">einem Jahr sowohl geplante (Soll-) als auch tatsächliche (Ist-)Werte erfasst, werden</w:t>
      </w:r>
      <w:r>
        <w:t xml:space="preserve"> </w:t>
      </w:r>
      <w:r>
        <w:t xml:space="preserve">beide</w:t>
      </w:r>
      <w:r>
        <w:t xml:space="preserve"> </w:t>
      </w:r>
      <w:r>
        <w:rPr>
          <w:b/>
          <w:bCs/>
        </w:rPr>
        <w:t xml:space="preserve">nebeneinander</w:t>
      </w:r>
      <w:r>
        <w:t xml:space="preserve"> </w:t>
      </w:r>
      <w:r>
        <w:t xml:space="preserve">dargestellt – so erkennen Sie auf einen Blick, wie nah</w:t>
      </w:r>
      <w:r>
        <w:t xml:space="preserve"> </w:t>
      </w:r>
      <w:r>
        <w:t xml:space="preserve">der reale Verbrauch am Plan liegt (Soll-Ist-Vergleich). Gibt es</w:t>
      </w:r>
      <w:r>
        <w:t xml:space="preserve"> </w:t>
      </w:r>
      <w:r>
        <w:rPr>
          <w:b/>
          <w:bCs/>
        </w:rPr>
        <w:t xml:space="preserve">mindestens ein</w:t>
      </w:r>
      <w:r>
        <w:rPr>
          <w:b/>
          <w:bCs/>
        </w:rPr>
        <w:t xml:space="preserve"> </w:t>
      </w:r>
      <w:r>
        <w:rPr>
          <w:b/>
          <w:bCs/>
        </w:rPr>
        <w:t xml:space="preserve">weiteres Gebäude mit demselben Betreiber</w:t>
      </w:r>
      <w:r>
        <w:t xml:space="preserve"> </w:t>
      </w:r>
      <w:r>
        <w:t xml:space="preserve">(Feld „Operated by”) und</w:t>
      </w:r>
      <w:r>
        <w:t xml:space="preserve"> </w:t>
      </w:r>
      <w:r>
        <w:t xml:space="preserve">Verbrauchsdaten, erscheint in der Übersichtstabelle zusätzlich die Zeile</w:t>
      </w:r>
      <w:r>
        <w:t xml:space="preserve"> </w:t>
      </w:r>
      <w:r>
        <w:rPr>
          <w:b/>
          <w:bCs/>
        </w:rPr>
        <w:t xml:space="preserve">„Operator average”</w:t>
      </w:r>
      <w:r>
        <w:t xml:space="preserve"> </w:t>
      </w:r>
      <w:r>
        <w:t xml:space="preserve">– der</w:t>
      </w:r>
      <w:r>
        <w:t xml:space="preserve"> </w:t>
      </w:r>
      <w:r>
        <w:rPr>
          <w:b/>
          <w:bCs/>
        </w:rPr>
        <w:t xml:space="preserve">Betreiber-Durchschnitt</w:t>
      </w:r>
      <w:r>
        <w:t xml:space="preserve"> </w:t>
      </w:r>
      <w:r>
        <w:t xml:space="preserve">als Benchmark. In den</w:t>
      </w:r>
      <w:r>
        <w:t xml:space="preserve"> </w:t>
      </w:r>
      <w:r>
        <w:t xml:space="preserve">Durchschnitt geht jedes Gebäude mit seinem</w:t>
      </w:r>
      <w:r>
        <w:t xml:space="preserve"> </w:t>
      </w:r>
      <w:r>
        <w:rPr>
          <w:b/>
          <w:bCs/>
        </w:rPr>
        <w:t xml:space="preserve">aktuellsten Ist-Jahr</w:t>
      </w:r>
      <w:r>
        <w:t xml:space="preserve"> </w:t>
      </w:r>
      <w:r>
        <w:t xml:space="preserve">ein; die</w:t>
      </w:r>
      <w:r>
        <w:t xml:space="preserve"> </w:t>
      </w:r>
      <w:r>
        <w:t xml:space="preserve">Jahre müssen also nicht übereinstimmen. Maßgeblich ist allein der eingetragene</w:t>
      </w:r>
      <w:r>
        <w:t xml:space="preserve"> </w:t>
      </w:r>
      <w:r>
        <w:t xml:space="preserve">Betreiber, nicht etwa gleiche Fläche oder gleiches Baujahr – ohne ein zweites</w:t>
      </w:r>
      <w:r>
        <w:t xml:space="preserve"> </w:t>
      </w:r>
      <w:r>
        <w:t xml:space="preserve">Gebäude desselben Betreibers mit Daten zur jeweiligen Kennzahl erscheint kein</w:t>
      </w:r>
      <w:r>
        <w:t xml:space="preserve"> </w:t>
      </w:r>
      <w:r>
        <w:t xml:space="preserve">Benchmark. Trägt ein Gebäude statt Jahreswerten eine</w:t>
      </w:r>
      <w:r>
        <w:t xml:space="preserve"> </w:t>
      </w:r>
      <w:r>
        <w:rPr>
          <w:b/>
          <w:bCs/>
        </w:rPr>
        <w:t xml:space="preserve">15-Minuten-Messreihe</w:t>
      </w:r>
      <w:r>
        <w:t xml:space="preserve"> </w:t>
      </w:r>
      <w:r>
        <w:t xml:space="preserve">(z. B. aus einem Lastgang-Import), zeigt dieser Reiter stattdessen</w:t>
      </w:r>
      <w:r>
        <w:t xml:space="preserve"> </w:t>
      </w:r>
      <w:r>
        <w:t xml:space="preserve">Zeitreihen-Diagramme: Tagessummen und ein durchschnittliches Tagesprofil.</w:t>
      </w:r>
      <w:r>
        <w:t xml:space="preserve"> </w:t>
      </w:r>
      <w:r>
        <w:t xml:space="preserve">Trägt ein Gebäude</w:t>
      </w:r>
      <w:r>
        <w:t xml:space="preserve"> </w:t>
      </w:r>
      <w:r>
        <w:rPr>
          <w:b/>
          <w:bCs/>
        </w:rPr>
        <w:t xml:space="preserve">beides</w:t>
      </w:r>
      <w:r>
        <w:t xml:space="preserve"> </w:t>
      </w:r>
      <w:r>
        <w:t xml:space="preserve">– Jahreswerte und Messreihe –, schalten Sie über</w:t>
      </w:r>
      <w:r>
        <w:t xml:space="preserve"> </w:t>
      </w:r>
      <w:r>
        <w:t xml:space="preserve">den Umschalter</w:t>
      </w:r>
      <w:r>
        <w:t xml:space="preserve"> </w:t>
      </w:r>
      <w:r>
        <w:rPr>
          <w:b/>
          <w:bCs/>
        </w:rPr>
        <w:t xml:space="preserve">Annual | Time series</w:t>
      </w:r>
      <w:r>
        <w:t xml:space="preserve"> </w:t>
      </w:r>
      <w:r>
        <w:t xml:space="preserve">zwischen den Darstellungen um (so</w:t>
      </w:r>
    </w:p>
    <w:p>
      <w:pPr>
        <w:pStyle w:val="Compact"/>
        <w:numPr>
          <w:ilvl w:val="1"/>
          <w:numId w:val="1013"/>
        </w:numPr>
      </w:pPr>
      <w:r>
        <w:t xml:space="preserve">B. beim Beispielgebäude Lange Gasse 20).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Weather data:</w:t>
      </w:r>
      <w:r>
        <w:t xml:space="preserve"> </w:t>
      </w:r>
      <w:r>
        <w:t xml:space="preserve">die zum Standort passenden Wetterdaten, die zur Einordnung des</w:t>
      </w:r>
      <w:r>
        <w:t xml:space="preserve"> </w:t>
      </w:r>
      <w:r>
        <w:t xml:space="preserve">Verbrauchs (z. B. Heizgradtage) herangezogen werden können.</w:t>
      </w:r>
    </w:p>
    <w:p>
      <w:pPr>
        <w:pStyle w:val="CaptionedFigure"/>
      </w:pPr>
      <w:r>
        <w:drawing>
          <wp:inline>
            <wp:extent cx="5334000" cy="4000499"/>
            <wp:effectExtent b="0" l="0" r="0" t="0"/>
            <wp:docPr descr="Gebäudedetails im Explore-Tab mit Reitern" title="" id="91" name="Picture"/>
            <a:graphic>
              <a:graphicData uri="http://schemas.openxmlformats.org/drawingml/2006/picture">
                <pic:pic>
                  <pic:nvPicPr>
                    <pic:cNvPr descr="figures/map-tabs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Gebäudedetails im Explore-Tab mit Reitern</w:t>
      </w:r>
    </w:p>
    <w:p>
      <w:pPr>
        <w:pStyle w:val="CaptionedFigure"/>
      </w:pPr>
      <w:r>
        <w:drawing>
          <wp:inline>
            <wp:extent cx="5334000" cy="4000499"/>
            <wp:effectExtent b="0" l="0" r="0" t="0"/>
            <wp:docPr descr="Reiter „Energy data”: Jahresübersicht mit dem Betreiber-Durchschnitt („Operator average”)" title="" id="94" name="Picture"/>
            <a:graphic>
              <a:graphicData uri="http://schemas.openxmlformats.org/drawingml/2006/picture">
                <pic:pic>
                  <pic:nvPicPr>
                    <pic:cNvPr descr="figures/energy-data-tab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Reiter „Energy data”: Jahresübersicht mit dem Betreiber-Durchschnitt („Operator average”)</w:t>
      </w:r>
    </w:p>
    <w:bookmarkStart w:id="99" w:name="X0cf3c80cb7d957a2b3d7bb874fcb741b90073f7"/>
    <w:p>
      <w:pPr>
        <w:pStyle w:val="Heading3"/>
      </w:pPr>
      <w:r>
        <w:t xml:space="preserve">Energie-Detailseite eines Gebäudes (Direktaufruf)</w:t>
      </w:r>
    </w:p>
    <w:p>
      <w:pPr>
        <w:pStyle w:val="FirstParagraph"/>
      </w:pPr>
      <w:r>
        <w:t xml:space="preserve">Zu jedem Gebäude gibt es zusätzlich eine eigenständige Energie-Detailseite, die</w:t>
      </w:r>
      <w:r>
        <w:t xml:space="preserve"> </w:t>
      </w:r>
      <w:r>
        <w:t xml:space="preserve">Sie direkt über die Adresszeile des Browsers aufrufen und als</w:t>
      </w:r>
      <w:r>
        <w:t xml:space="preserve"> </w:t>
      </w:r>
      <w:r>
        <w:rPr>
          <w:b/>
          <w:bCs/>
        </w:rPr>
        <w:t xml:space="preserve">Lesezeichen</w:t>
      </w:r>
      <w:r>
        <w:t xml:space="preserve"> </w:t>
      </w:r>
      <w:r>
        <w:t xml:space="preserve">ablegen können:</w:t>
      </w:r>
      <w:r>
        <w:t xml:space="preserve"> </w:t>
      </w:r>
      <w:r>
        <w:rPr>
          <w:rStyle w:val="VerbatimChar"/>
        </w:rPr>
        <w:t xml:space="preserve">…/#/energy/&lt;Gebäude-Referenz&gt;</w:t>
      </w:r>
      <w:r>
        <w:t xml:space="preserve">. Die Gebäude-Referenz ist der</w:t>
      </w:r>
      <w:r>
        <w:t xml:space="preserve"> </w:t>
      </w:r>
      <w:r>
        <w:t xml:space="preserve">technische Bezeichner des Gebäudes – ein Verweis auf seine Datei im Pod, in der</w:t>
      </w:r>
      <w:r>
        <w:t xml:space="preserve"> </w:t>
      </w:r>
      <w:r>
        <w:t xml:space="preserve">Adresszeile URL-kodiert. Am einfachsten kopieren Sie die Adresse direkt aus der</w:t>
      </w:r>
      <w:r>
        <w:t xml:space="preserve"> </w:t>
      </w:r>
      <w:r>
        <w:t xml:space="preserve">Adresszeile, statt sie von Hand zu bilden.</w:t>
      </w:r>
      <w:r>
        <w:t xml:space="preserve"> </w:t>
      </w:r>
      <w:r>
        <w:t xml:space="preserve">Die Seite zeigt die Kennzahlen des</w:t>
      </w:r>
      <w:r>
        <w:t xml:space="preserve"> </w:t>
      </w:r>
      <w:r>
        <w:rPr>
          <w:b/>
          <w:bCs/>
        </w:rPr>
        <w:t xml:space="preserve">aktuellsten erfassten Jahres</w:t>
      </w:r>
      <w:r>
        <w:t xml:space="preserve"> </w:t>
      </w:r>
      <w:r>
        <w:t xml:space="preserve">als Tabelle und stellt jedem Wert bis zu drei Vergleichswerte gegenüber: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Portfolio average</w:t>
      </w:r>
      <w:r>
        <w:t xml:space="preserve"> </w:t>
      </w:r>
      <w:r>
        <w:t xml:space="preserve">– der Durchschnitt über Ihre eigenen Gebäude.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Operator average</w:t>
      </w:r>
      <w:r>
        <w:t xml:space="preserve"> </w:t>
      </w:r>
      <w:r>
        <w:t xml:space="preserve">– der Betreiber-Durchschnitt (siehe oben): Gebäude</w:t>
      </w:r>
      <w:r>
        <w:t xml:space="preserve"> </w:t>
      </w:r>
      <w:r>
        <w:t xml:space="preserve">desselben Betreibers, jedes mit seinem aktuellsten Ist-Jahr.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Benchmark</w:t>
      </w:r>
      <w:r>
        <w:t xml:space="preserve"> </w:t>
      </w:r>
      <w:r>
        <w:t xml:space="preserve">– ein extern berechneter Vergleichswert, den ein</w:t>
      </w:r>
      <w:r>
        <w:t xml:space="preserve"> </w:t>
      </w:r>
      <w:r>
        <w:t xml:space="preserve">Benchmark-Dienstleister als aggregierte Ansicht mit Ihnen geteilt hat.</w:t>
      </w:r>
    </w:p>
    <w:p>
      <w:pPr>
        <w:pStyle w:val="FirstParagraph"/>
      </w:pPr>
      <w:r>
        <w:t xml:space="preserve">Der eigene Wert wird farblich eingeordnet – grün, wenn er unter dem</w:t>
      </w:r>
      <w:r>
        <w:t xml:space="preserve"> </w:t>
      </w:r>
      <w:r>
        <w:t xml:space="preserve">Vergleichswert liegt, rot darüber; je größer die Abweichung, desto kräftiger die</w:t>
      </w:r>
      <w:r>
        <w:t xml:space="preserve"> </w:t>
      </w:r>
      <w:r>
        <w:t xml:space="preserve">Färbung. Als Maßstab dient dabei der</w:t>
      </w:r>
      <w:r>
        <w:t xml:space="preserve"> </w:t>
      </w:r>
      <w:r>
        <w:rPr>
          <w:b/>
          <w:bCs/>
        </w:rPr>
        <w:t xml:space="preserve">spezifischste verfügbare Vergleich</w:t>
      </w:r>
      <w:r>
        <w:t xml:space="preserve">: der</w:t>
      </w:r>
      <w:r>
        <w:t xml:space="preserve"> </w:t>
      </w:r>
      <w:r>
        <w:t xml:space="preserve">externe Benchmark vor dem Betreiber-Durchschnitt vor dem Portfolio-Durchschnitt.</w:t>
      </w:r>
      <w:r>
        <w:t xml:space="preserve"> </w:t>
      </w:r>
      <w:r>
        <w:t xml:space="preserve">Damit vereint diese Seite die drei Vergleichsperspektiven – eigenes Portfolio,</w:t>
      </w:r>
      <w:r>
        <w:t xml:space="preserve"> </w:t>
      </w:r>
      <w:r>
        <w:t xml:space="preserve">Betreiber, externer Benchmark – in einer Ansicht: Hier löst die App den</w:t>
      </w:r>
      <w:r>
        <w:t xml:space="preserve"> </w:t>
      </w:r>
      <w:r>
        <w:t xml:space="preserve">eingangs beschriebenen Anwendungsfall „Energieverbrauchsbenchmark” für das</w:t>
      </w:r>
      <w:r>
        <w:t xml:space="preserve"> </w:t>
      </w:r>
      <w:r>
        <w:t xml:space="preserve">einzelne Gebäude ein. Woher der externe Benchmark kommt, zeigt der Abschnitt</w:t>
      </w:r>
      <w:r>
        <w:t xml:space="preserve"> </w:t>
      </w:r>
      <w:r>
        <w:t xml:space="preserve">„Energieverbrauchsbenchmark durchgespielt” im Kapitel „Die Anwendungsfälle</w:t>
      </w:r>
      <w:r>
        <w:t xml:space="preserve"> </w:t>
      </w:r>
      <w:r>
        <w:t xml:space="preserve">durchgespielt”.</w:t>
      </w:r>
    </w:p>
    <w:p>
      <w:pPr>
        <w:pStyle w:val="CaptionedFigure"/>
      </w:pPr>
      <w:r>
        <w:drawing>
          <wp:inline>
            <wp:extent cx="5334000" cy="4000499"/>
            <wp:effectExtent b="0" l="0" r="0" t="0"/>
            <wp:docPr descr="Energie-Detailseite: eigener Verbrauch neben Portfolio-, Betreiber- und Benchmark-Vergleich" title="" id="97" name="Picture"/>
            <a:graphic>
              <a:graphicData uri="http://schemas.openxmlformats.org/drawingml/2006/picture">
                <pic:pic>
                  <pic:nvPicPr>
                    <pic:cNvPr descr="figures/energy-detail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Energie-Detailseite: eigener Verbrauch neben Portfolio-, Betreiber- und Benchmark-Vergleich</w:t>
      </w:r>
    </w:p>
    <w:bookmarkEnd w:id="99"/>
    <w:bookmarkEnd w:id="100"/>
    <w:bookmarkStart w:id="104" w:name="X3c2472b6ac3894956d87fda076b194db0e74caf"/>
    <w:p>
      <w:pPr>
        <w:pStyle w:val="Heading2"/>
      </w:pPr>
      <w:r>
        <w:t xml:space="preserve">Gebäude nach Energieverbrauch einordnen (Energie-Linse)</w:t>
      </w:r>
    </w:p>
    <w:p>
      <w:pPr>
        <w:pStyle w:val="FirstParagraph"/>
      </w:pPr>
      <w:r>
        <w:t xml:space="preserve">Die Karte im Tab</w:t>
      </w:r>
      <w:r>
        <w:t xml:space="preserve"> </w:t>
      </w:r>
      <w:r>
        <w:rPr>
          <w:b/>
          <w:bCs/>
        </w:rPr>
        <w:t xml:space="preserve">Explore</w:t>
      </w:r>
      <w:r>
        <w:t xml:space="preserve"> </w:t>
      </w:r>
      <w:r>
        <w:t xml:space="preserve">kann die Gebäude-Marker auf zwei Arten einfärben.</w:t>
      </w:r>
      <w:r>
        <w:t xml:space="preserve"> </w:t>
      </w:r>
      <w:r>
        <w:t xml:space="preserve">Über den Umschalter unten an der Karte wählen Sie die</w:t>
      </w:r>
      <w:r>
        <w:t xml:space="preserve"> </w:t>
      </w:r>
      <w:r>
        <w:rPr>
          <w:b/>
          <w:bCs/>
        </w:rPr>
        <w:t xml:space="preserve">Linse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Ownership</w:t>
      </w:r>
      <w:r>
        <w:t xml:space="preserve"> </w:t>
      </w:r>
      <w:r>
        <w:t xml:space="preserve">(Voreinstellung): unterscheidet farblich nur Ihre</w:t>
      </w:r>
      <w:r>
        <w:t xml:space="preserve"> </w:t>
      </w:r>
      <w:r>
        <w:rPr>
          <w:b/>
          <w:bCs/>
        </w:rPr>
        <w:t xml:space="preserve">eigenen</w:t>
      </w:r>
      <w:r>
        <w:t xml:space="preserve"> </w:t>
      </w:r>
      <w:r>
        <w:t xml:space="preserve">Gebäude von solchen, die</w:t>
      </w:r>
      <w:r>
        <w:t xml:space="preserve"> </w:t>
      </w:r>
      <w:r>
        <w:rPr>
          <w:b/>
          <w:bCs/>
        </w:rPr>
        <w:t xml:space="preserve">andere mit Ihnen geteilt</w:t>
      </w:r>
      <w:r>
        <w:t xml:space="preserve"> </w:t>
      </w:r>
      <w:r>
        <w:t xml:space="preserve">haben.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Energy:</w:t>
      </w:r>
      <w:r>
        <w:t xml:space="preserve"> </w:t>
      </w:r>
      <w:r>
        <w:t xml:space="preserve">färbt jeden Marker nach dem</w:t>
      </w:r>
      <w:r>
        <w:t xml:space="preserve"> </w:t>
      </w:r>
      <w:r>
        <w:rPr>
          <w:b/>
          <w:bCs/>
        </w:rPr>
        <w:t xml:space="preserve">Energieverbrauch</w:t>
      </w:r>
      <w:r>
        <w:t xml:space="preserve"> </w:t>
      </w:r>
      <w:r>
        <w:t xml:space="preserve">ein – von „More</w:t>
      </w:r>
      <w:r>
        <w:t xml:space="preserve"> </w:t>
      </w:r>
      <w:r>
        <w:t xml:space="preserve">efficient” über „Typical” bis „Less efficient”; Gebäude ohne auswertbare</w:t>
      </w:r>
      <w:r>
        <w:t xml:space="preserve"> </w:t>
      </w:r>
      <w:r>
        <w:t xml:space="preserve">Energiedaten bleiben neutral („No energy data”). Damit setzt die Karte den</w:t>
      </w:r>
      <w:r>
        <w:t xml:space="preserve"> </w:t>
      </w:r>
      <w:r>
        <w:t xml:space="preserve">Anwendungsfall „Vertriebsunterstützung” um: Ein Objekt ist auf einen Blick als</w:t>
      </w:r>
      <w:r>
        <w:t xml:space="preserve"> </w:t>
      </w:r>
      <w:r>
        <w:t xml:space="preserve">energieeffizienter oder -ineffizienter als seine Nachbarn erkennbar.</w:t>
      </w:r>
    </w:p>
    <w:p>
      <w:pPr>
        <w:pStyle w:val="FirstParagraph"/>
      </w:pPr>
      <w:r>
        <w:t xml:space="preserve">Die Einordnung erfolgt nach der</w:t>
      </w:r>
      <w:r>
        <w:t xml:space="preserve"> </w:t>
      </w:r>
      <w:r>
        <w:rPr>
          <w:b/>
          <w:bCs/>
        </w:rPr>
        <w:t xml:space="preserve">Energieintensität</w:t>
      </w:r>
      <w:r>
        <w:t xml:space="preserve"> </w:t>
      </w:r>
      <w:r>
        <w:t xml:space="preserve">(Verbrauch je m² Fläche,</w:t>
      </w:r>
      <w:r>
        <w:t xml:space="preserve"> </w:t>
      </w:r>
      <w:r>
        <w:t xml:space="preserve">kWh/m²/a), nicht nach dem absoluten Verbrauch – so wird eine große, effiziente</w:t>
      </w:r>
      <w:r>
        <w:t xml:space="preserve"> </w:t>
      </w:r>
      <w:r>
        <w:t xml:space="preserve">Halle nicht schlechter bewertet als ein kleiner, ineffizienter Bau. Maßgeblich</w:t>
      </w:r>
      <w:r>
        <w:t xml:space="preserve"> </w:t>
      </w:r>
      <w:r>
        <w:t xml:space="preserve">ist der</w:t>
      </w:r>
      <w:r>
        <w:t xml:space="preserve"> </w:t>
      </w:r>
      <w:r>
        <w:rPr>
          <w:b/>
          <w:bCs/>
        </w:rPr>
        <w:t xml:space="preserve">aktuellste</w:t>
      </w:r>
      <w:r>
        <w:t xml:space="preserve"> </w:t>
      </w:r>
      <w:r>
        <w:t xml:space="preserve">erfasste Jahreswert; die Fläche entnimmt die Anwendung den</w:t>
      </w:r>
      <w:r>
        <w:t xml:space="preserve"> </w:t>
      </w:r>
      <w:r>
        <w:t xml:space="preserve">Stammdaten (Hallenfläche, ersatzweise Gebäude- oder Bürofläche). Fehlt einem</w:t>
      </w:r>
      <w:r>
        <w:t xml:space="preserve"> </w:t>
      </w:r>
      <w:r>
        <w:t xml:space="preserve">Gebäude die Fläche oder ein Jahresverbrauch, lässt sich keine Intensität</w:t>
      </w:r>
      <w:r>
        <w:t xml:space="preserve"> </w:t>
      </w:r>
      <w:r>
        <w:t xml:space="preserve">berechnen, und der Marker bleibt neutral.</w:t>
      </w:r>
    </w:p>
    <w:p>
      <w:pPr>
        <w:pStyle w:val="BodyText"/>
      </w:pPr>
      <w:r>
        <w:t xml:space="preserve">Verglichen wird stets gegen die Gebäude, die</w:t>
      </w:r>
      <w:r>
        <w:t xml:space="preserve"> </w:t>
      </w:r>
      <w:r>
        <w:rPr>
          <w:b/>
          <w:bCs/>
        </w:rPr>
        <w:t xml:space="preserve">gerade im Kartenausschnitt</w:t>
      </w:r>
      <w:r>
        <w:rPr>
          <w:b/>
          <w:bCs/>
        </w:rPr>
        <w:t xml:space="preserve"> </w:t>
      </w:r>
      <w:r>
        <w:rPr>
          <w:b/>
          <w:bCs/>
        </w:rPr>
        <w:t xml:space="preserve">sichtbar</w:t>
      </w:r>
      <w:r>
        <w:t xml:space="preserve"> </w:t>
      </w:r>
      <w:r>
        <w:t xml:space="preserve">sind – beim Verschieben oder Zoomen verschiebt sich also auch der</w:t>
      </w:r>
      <w:r>
        <w:t xml:space="preserve"> </w:t>
      </w:r>
      <w:r>
        <w:t xml:space="preserve">Vergleichsmaßstab. Wichtig für die gemeinsame Nutzung: In diese Einordnung gehen</w:t>
      </w:r>
      <w:r>
        <w:t xml:space="preserve"> </w:t>
      </w:r>
      <w:r>
        <w:rPr>
          <w:b/>
          <w:bCs/>
        </w:rPr>
        <w:t xml:space="preserve">auch die mit Ihnen geteilten Gebäude</w:t>
      </w:r>
      <w:r>
        <w:t xml:space="preserve"> </w:t>
      </w:r>
      <w:r>
        <w:t xml:space="preserve">ein, sofern zu ihnen Energiedaten und</w:t>
      </w:r>
      <w:r>
        <w:t xml:space="preserve"> </w:t>
      </w:r>
      <w:r>
        <w:t xml:space="preserve">eine Fläche vorliegen. Sie vergleichen damit eigene und fremde Objekte im selben</w:t>
      </w:r>
      <w:r>
        <w:t xml:space="preserve"> </w:t>
      </w:r>
      <w:r>
        <w:t xml:space="preserve">Wettbewerbsumfeld.</w:t>
      </w:r>
    </w:p>
    <w:p>
      <w:pPr>
        <w:pStyle w:val="CaptionedFigure"/>
      </w:pPr>
      <w:r>
        <w:drawing>
          <wp:inline>
            <wp:extent cx="5334000" cy="4000499"/>
            <wp:effectExtent b="0" l="0" r="0" t="0"/>
            <wp:docPr descr="Tab „Explore”: die Karte mit aktiver Energie-Linse – die Marker sind nach Energieintensität eingefärbt, die Legende zeigt die Kategorien" title="" id="102" name="Picture"/>
            <a:graphic>
              <a:graphicData uri="http://schemas.openxmlformats.org/drawingml/2006/picture">
                <pic:pic>
                  <pic:nvPicPr>
                    <pic:cNvPr descr="figures/energy-lens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Tab „Explore”: die Karte mit aktiver Energie-Linse – die Marker sind nach Energieintensität eingefärbt, die Legende zeigt die Kategorien</w:t>
      </w:r>
    </w:p>
    <w:bookmarkEnd w:id="104"/>
    <w:bookmarkEnd w:id="105"/>
    <w:bookmarkStart w:id="138" w:name="X7d72782c915f60697958dd391a69efa388f028d"/>
    <w:p>
      <w:pPr>
        <w:pStyle w:val="Heading1"/>
      </w:pPr>
      <w:r>
        <w:t xml:space="preserve">Daten gemeinsam nutzen und Mehrwerte schaffen</w:t>
      </w:r>
    </w:p>
    <w:bookmarkStart w:id="112" w:name="X8c80b48020b91775ad7986854220f6556bf0b32"/>
    <w:p>
      <w:pPr>
        <w:pStyle w:val="Heading2"/>
      </w:pPr>
      <w:r>
        <w:t xml:space="preserve">Möglichkeiten der verschiedenen Datenfreigaben</w:t>
      </w:r>
    </w:p>
    <w:p>
      <w:pPr>
        <w:pStyle w:val="FirstParagraph"/>
      </w:pPr>
      <w:r>
        <w:t xml:space="preserve">Das System bietet Ihnen drei verschiedene Wege, Informationen mit Partnern zu</w:t>
      </w:r>
      <w:r>
        <w:t xml:space="preserve"> </w:t>
      </w:r>
      <w:r>
        <w:t xml:space="preserve">teilen – jeder mit unterschiedlichem Transparenzgrad. Sie können individuelle</w:t>
      </w:r>
      <w:r>
        <w:t xml:space="preserve"> </w:t>
      </w:r>
      <w:r>
        <w:t xml:space="preserve">Gebäudedaten, aggregierte Ansichten oder rollenbasierte Freigaben nutzen. Die</w:t>
      </w:r>
      <w:r>
        <w:t xml:space="preserve"> </w:t>
      </w:r>
      <w:r>
        <w:t xml:space="preserve">Wahl der richtigen Freigabe-Option hängt davon ab, mit wem Sie teilen und wie</w:t>
      </w:r>
      <w:r>
        <w:t xml:space="preserve"> </w:t>
      </w:r>
      <w:r>
        <w:t xml:space="preserve">viel Vertrauen Sie dieser Person entgegenbringen.</w:t>
      </w:r>
    </w:p>
    <w:p>
      <w:pPr>
        <w:pStyle w:val="CaptionedFigure"/>
      </w:pPr>
      <w:r>
        <w:drawing>
          <wp:inline>
            <wp:extent cx="4800600" cy="3039089"/>
            <wp:effectExtent b="0" l="0" r="0" t="0"/>
            <wp:docPr descr="Vergleich der drei Freigabemechanismen in der Granergize-App" title="" id="107" name="Picture"/>
            <a:graphic>
              <a:graphicData uri="http://schemas.openxmlformats.org/drawingml/2006/picture">
                <pic:pic>
                  <pic:nvPicPr>
                    <pic:cNvPr descr="figures/sharing-vergleich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039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Vergleich der drei Freigabemechanismen in der Granergize-App</w:t>
      </w:r>
    </w:p>
    <w:bookmarkStart w:id="109" w:name="individuelle-gebäudedaten-teilen"/>
    <w:p>
      <w:pPr>
        <w:pStyle w:val="Heading3"/>
      </w:pPr>
      <w:r>
        <w:t xml:space="preserve">Individuelle Gebäudedaten teilen</w:t>
      </w:r>
    </w:p>
    <w:p>
      <w:pPr>
        <w:pStyle w:val="FirstParagraph"/>
      </w:pPr>
      <w:r>
        <w:t xml:space="preserve">Beim Teilen individueller Gebäudedaten wählen Sie unter „What to share”, welchen</w:t>
      </w:r>
      <w:r>
        <w:t xml:space="preserve"> </w:t>
      </w:r>
      <w:r>
        <w:t xml:space="preserve">Umfang Sie freigeben: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Static building data only</w:t>
      </w:r>
      <w:r>
        <w:t xml:space="preserve"> </w:t>
      </w:r>
      <w:r>
        <w:t xml:space="preserve">– nur die Stammdaten des Gebäudes (Adresse,</w:t>
      </w:r>
      <w:r>
        <w:t xml:space="preserve"> </w:t>
      </w:r>
      <w:r>
        <w:t xml:space="preserve">Fläche, Baujahr, Nutzungsart, Information über vorhandene Photovoltaik-Anlagen),</w:t>
      </w:r>
      <w:r>
        <w:t xml:space="preserve"> </w:t>
      </w:r>
      <w:r>
        <w:t xml:space="preserve">ohne Verbrauchswerte. Nützlich, wenn Sie jemandem zunächst zeigen möchten,</w:t>
      </w:r>
      <w:r>
        <w:t xml:space="preserve"> </w:t>
      </w:r>
      <w:r>
        <w:t xml:space="preserve">welche Gebäude Sie verwalten, ohne sofort sensible Verbrauchsdaten preiszugeben.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Static building data and all energy readings</w:t>
      </w:r>
      <w:r>
        <w:t xml:space="preserve"> </w:t>
      </w:r>
      <w:r>
        <w:t xml:space="preserve">– zusätzlich die</w:t>
      </w:r>
      <w:r>
        <w:t xml:space="preserve"> </w:t>
      </w:r>
      <w:r>
        <w:t xml:space="preserve">Verbrauchswerte (Strom, Gas, Fernwärme, Wasser)</w:t>
      </w:r>
      <w:r>
        <w:t xml:space="preserve"> </w:t>
      </w:r>
      <w:r>
        <w:rPr>
          <w:b/>
          <w:bCs/>
        </w:rPr>
        <w:t xml:space="preserve">aller</w:t>
      </w:r>
      <w:r>
        <w:t xml:space="preserve"> </w:t>
      </w:r>
      <w:r>
        <w:t xml:space="preserve">Jahre. Diese</w:t>
      </w:r>
      <w:r>
        <w:t xml:space="preserve"> </w:t>
      </w:r>
      <w:r>
        <w:t xml:space="preserve">Freigabe umfasst auch Jahre, die Sie erst</w:t>
      </w:r>
      <w:r>
        <w:t xml:space="preserve"> </w:t>
      </w:r>
      <w:r>
        <w:rPr>
          <w:b/>
          <w:bCs/>
        </w:rPr>
        <w:t xml:space="preserve">nach</w:t>
      </w:r>
      <w:r>
        <w:t xml:space="preserve"> </w:t>
      </w:r>
      <w:r>
        <w:t xml:space="preserve">dem Teilen erfassen: Ein</w:t>
      </w:r>
      <w:r>
        <w:t xml:space="preserve"> </w:t>
      </w:r>
      <w:r>
        <w:t xml:space="preserve">neu gespeichertes Energiejahr wird automatisch mit freigegeben, ohne dass</w:t>
      </w:r>
      <w:r>
        <w:t xml:space="preserve"> </w:t>
      </w:r>
      <w:r>
        <w:t xml:space="preserve">Sie das Gebäude erneut teilen müssen.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Static building data and energy for specific year(s)</w:t>
      </w:r>
      <w:r>
        <w:t xml:space="preserve"> </w:t>
      </w:r>
      <w:r>
        <w:t xml:space="preserve">– nur die</w:t>
      </w:r>
      <w:r>
        <w:t xml:space="preserve"> </w:t>
      </w:r>
      <w:r>
        <w:t xml:space="preserve">Verbrauchsdaten der von Ihnen angekreuzten Jahre. Da jedes Jahr als eigene</w:t>
      </w:r>
      <w:r>
        <w:t xml:space="preserve"> </w:t>
      </w:r>
      <w:r>
        <w:t xml:space="preserve">Ressource gespeichert ist, können Sie gezielt etwa nur den aktuellsten</w:t>
      </w:r>
      <w:r>
        <w:t xml:space="preserve"> </w:t>
      </w:r>
      <w:r>
        <w:t xml:space="preserve">Jahrgang freigeben und ältere zurückhalten; später ergänzte Jahre bleiben</w:t>
      </w:r>
      <w:r>
        <w:t xml:space="preserve"> </w:t>
      </w:r>
      <w:r>
        <w:t xml:space="preserve">bei dieser Variante außen vor.</w:t>
      </w:r>
    </w:p>
    <w:bookmarkEnd w:id="109"/>
    <w:bookmarkStart w:id="110" w:name="aggregierte-ansichten-teilen"/>
    <w:p>
      <w:pPr>
        <w:pStyle w:val="Heading3"/>
      </w:pPr>
      <w:r>
        <w:t xml:space="preserve">Aggregierte Ansichten teilen</w:t>
      </w:r>
    </w:p>
    <w:p>
      <w:pPr>
        <w:pStyle w:val="FirstParagraph"/>
      </w:pPr>
      <w:r>
        <w:t xml:space="preserve">Manchmal möchten Sie Informationen teilen, ohne dass der Empfänger Details über</w:t>
      </w:r>
      <w:r>
        <w:t xml:space="preserve"> </w:t>
      </w:r>
      <w:r>
        <w:t xml:space="preserve">einzelne Gebäude sieht. Zum Beispiel möchte ein Investor wissen, wie effizient</w:t>
      </w:r>
      <w:r>
        <w:t xml:space="preserve"> </w:t>
      </w:r>
      <w:r>
        <w:t xml:space="preserve">ein Gesamt-Portfolio ist, muss aber nicht wissen, welches spezifische Gebäude wie</w:t>
      </w:r>
      <w:r>
        <w:t xml:space="preserve"> </w:t>
      </w:r>
      <w:r>
        <w:t xml:space="preserve">viel verbraucht. Für solche Fälle bietet die Granergize-App</w:t>
      </w:r>
      <w:r>
        <w:t xml:space="preserve"> </w:t>
      </w:r>
      <w:r>
        <w:rPr>
          <w:b/>
          <w:bCs/>
        </w:rPr>
        <w:t xml:space="preserve">aggregierte Ansichten</w:t>
      </w:r>
      <w:r>
        <w:t xml:space="preserve"> </w:t>
      </w:r>
      <w:r>
        <w:t xml:space="preserve">(„Views”) an: eine Zusammenfassung mehrerer Gebäude. Was der Empfänger erhält,</w:t>
      </w:r>
      <w:r>
        <w:t xml:space="preserve"> </w:t>
      </w:r>
      <w:r>
        <w:t xml:space="preserve">ist nur diese Zusammenfassung – er sieht nicht, welche Gebäude dahinterstecken.</w:t>
      </w:r>
    </w:p>
    <w:p>
      <w:pPr>
        <w:pStyle w:val="BodyText"/>
      </w:pPr>
      <w:r>
        <w:t xml:space="preserve">Die App bietet vier Aggregationsfunktionen: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Durchschnitt (average):</w:t>
      </w:r>
      <w:r>
        <w:t xml:space="preserve"> </w:t>
      </w:r>
      <w:r>
        <w:t xml:space="preserve">Mittelwert über alle ausgewählten Gebäude.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Summe (sum):</w:t>
      </w:r>
      <w:r>
        <w:t xml:space="preserve"> </w:t>
      </w:r>
      <w:r>
        <w:t xml:space="preserve">addiert alle Werte.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Minimum (minimum):</w:t>
      </w:r>
      <w:r>
        <w:t xml:space="preserve"> </w:t>
      </w:r>
      <w:r>
        <w:t xml:space="preserve">zeigt den niedrigsten Wert.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Maximum (maximum):</w:t>
      </w:r>
      <w:r>
        <w:t xml:space="preserve"> </w:t>
      </w:r>
      <w:r>
        <w:t xml:space="preserve">zeigt den höchsten Wert.</w:t>
      </w:r>
    </w:p>
    <w:bookmarkEnd w:id="110"/>
    <w:bookmarkStart w:id="111" w:name="rollenbasierte-freigaben"/>
    <w:p>
      <w:pPr>
        <w:pStyle w:val="Heading3"/>
      </w:pPr>
      <w:r>
        <w:t xml:space="preserve">Rollenbasierte Freigaben</w:t>
      </w:r>
    </w:p>
    <w:p>
      <w:pPr>
        <w:pStyle w:val="FirstParagraph"/>
      </w:pPr>
      <w:r>
        <w:t xml:space="preserve">In der Praxis haben unterschiedliche Partner unterschiedliche Bedürfnisse: Ein</w:t>
      </w:r>
      <w:r>
        <w:t xml:space="preserve"> </w:t>
      </w:r>
      <w:r>
        <w:t xml:space="preserve">Investor benötigt grobe Jahreszahlen, ein Energiemanager hingegen hochauflösende</w:t>
      </w:r>
      <w:r>
        <w:t xml:space="preserve"> </w:t>
      </w:r>
      <w:r>
        <w:t xml:space="preserve">15-Minuten-Intervalle. Mit der rollenbasierten Freigabe teilen Sie mit allen</w:t>
      </w:r>
      <w:r>
        <w:t xml:space="preserve"> </w:t>
      </w:r>
      <w:r>
        <w:t xml:space="preserve">Mitgliedern eines Datenraums, die eine bestimmte Rolle innehaben – die Auswahl</w:t>
      </w:r>
      <w:r>
        <w:t xml:space="preserve"> </w:t>
      </w:r>
      <w:r>
        <w:t xml:space="preserve">der Empfänger ergibt sich aus der Rolle.</w:t>
      </w:r>
    </w:p>
    <w:p>
      <w:pPr>
        <w:pStyle w:val="BodyText"/>
      </w:pPr>
      <w:r>
        <w:t xml:space="preserve">Die Granergize-App kennt acht Rollen, die Sie sich im Datenraum zuweisen können (die</w:t>
      </w:r>
      <w:r>
        <w:t xml:space="preserve"> </w:t>
      </w:r>
      <w:r>
        <w:t xml:space="preserve">Auswahl „My role(s)” zeigt sie mit ihren englischen Bezeichnungen):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Investor</w:t>
      </w:r>
      <w:r>
        <w:t xml:space="preserve"> </w:t>
      </w:r>
      <w:r>
        <w:t xml:space="preserve">– Investoren und Bestandshalter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User</w:t>
      </w:r>
      <w:r>
        <w:t xml:space="preserve"> </w:t>
      </w:r>
      <w:r>
        <w:t xml:space="preserve">– Nutzer der Immobilie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Benchmark Service Provider</w:t>
      </w:r>
      <w:r>
        <w:t xml:space="preserve"> </w:t>
      </w:r>
      <w:r>
        <w:t xml:space="preserve">– Benchmark-Dienstleister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Facility Manager</w:t>
      </w:r>
      <w:r>
        <w:t xml:space="preserve"> </w:t>
      </w:r>
      <w:r>
        <w:t xml:space="preserve">– Gebäude- und Betriebsverantwortliche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Developer</w:t>
      </w:r>
      <w:r>
        <w:t xml:space="preserve"> </w:t>
      </w:r>
      <w:r>
        <w:t xml:space="preserve">– Projektentwickler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Consultant / Broker</w:t>
      </w:r>
      <w:r>
        <w:t xml:space="preserve"> </w:t>
      </w:r>
      <w:r>
        <w:t xml:space="preserve">– Berater und Makler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Software Provider</w:t>
      </w:r>
      <w:r>
        <w:t xml:space="preserve"> </w:t>
      </w:r>
      <w:r>
        <w:t xml:space="preserve">– Softwaredienstleister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Energy Provider</w:t>
      </w:r>
      <w:r>
        <w:t xml:space="preserve"> </w:t>
      </w:r>
      <w:r>
        <w:t xml:space="preserve">– Energiedienstleister</w:t>
      </w:r>
    </w:p>
    <w:p>
      <w:pPr>
        <w:pStyle w:val="FirstParagraph"/>
      </w:pPr>
      <w:r>
        <w:t xml:space="preserve">Diese Rollen sind bewusst nicht exklusiv: Sie können sich</w:t>
      </w:r>
      <w:r>
        <w:t xml:space="preserve"> </w:t>
      </w:r>
      <w:r>
        <w:rPr>
          <w:b/>
          <w:bCs/>
        </w:rPr>
        <w:t xml:space="preserve">mehrere oder alle</w:t>
      </w:r>
      <w:r>
        <w:t xml:space="preserve"> </w:t>
      </w:r>
      <w:r>
        <w:t xml:space="preserve">zuweisen (siehe „Rolle wählen”). Eine Rolle hängt ausschließlich an der</w:t>
      </w:r>
      <w:r>
        <w:t xml:space="preserve"> </w:t>
      </w:r>
      <w:r>
        <w:t xml:space="preserve">Datenraum-Mitgliedschaft – nicht an einem Gebäude, seinen Energiedaten oder Ihrem</w:t>
      </w:r>
      <w:r>
        <w:t xml:space="preserve"> </w:t>
      </w:r>
      <w:r>
        <w:t xml:space="preserve">Profil.</w:t>
      </w:r>
    </w:p>
    <w:bookmarkEnd w:id="111"/>
    <w:bookmarkEnd w:id="112"/>
    <w:bookmarkStart w:id="137" w:name="vorgehensweise-beim-datenteilen"/>
    <w:p>
      <w:pPr>
        <w:pStyle w:val="Heading2"/>
      </w:pPr>
      <w:r>
        <w:t xml:space="preserve">Vorgehensweise beim Datenteilen</w:t>
      </w:r>
    </w:p>
    <w:bookmarkStart w:id="116" w:name="X02cc8b8c675205394a9898fb5cbb8306158c66e"/>
    <w:p>
      <w:pPr>
        <w:pStyle w:val="Heading3"/>
      </w:pPr>
      <w:r>
        <w:t xml:space="preserve">Einem Datenraum beitreten oder einen Raum erstellen</w:t>
      </w:r>
    </w:p>
    <w:p>
      <w:pPr>
        <w:pStyle w:val="FirstParagraph"/>
      </w:pPr>
      <w:r>
        <w:t xml:space="preserve">Ein</w:t>
      </w:r>
      <w:r>
        <w:t xml:space="preserve"> </w:t>
      </w:r>
      <w:r>
        <w:rPr>
          <w:b/>
          <w:bCs/>
        </w:rPr>
        <w:t xml:space="preserve">Datenraum</w:t>
      </w:r>
      <w:r>
        <w:t xml:space="preserve"> </w:t>
      </w:r>
      <w:r>
        <w:t xml:space="preserve">bündelt die Akteure, die untereinander Daten teilen, und ist</w:t>
      </w:r>
      <w:r>
        <w:t xml:space="preserve"> </w:t>
      </w:r>
      <w:r>
        <w:t xml:space="preserve">die Grundlage für die rollenbasierte Freigabe. Im Tab</w:t>
      </w:r>
      <w:r>
        <w:t xml:space="preserve"> </w:t>
      </w:r>
      <w:r>
        <w:rPr>
          <w:b/>
          <w:bCs/>
        </w:rPr>
        <w:t xml:space="preserve">Connect</w:t>
      </w:r>
      <w:r>
        <w:t xml:space="preserve"> </w:t>
      </w:r>
      <w:r>
        <w:t xml:space="preserve">versammelt</w:t>
      </w:r>
      <w:r>
        <w:t xml:space="preserve"> </w:t>
      </w:r>
      <w:r>
        <w:t xml:space="preserve">der Abschnitt „Your data rooms” alle Datenraum-Aktionen in einer Leiste über</w:t>
      </w:r>
      <w:r>
        <w:t xml:space="preserve"> </w:t>
      </w:r>
      <w:r>
        <w:t xml:space="preserve">der Liste: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Raum erstellen:</w:t>
      </w:r>
      <w:r>
        <w:t xml:space="preserve"> </w:t>
      </w:r>
      <w:r>
        <w:t xml:space="preserve">„Host a data room” legt einen Raum auf Ihrem Pod an. Teilen</w:t>
      </w:r>
      <w:r>
        <w:t xml:space="preserve"> </w:t>
      </w:r>
      <w:r>
        <w:t xml:space="preserve">Sie dessen Link oder QR-Code, damit andere beitreten können.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Beitreten:</w:t>
      </w:r>
      <w:r>
        <w:t xml:space="preserve"> </w:t>
      </w:r>
      <w:r>
        <w:t xml:space="preserve">Fügen Sie eine Raum-URI in das Feld ein und klicken Sie auf</w:t>
      </w:r>
      <w:r>
        <w:t xml:space="preserve"> </w:t>
      </w:r>
      <w:r>
        <w:t xml:space="preserve">„Add”, oder nutzen Sie „Scan QR code”. Verweigert der Browser den</w:t>
      </w:r>
      <w:r>
        <w:t xml:space="preserve"> </w:t>
      </w:r>
      <w:r>
        <w:t xml:space="preserve">Kamerazugriff, erscheint ein verständlicher Hinweis; „Cancel” unter dem</w:t>
      </w:r>
      <w:r>
        <w:t xml:space="preserve"> </w:t>
      </w:r>
      <w:r>
        <w:t xml:space="preserve">Kamerabild beendet das Scannen.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Rolle wählen:</w:t>
      </w:r>
      <w:r>
        <w:t xml:space="preserve"> </w:t>
      </w:r>
      <w:r>
        <w:t xml:space="preserve">Weisen Sie sich Ihre Rolle(n) im Raum zu und speichern Sie</w:t>
      </w:r>
      <w:r>
        <w:t xml:space="preserve"> </w:t>
      </w:r>
      <w:r>
        <w:t xml:space="preserve">mit „Save roles”. Sie können sich dabei bewusst</w:t>
      </w:r>
      <w:r>
        <w:t xml:space="preserve"> </w:t>
      </w:r>
      <w:r>
        <w:rPr>
          <w:b/>
          <w:bCs/>
        </w:rPr>
        <w:t xml:space="preserve">mehrere oder alle Rollen</w:t>
      </w:r>
      <w:r>
        <w:t xml:space="preserve"> </w:t>
      </w:r>
      <w:r>
        <w:t xml:space="preserve">zuweisen – das ist so vorgesehen. Über diese Rollen können andere gezielt „By</w:t>
      </w:r>
      <w:r>
        <w:t xml:space="preserve"> </w:t>
      </w:r>
      <w:r>
        <w:t xml:space="preserve">role” mit Ihnen teilen. Rollen gibt es ausschließlich hier, im Datenraum – sie</w:t>
      </w:r>
      <w:r>
        <w:t xml:space="preserve"> </w:t>
      </w:r>
      <w:r>
        <w:t xml:space="preserve">hängen nicht an Ihren Gebäuden oder Ihrem Profil.</w:t>
      </w:r>
    </w:p>
    <w:p>
      <w:pPr>
        <w:pStyle w:val="CaptionedFigure"/>
      </w:pPr>
      <w:r>
        <w:drawing>
          <wp:inline>
            <wp:extent cx="5334000" cy="4000499"/>
            <wp:effectExtent b="0" l="0" r="0" t="0"/>
            <wp:docPr descr="Tab „Connect”: Raum erstellen oder beitreten und Rolle wählen" title="" id="114" name="Picture"/>
            <a:graphic>
              <a:graphicData uri="http://schemas.openxmlformats.org/drawingml/2006/picture">
                <pic:pic>
                  <pic:nvPicPr>
                    <pic:cNvPr descr="figures/room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Tab „Connect”: Raum erstellen oder beitreten und Rolle wählen</w:t>
      </w:r>
    </w:p>
    <w:bookmarkEnd w:id="116"/>
    <w:bookmarkStart w:id="120" w:name="kontakte-verwalten"/>
    <w:p>
      <w:pPr>
        <w:pStyle w:val="Heading3"/>
      </w:pPr>
      <w:r>
        <w:t xml:space="preserve">Kontakte verwalten</w:t>
      </w:r>
    </w:p>
    <w:p>
      <w:pPr>
        <w:pStyle w:val="FirstParagraph"/>
      </w:pPr>
      <w:r>
        <w:t xml:space="preserve">Ebenfalls im Tab</w:t>
      </w:r>
      <w:r>
        <w:t xml:space="preserve"> </w:t>
      </w:r>
      <w:r>
        <w:rPr>
          <w:b/>
          <w:bCs/>
        </w:rPr>
        <w:t xml:space="preserve">Connect</w:t>
      </w:r>
      <w:r>
        <w:t xml:space="preserve"> </w:t>
      </w:r>
      <w:r>
        <w:t xml:space="preserve">führen Sie unter „Contacts” ein persönliches</w:t>
      </w:r>
      <w:r>
        <w:t xml:space="preserve"> </w:t>
      </w:r>
      <w:r>
        <w:t xml:space="preserve">Adressbuch Ihrer Geschäftspartner – jeder Eintrag ist eine WebID, zu der</w:t>
      </w:r>
      <w:r>
        <w:t xml:space="preserve"> </w:t>
      </w:r>
      <w:r>
        <w:t xml:space="preserve">die App automatisch den hinterlegten Namen und das Profilbild auflöst.</w:t>
      </w:r>
      <w:r>
        <w:t xml:space="preserve"> </w:t>
      </w:r>
      <w:r>
        <w:t xml:space="preserve">Geschäftspartner, mit denen Sie Daten teilen, werden hier automatisch gemerkt;</w:t>
      </w:r>
      <w:r>
        <w:t xml:space="preserve"> </w:t>
      </w:r>
      <w:r>
        <w:t xml:space="preserve">zusätzlich können Sie eine WebID von Hand eintragen und mit „Add” hinzufügen oder</w:t>
      </w:r>
      <w:r>
        <w:t xml:space="preserve"> </w:t>
      </w:r>
      <w:r>
        <w:t xml:space="preserve">einen Eintrag über das Lösch-Symbol wieder entfernen. Ihre Kontakte erscheinen</w:t>
      </w:r>
      <w:r>
        <w:t xml:space="preserve"> </w:t>
      </w:r>
      <w:r>
        <w:t xml:space="preserve">anschließend als Vorschläge, wann immer Sie Empfänger für eine Freigabe auswählen</w:t>
      </w:r>
      <w:r>
        <w:t xml:space="preserve"> </w:t>
      </w:r>
      <w:r>
        <w:t xml:space="preserve">– so müssen Sie eine WebID nicht jedes Mal neu eingeben.</w:t>
      </w:r>
    </w:p>
    <w:p>
      <w:pPr>
        <w:pStyle w:val="CaptionedFigure"/>
      </w:pPr>
      <w:r>
        <w:drawing>
          <wp:inline>
            <wp:extent cx="5334000" cy="4000499"/>
            <wp:effectExtent b="0" l="0" r="0" t="0"/>
            <wp:docPr descr="Tab „Connect”: persönliches Adressbuch unter „Contacts”" title="" id="118" name="Picture"/>
            <a:graphic>
              <a:graphicData uri="http://schemas.openxmlformats.org/drawingml/2006/picture">
                <pic:pic>
                  <pic:nvPicPr>
                    <pic:cNvPr descr="figures/contacts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Tab „Connect”: persönliches Adressbuch unter „Contacts”</w:t>
      </w:r>
    </w:p>
    <w:bookmarkEnd w:id="120"/>
    <w:bookmarkStart w:id="124" w:name="ein-gebäude-teilen"/>
    <w:p>
      <w:pPr>
        <w:pStyle w:val="Heading3"/>
      </w:pPr>
      <w:r>
        <w:t xml:space="preserve">Ein Gebäude teilen</w:t>
      </w:r>
    </w:p>
    <w:p>
      <w:pPr>
        <w:pStyle w:val="FirstParagraph"/>
      </w:pPr>
      <w:r>
        <w:t xml:space="preserve">Im Tab</w:t>
      </w:r>
      <w:r>
        <w:t xml:space="preserve"> </w:t>
      </w:r>
      <w:r>
        <w:rPr>
          <w:b/>
          <w:bCs/>
        </w:rPr>
        <w:t xml:space="preserve">Manage</w:t>
      </w:r>
      <w:r>
        <w:t xml:space="preserve"> </w:t>
      </w:r>
      <w:r>
        <w:t xml:space="preserve">hat jedes Gebäude unter „Your buildings” eigene Symbole:</w:t>
      </w:r>
      <w:r>
        <w:t xml:space="preserve"> </w:t>
      </w:r>
      <w:r>
        <w:t xml:space="preserve">Bearbeiten, Dateien verwalten, Energie-Jahr erfassen, Teilen, Herunterladen und</w:t>
      </w:r>
      <w:r>
        <w:t xml:space="preserve"> </w:t>
      </w:r>
      <w:r>
        <w:t xml:space="preserve">Löschen (siehe Abschnitt „Gebäude bearbeiten, Dateien verwalten und löschen”).</w:t>
      </w:r>
    </w:p>
    <w:p>
      <w:pPr>
        <w:pStyle w:val="Compact"/>
        <w:numPr>
          <w:ilvl w:val="0"/>
          <w:numId w:val="1020"/>
        </w:numPr>
      </w:pPr>
      <w:r>
        <w:t xml:space="preserve">Klicken Sie beim gewünschten Gebäude auf das Teilen-Symbol. Der Dialog „Share</w:t>
      </w:r>
      <w:r>
        <w:t xml:space="preserve"> </w:t>
      </w:r>
      <w:r>
        <w:t xml:space="preserve">Building Data” öffnet sich.</w:t>
      </w:r>
    </w:p>
    <w:p>
      <w:pPr>
        <w:pStyle w:val="Compact"/>
        <w:numPr>
          <w:ilvl w:val="0"/>
          <w:numId w:val="1020"/>
        </w:numPr>
      </w:pPr>
      <w:r>
        <w:t xml:space="preserve">Wählen Sie, an wen geteilt wird:</w:t>
      </w:r>
      <w:r>
        <w:t xml:space="preserve"> </w:t>
      </w:r>
      <w:r>
        <w:rPr>
          <w:b/>
          <w:bCs/>
        </w:rPr>
        <w:t xml:space="preserve">By WebID</w:t>
      </w:r>
      <w:r>
        <w:t xml:space="preserve"> </w:t>
      </w:r>
      <w:r>
        <w:t xml:space="preserve">(eine oder mehrere WebIDs</w:t>
      </w:r>
      <w:r>
        <w:t xml:space="preserve"> </w:t>
      </w:r>
      <w:r>
        <w:t xml:space="preserve">eingeben) oder</w:t>
      </w:r>
      <w:r>
        <w:t xml:space="preserve"> </w:t>
      </w:r>
      <w:r>
        <w:rPr>
          <w:b/>
          <w:bCs/>
        </w:rPr>
        <w:t xml:space="preserve">By role</w:t>
      </w:r>
      <w:r>
        <w:t xml:space="preserve"> </w:t>
      </w:r>
      <w:r>
        <w:t xml:space="preserve">(eine Rolle wählen – geteilt wird mit allen</w:t>
      </w:r>
      <w:r>
        <w:t xml:space="preserve"> </w:t>
      </w:r>
      <w:r>
        <w:t xml:space="preserve">Raum-Mitgliedern, die diese Rolle haben).</w:t>
      </w:r>
    </w:p>
    <w:p>
      <w:pPr>
        <w:pStyle w:val="Compact"/>
        <w:numPr>
          <w:ilvl w:val="0"/>
          <w:numId w:val="1020"/>
        </w:numPr>
      </w:pPr>
      <w:r>
        <w:t xml:space="preserve">Wählen Sie unter „What to share” den Freigabeumfang – nur Stammdaten, Stammdaten</w:t>
      </w:r>
      <w:r>
        <w:t xml:space="preserve"> </w:t>
      </w:r>
      <w:r>
        <w:t xml:space="preserve">mit allen Energiejahren oder Stammdaten mit ausgewählten Jahren (siehe Abschnitt</w:t>
      </w:r>
      <w:r>
        <w:t xml:space="preserve"> </w:t>
      </w:r>
      <w:r>
        <w:t xml:space="preserve">„Individuelle Gebäudedaten teilen”) – und bestätigen Sie mit</w:t>
      </w:r>
      <w:r>
        <w:t xml:space="preserve"> </w:t>
      </w:r>
      <w:r>
        <w:rPr>
          <w:b/>
          <w:bCs/>
        </w:rPr>
        <w:t xml:space="preserve">Share</w:t>
      </w:r>
      <w:r>
        <w:t xml:space="preserve">.</w:t>
      </w:r>
    </w:p>
    <w:p>
      <w:pPr>
        <w:pStyle w:val="CaptionedFigure"/>
      </w:pPr>
      <w:r>
        <w:drawing>
          <wp:inline>
            <wp:extent cx="5334000" cy="4000499"/>
            <wp:effectExtent b="0" l="0" r="0" t="0"/>
            <wp:docPr descr="Tab „Manage”: ein Gebäude mit seinen Symbolen zum Teilen, Bearbeiten und Verwalten" title="" id="122" name="Picture"/>
            <a:graphic>
              <a:graphicData uri="http://schemas.openxmlformats.org/drawingml/2006/picture">
                <pic:pic>
                  <pic:nvPicPr>
                    <pic:cNvPr descr="figures/share-building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Tab „Manage”: ein Gebäude mit seinen Symbolen zum Teilen, Bearbeiten und Verwalten</w:t>
      </w:r>
    </w:p>
    <w:p>
      <w:pPr>
        <w:pStyle w:val="BlockText"/>
      </w:pPr>
      <w:r>
        <w:rPr>
          <w:b/>
          <w:bCs/>
        </w:rPr>
        <w:t xml:space="preserve">Technische Details (für Administratoren)</w:t>
      </w:r>
    </w:p>
    <w:p>
      <w:pPr>
        <w:pStyle w:val="BlockText"/>
      </w:pPr>
      <w:r>
        <w:t xml:space="preserve">Im Hintergrund setzt die App die ACL-Berechtigung für die Gebäudedatei</w:t>
      </w:r>
      <w:r>
        <w:t xml:space="preserve"> </w:t>
      </w:r>
      <w:r>
        <w:t xml:space="preserve">(und, falls Energiedaten geteilt werden, für die betreffenden Energiedateien),</w:t>
      </w:r>
      <w:r>
        <w:t xml:space="preserve"> </w:t>
      </w:r>
      <w:r>
        <w:t xml:space="preserve">sendet eine Access-Grant-Benachrichtigung an den Posteingang (</w:t>
      </w:r>
      <w:r>
        <w:rPr>
          <w:rStyle w:val="VerbatimChar"/>
        </w:rPr>
        <w:t xml:space="preserve">inbox/</w:t>
      </w:r>
      <w:r>
        <w:t xml:space="preserve">) des</w:t>
      </w:r>
      <w:r>
        <w:t xml:space="preserve"> </w:t>
      </w:r>
      <w:r>
        <w:t xml:space="preserve">Empfängers und vermerkt die Freigabe im eigenen Pod. Der Empfänger verarbeitet</w:t>
      </w:r>
      <w:r>
        <w:t xml:space="preserve"> </w:t>
      </w:r>
      <w:r>
        <w:t xml:space="preserve">die Benachrichtigung und sieht anschließend die geteilten Daten.</w:t>
      </w:r>
    </w:p>
    <w:p>
      <w:pPr>
        <w:pStyle w:val="BlockText"/>
      </w:pPr>
      <w:r>
        <w:t xml:space="preserve">Maßgeblich ist dabei das im eigenen Pod geführte Freigabeprotokoll</w:t>
      </w:r>
      <w:r>
        <w:t xml:space="preserve"> </w:t>
      </w:r>
      <w:r>
        <w:t xml:space="preserve">(</w:t>
      </w:r>
      <w:r>
        <w:rPr>
          <w:rStyle w:val="VerbatimChar"/>
        </w:rPr>
        <w:t xml:space="preserve">shared-out/</w:t>
      </w:r>
      <w:r>
        <w:t xml:space="preserve">); die ACL-Dateien sind eine daraus abgeleitete Projektion.</w:t>
      </w:r>
      <w:r>
        <w:t xml:space="preserve"> </w:t>
      </w:r>
      <w:r>
        <w:t xml:space="preserve">Nach dem Speichern eines neuen Energiejahres gleicht die App die</w:t>
      </w:r>
      <w:r>
        <w:t xml:space="preserve"> </w:t>
      </w:r>
      <w:r>
        <w:t xml:space="preserve">Berechtigungen automatisch mit den bestehenden Freigaben ab: Eine</w:t>
      </w:r>
      <w:r>
        <w:t xml:space="preserve"> </w:t>
      </w:r>
      <w:r>
        <w:t xml:space="preserve">„alle Jahre”-Freigabe erhält Zugriff auf die neue Energiedatei, eine</w:t>
      </w:r>
      <w:r>
        <w:t xml:space="preserve"> </w:t>
      </w:r>
      <w:r>
        <w:t xml:space="preserve">jahresbezogene Freigabe nicht. Da das Protokoll alle Freigabedimensionen</w:t>
      </w:r>
      <w:r>
        <w:t xml:space="preserve"> </w:t>
      </w:r>
      <w:r>
        <w:t xml:space="preserve">festhält, lassen sich die ACLs daraus jederzeit prüfen und wiederherstellen.</w:t>
      </w:r>
    </w:p>
    <w:bookmarkEnd w:id="124"/>
    <w:bookmarkStart w:id="131" w:name="aggregierte-ansicht-erstellen-und-teilen"/>
    <w:p>
      <w:pPr>
        <w:pStyle w:val="Heading3"/>
      </w:pPr>
      <w:r>
        <w:t xml:space="preserve">Aggregierte Ansicht erstellen und teilen</w:t>
      </w:r>
    </w:p>
    <w:p>
      <w:pPr>
        <w:pStyle w:val="Compact"/>
        <w:numPr>
          <w:ilvl w:val="0"/>
          <w:numId w:val="1021"/>
        </w:numPr>
      </w:pPr>
      <w:r>
        <w:t xml:space="preserve">Wechseln Sie im Tab</w:t>
      </w:r>
      <w:r>
        <w:t xml:space="preserve"> </w:t>
      </w:r>
      <w:r>
        <w:rPr>
          <w:b/>
          <w:bCs/>
        </w:rPr>
        <w:t xml:space="preserve">Manage</w:t>
      </w:r>
      <w:r>
        <w:t xml:space="preserve"> </w:t>
      </w:r>
      <w:r>
        <w:t xml:space="preserve">zum Abschnitt „Aggregated views” und klicken</w:t>
      </w:r>
      <w:r>
        <w:t xml:space="preserve"> </w:t>
      </w:r>
      <w:r>
        <w:t xml:space="preserve">Sie auf „Create View”.</w:t>
      </w:r>
    </w:p>
    <w:p>
      <w:pPr>
        <w:pStyle w:val="Compact"/>
        <w:numPr>
          <w:ilvl w:val="0"/>
          <w:numId w:val="1021"/>
        </w:numPr>
      </w:pPr>
      <w:r>
        <w:t xml:space="preserve">Wählen Sie die</w:t>
      </w:r>
      <w:r>
        <w:t xml:space="preserve"> </w:t>
      </w:r>
      <w:r>
        <w:rPr>
          <w:b/>
          <w:bCs/>
        </w:rPr>
        <w:t xml:space="preserve">Art der Ansicht</w:t>
      </w:r>
      <w:r>
        <w:t xml:space="preserve">: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Annual portfolio</w:t>
      </w:r>
      <w:r>
        <w:t xml:space="preserve"> </w:t>
      </w:r>
      <w:r>
        <w:t xml:space="preserve">– Jahreskennzahlen über Ihre eigenen Gebäude</w:t>
      </w:r>
      <w:r>
        <w:t xml:space="preserve"> </w:t>
      </w:r>
      <w:r>
        <w:t xml:space="preserve">aggregieren.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Monthly (15-minute series)</w:t>
      </w:r>
      <w:r>
        <w:t xml:space="preserve"> </w:t>
      </w:r>
      <w:r>
        <w:t xml:space="preserve">– Monatssummen über Gebäude, die eine</w:t>
      </w:r>
      <w:r>
        <w:t xml:space="preserve"> </w:t>
      </w:r>
      <w:r>
        <w:t xml:space="preserve">15-Minuten-Messreihe tragen; zur Auswahl stehen nur Monate, für die</w:t>
      </w:r>
      <w:r>
        <w:t xml:space="preserve"> </w:t>
      </w:r>
      <w:r>
        <w:t xml:space="preserve">tatsächlich Messwerte vorliegen.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Compare shared buildings</w:t>
      </w:r>
      <w:r>
        <w:t xml:space="preserve"> </w:t>
      </w:r>
      <w:r>
        <w:t xml:space="preserve">– Jahresverbräuche über die</w:t>
      </w:r>
      <w:r>
        <w:t xml:space="preserve"> </w:t>
      </w:r>
      <w:r>
        <w:rPr>
          <w:b/>
          <w:bCs/>
        </w:rPr>
        <w:t xml:space="preserve">mit Ihnen</w:t>
      </w:r>
      <w:r>
        <w:rPr>
          <w:b/>
          <w:bCs/>
        </w:rPr>
        <w:t xml:space="preserve"> </w:t>
      </w:r>
      <w:r>
        <w:rPr>
          <w:b/>
          <w:bCs/>
        </w:rPr>
        <w:t xml:space="preserve">geteilten</w:t>
      </w:r>
      <w:r>
        <w:t xml:space="preserve"> </w:t>
      </w:r>
      <w:r>
        <w:t xml:space="preserve">Gebäude aggregieren (z. B. als Benchmark-Dienstleister).</w:t>
      </w:r>
    </w:p>
    <w:p>
      <w:pPr>
        <w:pStyle w:val="Compact"/>
        <w:numPr>
          <w:ilvl w:val="0"/>
          <w:numId w:val="1021"/>
        </w:numPr>
      </w:pPr>
      <w:r>
        <w:t xml:space="preserve">Geben Sie einen Namen ein, wählen Sie die zu aggregierenden Gebäude und</w:t>
      </w:r>
      <w:r>
        <w:t xml:space="preserve"> </w:t>
      </w:r>
      <w:r>
        <w:t xml:space="preserve">Kennzahlen sowie die Aggregatsfunktion und erstellen Sie die Ansicht. Zur</w:t>
      </w:r>
      <w:r>
        <w:t xml:space="preserve"> </w:t>
      </w:r>
      <w:r>
        <w:t xml:space="preserve">Auswahl stehen genau die Kennzahlen, die auch das Eingabeformular „Add / edit</w:t>
      </w:r>
      <w:r>
        <w:t xml:space="preserve"> </w:t>
      </w:r>
      <w:r>
        <w:t xml:space="preserve">energy year” erfasst – was Sie dort eingeben können, können Sie hier</w:t>
      </w:r>
      <w:r>
        <w:t xml:space="preserve"> </w:t>
      </w:r>
      <w:r>
        <w:t xml:space="preserve">aggregieren.</w:t>
      </w:r>
    </w:p>
    <w:p>
      <w:pPr>
        <w:pStyle w:val="Compact"/>
        <w:numPr>
          <w:ilvl w:val="0"/>
          <w:numId w:val="1021"/>
        </w:numPr>
      </w:pPr>
      <w:r>
        <w:t xml:space="preserve">Beim ersten Öffnen berechnet die Anwendung die Ansicht</w:t>
      </w:r>
      <w:r>
        <w:t xml:space="preserve"> </w:t>
      </w:r>
      <w:r>
        <w:rPr>
          <w:b/>
          <w:bCs/>
        </w:rPr>
        <w:t xml:space="preserve">automatisch</w:t>
      </w:r>
      <w:r>
        <w:t xml:space="preserve">; über</w:t>
      </w:r>
      <w:r>
        <w:t xml:space="preserve"> </w:t>
      </w:r>
      <w:r>
        <w:t xml:space="preserve">„Refresh Snapshot” können Sie sie jederzeit neu berechnen, etwa nachdem sich</w:t>
      </w:r>
      <w:r>
        <w:t xml:space="preserve"> </w:t>
      </w:r>
      <w:r>
        <w:t xml:space="preserve">Energiedaten geändert haben. Enthält das Ergebnis keine Werte – z. B. weil</w:t>
      </w:r>
      <w:r>
        <w:t xml:space="preserve"> </w:t>
      </w:r>
      <w:r>
        <w:t xml:space="preserve">die gewählten Gebäude zu den angekreuzten Kennzahlen keine Daten tragen –</w:t>
      </w:r>
      <w:r>
        <w:t xml:space="preserve"> </w:t>
      </w:r>
      <w:r>
        <w:t xml:space="preserve">weist ein Hinweis darauf hin, statt ein leeres Diagramm zu zeigen.</w:t>
      </w:r>
    </w:p>
    <w:p>
      <w:pPr>
        <w:pStyle w:val="Compact"/>
        <w:numPr>
          <w:ilvl w:val="0"/>
          <w:numId w:val="1021"/>
        </w:numPr>
      </w:pPr>
      <w:r>
        <w:t xml:space="preserve">Teilen Sie die fertige Ansicht über das Teilen-Symbol mit der WebID des</w:t>
      </w:r>
      <w:r>
        <w:t xml:space="preserve"> </w:t>
      </w:r>
      <w:r>
        <w:t xml:space="preserve">Empfängers.</w:t>
      </w:r>
    </w:p>
    <w:p>
      <w:pPr>
        <w:pStyle w:val="CaptionedFigure"/>
      </w:pPr>
      <w:r>
        <w:drawing>
          <wp:inline>
            <wp:extent cx="4267200" cy="3200400"/>
            <wp:effectExtent b="0" l="0" r="0" t="0"/>
            <wp:docPr descr="Dialog zur Erstellung aggregierter Ansichten" title="" id="126" name="Picture"/>
            <a:graphic>
              <a:graphicData uri="http://schemas.openxmlformats.org/drawingml/2006/picture">
                <pic:pic>
                  <pic:nvPicPr>
                    <pic:cNvPr descr="figures/create-view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Dialog zur Erstellung aggregierter Ansichten</w:t>
      </w:r>
    </w:p>
    <w:p>
      <w:pPr>
        <w:pStyle w:val="CaptionedFigure"/>
      </w:pPr>
      <w:r>
        <w:drawing>
          <wp:inline>
            <wp:extent cx="5334000" cy="4000499"/>
            <wp:effectExtent b="0" l="0" r="0" t="0"/>
            <wp:docPr descr="Geöffnete aggregierte Ansicht: die automatisch berechnete Zusammenfassung als Diagramm und Tabelle" title="" id="129" name="Picture"/>
            <a:graphic>
              <a:graphicData uri="http://schemas.openxmlformats.org/drawingml/2006/picture">
                <pic:pic>
                  <pic:nvPicPr>
                    <pic:cNvPr descr="figures/aggregated-view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Geöffnete aggregierte Ansicht: die automatisch berechnete Zusammenfassung als Diagramm und Tabelle</w:t>
      </w:r>
    </w:p>
    <w:p>
      <w:pPr>
        <w:pStyle w:val="BlockText"/>
      </w:pPr>
      <w:r>
        <w:rPr>
          <w:b/>
          <w:bCs/>
        </w:rPr>
        <w:t xml:space="preserve">Technische Details (für Administratoren)</w:t>
      </w:r>
    </w:p>
    <w:p>
      <w:pPr>
        <w:pStyle w:val="BlockText"/>
      </w:pPr>
      <w:r>
        <w:t xml:space="preserve">Die View-Definition wird in Ihrem Pod gespeichert; die Energiedaten der</w:t>
      </w:r>
      <w:r>
        <w:t xml:space="preserve"> </w:t>
      </w:r>
      <w:r>
        <w:t xml:space="preserve">ausgewählten Gebäude werden gelesen und die Aggregation berechnet. Geteilt wird</w:t>
      </w:r>
      <w:r>
        <w:t xml:space="preserve"> </w:t>
      </w:r>
      <w:r>
        <w:t xml:space="preserve">ein Snapshot der berechneten Werte – ohne die zugrunde liegenden Gebäude-URIs,</w:t>
      </w:r>
      <w:r>
        <w:t xml:space="preserve"> </w:t>
      </w:r>
      <w:r>
        <w:t xml:space="preserve">sodass die Einzelgebäude nicht offengelegt werden.</w:t>
      </w:r>
    </w:p>
    <w:bookmarkEnd w:id="131"/>
    <w:bookmarkStart w:id="135" w:name="mit-ihnen-geteilte-daten"/>
    <w:p>
      <w:pPr>
        <w:pStyle w:val="Heading3"/>
      </w:pPr>
      <w:r>
        <w:t xml:space="preserve">Mit Ihnen geteilte Daten</w:t>
      </w:r>
    </w:p>
    <w:p>
      <w:pPr>
        <w:pStyle w:val="FirstParagraph"/>
      </w:pPr>
      <w:r>
        <w:t xml:space="preserve">Gebäude, die andere mit Ihnen geteilt haben, finden Sie im Tab</w:t>
      </w:r>
      <w:r>
        <w:t xml:space="preserve"> </w:t>
      </w:r>
      <w:r>
        <w:rPr>
          <w:b/>
          <w:bCs/>
        </w:rPr>
        <w:t xml:space="preserve">Share</w:t>
      </w:r>
      <w:r>
        <w:t xml:space="preserve"> </w:t>
      </w:r>
      <w:r>
        <w:t xml:space="preserve">unter</w:t>
      </w:r>
      <w:r>
        <w:t xml:space="preserve"> </w:t>
      </w:r>
      <w:r>
        <w:t xml:space="preserve">„Buildings shared with you”. Sie erscheinen zusätzlich auf der Karte im Tab</w:t>
      </w:r>
      <w:r>
        <w:t xml:space="preserve"> </w:t>
      </w:r>
      <w:r>
        <w:rPr>
          <w:b/>
          <w:bCs/>
        </w:rPr>
        <w:t xml:space="preserve">Explore</w:t>
      </w:r>
      <w:r>
        <w:t xml:space="preserve">, sodass Sie sie gemeinsam mit Ihren eigenen Gebäuden auswerten</w:t>
      </w:r>
      <w:r>
        <w:t xml:space="preserve"> </w:t>
      </w:r>
      <w:r>
        <w:t xml:space="preserve">können. Aggregierte Ansichten, die andere mit Ihnen geteilt haben, finden Sie</w:t>
      </w:r>
      <w:r>
        <w:t xml:space="preserve"> </w:t>
      </w:r>
      <w:r>
        <w:t xml:space="preserve">ebenda unter „Views shared with you”.</w:t>
      </w:r>
    </w:p>
    <w:p>
      <w:pPr>
        <w:pStyle w:val="CaptionedFigure"/>
      </w:pPr>
      <w:r>
        <w:drawing>
          <wp:inline>
            <wp:extent cx="5334000" cy="4000499"/>
            <wp:effectExtent b="0" l="0" r="0" t="0"/>
            <wp:docPr descr="Tab „Share”: ein mit Ihnen geteiltes Gebäude unter „Buildings shared with you” und ein von einem Benchmark-Dienstleister zurückgeteilter Benchmark unter „Views shared with you” – aufgeklappt („Show values”) die empfangenen Durchschnittswerte über alle beigetragenen Gebäude" title="" id="133" name="Picture"/>
            <a:graphic>
              <a:graphicData uri="http://schemas.openxmlformats.org/drawingml/2006/picture">
                <pic:pic>
                  <pic:nvPicPr>
                    <pic:cNvPr descr="figures/shared-with-you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Tab „Share”: ein mit Ihnen geteiltes Gebäude unter „Buildings shared with you” und ein von einem Benchmark-Dienstleister zurückgeteilter Benchmark unter „Views shared with you” – aufgeklappt („Show values”) die empfangenen Durchschnittswerte über alle beigetragenen Gebäude</w:t>
      </w:r>
    </w:p>
    <w:p>
      <w:pPr>
        <w:pStyle w:val="BodyText"/>
      </w:pPr>
      <w:r>
        <w:t xml:space="preserve">Über das Augen-Symbol können Sie ein mit Ihnen geteiltes Gebäude bei Bedarf aus</w:t>
      </w:r>
      <w:r>
        <w:t xml:space="preserve"> </w:t>
      </w:r>
      <w:r>
        <w:t xml:space="preserve">Ihrer eigenen Karten- und Listenansicht ausblenden und später wieder einblenden.</w:t>
      </w:r>
      <w:r>
        <w:t xml:space="preserve"> </w:t>
      </w:r>
      <w:r>
        <w:t xml:space="preserve">Das betrifft nur Ihre persönliche Ansicht – die Freigabe selbst bleibt davon</w:t>
      </w:r>
      <w:r>
        <w:t xml:space="preserve"> </w:t>
      </w:r>
      <w:r>
        <w:t xml:space="preserve">unberührt.</w:t>
      </w:r>
    </w:p>
    <w:bookmarkEnd w:id="135"/>
    <w:bookmarkStart w:id="136" w:name="zugriff-widerrufen"/>
    <w:p>
      <w:pPr>
        <w:pStyle w:val="Heading3"/>
      </w:pPr>
      <w:r>
        <w:t xml:space="preserve">Zugriff widerrufen</w:t>
      </w:r>
    </w:p>
    <w:p>
      <w:pPr>
        <w:pStyle w:val="FirstParagraph"/>
      </w:pPr>
      <w:r>
        <w:t xml:space="preserve">Eine erteilte Freigabe können Sie jederzeit zurücknehmen: Entfernen Sie beim</w:t>
      </w:r>
      <w:r>
        <w:t xml:space="preserve"> </w:t>
      </w:r>
      <w:r>
        <w:t xml:space="preserve">jeweiligen Gebäude (bzw. bei der Ansicht) unter „Shared with:” den Empfänger über</w:t>
      </w:r>
      <w:r>
        <w:t xml:space="preserve"> </w:t>
      </w:r>
      <w:r>
        <w:t xml:space="preserve">das Lösch-Symbol. Der Empfänger wird benachrichtigt; beim nächsten Abruf</w:t>
      </w:r>
      <w:r>
        <w:t xml:space="preserve"> </w:t>
      </w:r>
      <w:r>
        <w:t xml:space="preserve">verschwindet das Gebäude bzw. die Ansicht aus seiner Liste der mit ihm geteilten</w:t>
      </w:r>
      <w:r>
        <w:t xml:space="preserve"> </w:t>
      </w:r>
      <w:r>
        <w:t xml:space="preserve">Daten.</w:t>
      </w:r>
    </w:p>
    <w:p>
      <w:pPr>
        <w:pStyle w:val="BlockText"/>
      </w:pPr>
      <w:r>
        <w:rPr>
          <w:b/>
          <w:bCs/>
        </w:rPr>
        <w:t xml:space="preserve">Technische Details (für Administratoren)</w:t>
      </w:r>
    </w:p>
    <w:p>
      <w:pPr>
        <w:pStyle w:val="BlockText"/>
      </w:pPr>
      <w:r>
        <w:t xml:space="preserve">Beim Widerruf wird der ACL-Eintrag entfernt und der Widerruf im eigenen Pod</w:t>
      </w:r>
      <w:r>
        <w:t xml:space="preserve"> </w:t>
      </w:r>
      <w:r>
        <w:t xml:space="preserve">vermerkt. Zusätzlich wird eine Benachrichtigung an den Posteingang des</w:t>
      </w:r>
      <w:r>
        <w:t xml:space="preserve"> </w:t>
      </w:r>
      <w:r>
        <w:t xml:space="preserve">Empfängers gesendet; beim nächsten Abruf entfernt dessen Anwendung den Eintrag</w:t>
      </w:r>
      <w:r>
        <w:t xml:space="preserve"> </w:t>
      </w:r>
      <w:r>
        <w:t xml:space="preserve">aus der Liste der geteilten Daten. (In einer früheren Version erhielt der</w:t>
      </w:r>
      <w:r>
        <w:t xml:space="preserve"> </w:t>
      </w:r>
      <w:r>
        <w:t xml:space="preserve">Empfänger keine Benachrichtigung – dies ist nun behoben.)</w:t>
      </w:r>
    </w:p>
    <w:bookmarkEnd w:id="136"/>
    <w:bookmarkEnd w:id="137"/>
    <w:bookmarkEnd w:id="138"/>
    <w:bookmarkStart w:id="160" w:name="die-anwendungsfälle-durchgespielt"/>
    <w:p>
      <w:pPr>
        <w:pStyle w:val="Heading1"/>
      </w:pPr>
      <w:r>
        <w:t xml:space="preserve">Die Anwendungsfälle durchgespielt</w:t>
      </w:r>
    </w:p>
    <w:p>
      <w:pPr>
        <w:pStyle w:val="FirstParagraph"/>
      </w:pPr>
      <w:r>
        <w:t xml:space="preserve">Die vorangegangenen Kapitel beschreiben jeden Arbeitsschritt für sich. Hier</w:t>
      </w:r>
      <w:r>
        <w:t xml:space="preserve"> </w:t>
      </w:r>
      <w:r>
        <w:t xml:space="preserve">laufen die drei Anwendungsfälle vom Anfang dieses Handbuchs noch einmal als</w:t>
      </w:r>
      <w:r>
        <w:t xml:space="preserve"> </w:t>
      </w:r>
      <w:r>
        <w:t xml:space="preserve">durchgehende Abläufe ab, in derselben Reihenfolge wie dort – mit wachsender</w:t>
      </w:r>
      <w:r>
        <w:t xml:space="preserve"> </w:t>
      </w:r>
      <w:r>
        <w:t xml:space="preserve">Zahl der Beteiligten: der Soll-Ist-Vergleich allein auf dem eigenen Pod, die</w:t>
      </w:r>
      <w:r>
        <w:t xml:space="preserve"> </w:t>
      </w:r>
      <w:r>
        <w:t xml:space="preserve">Vertriebsunterstützung zu zweit (A teilt an B), das Energieverbrauchsbenchmark</w:t>
      </w:r>
      <w:r>
        <w:t xml:space="preserve"> </w:t>
      </w:r>
      <w:r>
        <w:t xml:space="preserve">zu dritt (A, B und der Dienstleister C). A, B und C sind dabei wieder Alice</w:t>
      </w:r>
      <w:r>
        <w:t xml:space="preserve"> </w:t>
      </w:r>
      <w:r>
        <w:t xml:space="preserve">Ahlmann, Bob Bauer und Charlie Conrad mit ihren Firmen, wie eingangs im</w:t>
      </w:r>
      <w:r>
        <w:t xml:space="preserve"> </w:t>
      </w:r>
      <w:r>
        <w:t xml:space="preserve">Abschnitt „Praxisbeispiele: Use Cases für die Anwendung” vorgestellt – in den</w:t>
      </w:r>
      <w:r>
        <w:t xml:space="preserve"> </w:t>
      </w:r>
      <w:r>
        <w:t xml:space="preserve">Bildschirmfotos etwa als „Shared by: Alice Ahlmann” beim Empfänger oder als</w:t>
      </w:r>
      <w:r>
        <w:t xml:space="preserve"> </w:t>
      </w:r>
      <w:r>
        <w:t xml:space="preserve">Absender des zurückgeteilten Benchmarks.</w:t>
      </w:r>
    </w:p>
    <w:bookmarkStart w:id="142" w:name="Xd82414b4a947bfa69951383fcda6b2cd3f63dc2"/>
    <w:p>
      <w:pPr>
        <w:pStyle w:val="Heading2"/>
      </w:pPr>
      <w:r>
        <w:t xml:space="preserve">Soll-Ist-Vergleich durchgespielt: Plan und Verbrauch nebeneinander</w:t>
      </w:r>
    </w:p>
    <w:p>
      <w:pPr>
        <w:pStyle w:val="FirstParagraph"/>
      </w:pPr>
      <w:r>
        <w:t xml:space="preserve">Beteiligt ist eine einzige Person:</w:t>
      </w:r>
      <w:r>
        <w:t xml:space="preserve"> </w:t>
      </w:r>
      <w:r>
        <w:rPr>
          <w:b/>
          <w:bCs/>
        </w:rPr>
        <w:t xml:space="preserve">A</w:t>
      </w:r>
      <w:r>
        <w:t xml:space="preserve">, die für ihr Gebäude neben den</w:t>
      </w:r>
      <w:r>
        <w:t xml:space="preserve"> </w:t>
      </w:r>
      <w:r>
        <w:t xml:space="preserve">tatsächlichen Verbräuchen auch Planwerte führt. Alles spielt sich auf A’s</w:t>
      </w:r>
      <w:r>
        <w:t xml:space="preserve"> </w:t>
      </w:r>
      <w:r>
        <w:t xml:space="preserve">eigenem Pod ab – geteilt wird nichts.</w:t>
      </w:r>
    </w:p>
    <w:p>
      <w:pPr>
        <w:pStyle w:val="Compact"/>
        <w:numPr>
          <w:ilvl w:val="0"/>
          <w:numId w:val="1023"/>
        </w:numPr>
      </w:pPr>
      <w:r>
        <w:t xml:space="preserve">A öffnet im Tab</w:t>
      </w:r>
      <w:r>
        <w:t xml:space="preserve"> </w:t>
      </w:r>
      <w:r>
        <w:rPr>
          <w:b/>
          <w:bCs/>
        </w:rPr>
        <w:t xml:space="preserve">Manage</w:t>
      </w:r>
      <w:r>
        <w:t xml:space="preserve"> </w:t>
      </w:r>
      <w:r>
        <w:t xml:space="preserve">beim Gebäude den Dialog</w:t>
      </w:r>
      <w:r>
        <w:t xml:space="preserve"> </w:t>
      </w:r>
      <w:r>
        <w:rPr>
          <w:b/>
          <w:bCs/>
        </w:rPr>
        <w:t xml:space="preserve">„Add / edit energy</w:t>
      </w:r>
      <w:r>
        <w:rPr>
          <w:b/>
          <w:bCs/>
        </w:rPr>
        <w:t xml:space="preserve"> </w:t>
      </w:r>
      <w:r>
        <w:rPr>
          <w:b/>
          <w:bCs/>
        </w:rPr>
        <w:t xml:space="preserve">year”</w:t>
      </w:r>
      <w:r>
        <w:t xml:space="preserve"> </w:t>
      </w:r>
      <w:r>
        <w:t xml:space="preserve">und erfasst ein Jahr mit den</w:t>
      </w:r>
      <w:r>
        <w:t xml:space="preserve"> </w:t>
      </w:r>
      <w:r>
        <w:rPr>
          <w:b/>
          <w:bCs/>
        </w:rPr>
        <w:t xml:space="preserve">tatsächlichen</w:t>
      </w:r>
      <w:r>
        <w:t xml:space="preserve"> </w:t>
      </w:r>
      <w:r>
        <w:t xml:space="preserve">(Ist-)Werten (siehe</w:t>
      </w:r>
      <w:r>
        <w:t xml:space="preserve"> </w:t>
      </w:r>
      <w:r>
        <w:t xml:space="preserve">„Energiedaten erfassen und aktualisieren”).</w:t>
      </w:r>
    </w:p>
    <w:p>
      <w:pPr>
        <w:pStyle w:val="Compact"/>
        <w:numPr>
          <w:ilvl w:val="0"/>
          <w:numId w:val="1023"/>
        </w:numPr>
      </w:pPr>
      <w:r>
        <w:t xml:space="preserve">Für dasselbe Jahr legt A einen zweiten Eintrag an und wählt dabei unter</w:t>
      </w:r>
      <w:r>
        <w:t xml:space="preserve"> </w:t>
      </w:r>
      <w:r>
        <w:rPr>
          <w:b/>
          <w:bCs/>
        </w:rPr>
        <w:t xml:space="preserve">Scenario</w:t>
      </w:r>
      <w:r>
        <w:t xml:space="preserve"> </w:t>
      </w:r>
      <w:r>
        <w:t xml:space="preserve">den Eintrag</w:t>
      </w:r>
      <w:r>
        <w:t xml:space="preserve"> </w:t>
      </w:r>
      <w:r>
        <w:rPr>
          <w:b/>
          <w:bCs/>
        </w:rPr>
        <w:t xml:space="preserve">Planned (Soll)</w:t>
      </w:r>
      <w:r>
        <w:t xml:space="preserve"> </w:t>
      </w:r>
      <w:r>
        <w:t xml:space="preserve">– etwa die erwarteten Verbräuche</w:t>
      </w:r>
      <w:r>
        <w:t xml:space="preserve"> </w:t>
      </w:r>
      <w:r>
        <w:t xml:space="preserve">aus dem Energieausweis oder nach einer Umrüstung auf LED-Beleuchtung.</w:t>
      </w:r>
    </w:p>
    <w:p>
      <w:pPr>
        <w:pStyle w:val="Compact"/>
        <w:numPr>
          <w:ilvl w:val="0"/>
          <w:numId w:val="1023"/>
        </w:numPr>
      </w:pPr>
      <w:r>
        <w:t xml:space="preserve">Im Tab</w:t>
      </w:r>
      <w:r>
        <w:t xml:space="preserve"> </w:t>
      </w:r>
      <w:r>
        <w:rPr>
          <w:b/>
          <w:bCs/>
        </w:rPr>
        <w:t xml:space="preserve">Explore</w:t>
      </w:r>
      <w:r>
        <w:t xml:space="preserve"> </w:t>
      </w:r>
      <w:r>
        <w:t xml:space="preserve">wählt A das Gebäude und wechselt zu</w:t>
      </w:r>
      <w:r>
        <w:t xml:space="preserve"> </w:t>
      </w:r>
      <w:r>
        <w:rPr>
          <w:b/>
          <w:bCs/>
        </w:rPr>
        <w:t xml:space="preserve">Energy data</w:t>
      </w:r>
      <w:r>
        <w:t xml:space="preserve">: Die</w:t>
      </w:r>
      <w:r>
        <w:t xml:space="preserve"> </w:t>
      </w:r>
      <w:r>
        <w:t xml:space="preserve">Jahresübersicht zeigt den Soll-Eintrag neben den Ist-Jahren – auf einen</w:t>
      </w:r>
      <w:r>
        <w:t xml:space="preserve"> </w:t>
      </w:r>
      <w:r>
        <w:t xml:space="preserve">Blick, wie nah der reale Verbrauch am Plan liegt.</w:t>
      </w:r>
    </w:p>
    <w:p>
      <w:pPr>
        <w:pStyle w:val="CaptionedFigure"/>
      </w:pPr>
      <w:r>
        <w:drawing>
          <wp:inline>
            <wp:extent cx="5334000" cy="1376670"/>
            <wp:effectExtent b="0" l="0" r="0" t="0"/>
            <wp:docPr descr="Die Pointe des Soll-Ist-Vergleichs: In der Jahresübersicht steht der Plan-Eintrag („planned”) neben den Ist-Jahren desselben Gebäudes" title="" id="140" name="Picture"/>
            <a:graphic>
              <a:graphicData uri="http://schemas.openxmlformats.org/drawingml/2006/picture">
                <pic:pic>
                  <pic:nvPicPr>
                    <pic:cNvPr descr="figures/soll-ist-payoff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6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Die Pointe des Soll-Ist-Vergleichs: In der Jahresübersicht steht der Plan-Eintrag („planned”) neben den Ist-Jahren desselben Gebäudes</w:t>
      </w:r>
    </w:p>
    <w:bookmarkEnd w:id="142"/>
    <w:bookmarkStart w:id="149" w:name="X1c14a2b4ca7b4b091a43ee943415f1e3cd031fc"/>
    <w:p>
      <w:pPr>
        <w:pStyle w:val="Heading2"/>
      </w:pPr>
      <w:r>
        <w:t xml:space="preserve">Vertriebsunterstützung durchgespielt: Ein Gebäude teilen – aus beiden Perspektiven</w:t>
      </w:r>
    </w:p>
    <w:p>
      <w:pPr>
        <w:pStyle w:val="FirstParagraph"/>
      </w:pPr>
      <w:r>
        <w:t xml:space="preserve">Beteiligt sind zwei Personen mit jeweils eigenem Solid Pod:</w:t>
      </w:r>
      <w:r>
        <w:t xml:space="preserve"> </w:t>
      </w:r>
      <w:r>
        <w:rPr>
          <w:b/>
          <w:bCs/>
        </w:rPr>
        <w:t xml:space="preserve">A</w:t>
      </w:r>
      <w:r>
        <w:t xml:space="preserve">, eine</w:t>
      </w:r>
      <w:r>
        <w:t xml:space="preserve"> </w:t>
      </w:r>
      <w:r>
        <w:t xml:space="preserve">Bestandshalterin, die ein Gebäude mit erfassten Energiejahren verwaltet, und</w:t>
      </w:r>
      <w:r>
        <w:t xml:space="preserve"> </w:t>
      </w:r>
      <w:r>
        <w:rPr>
          <w:b/>
          <w:bCs/>
        </w:rPr>
        <w:t xml:space="preserve">B</w:t>
      </w:r>
      <w:r>
        <w:t xml:space="preserve">, ihr Makler bzw. Berater, der diese Energiedaten für die Vermarktung des</w:t>
      </w:r>
      <w:r>
        <w:t xml:space="preserve"> </w:t>
      </w:r>
      <w:r>
        <w:t xml:space="preserve">Objekts einsehen soll (der Anwendungsfall „Vertriebsunterstützung”) – ohne dass</w:t>
      </w:r>
      <w:r>
        <w:t xml:space="preserve"> </w:t>
      </w:r>
      <w:r>
        <w:t xml:space="preserve">A dafür die Hoheit über ihre Daten aufgibt.</w:t>
      </w:r>
      <w:r>
        <w:t xml:space="preserve"> </w:t>
      </w:r>
      <w:r>
        <w:t xml:space="preserve">Wichtig vorab: Die Daten werden zu keinem Zeitpunkt kopiert oder an einen</w:t>
      </w:r>
      <w:r>
        <w:t xml:space="preserve"> </w:t>
      </w:r>
      <w:r>
        <w:t xml:space="preserve">zentralen Dienst übertragen – sie bleiben auf A’s Pod, und B liest sie dort</w:t>
      </w:r>
      <w:r>
        <w:t xml:space="preserve"> </w:t>
      </w:r>
      <w:r>
        <w:t xml:space="preserve">direkt mit seiner eigenen WebID.</w:t>
      </w:r>
    </w:p>
    <w:p>
      <w:pPr>
        <w:pStyle w:val="BodyText"/>
      </w:pPr>
      <w:r>
        <w:rPr>
          <w:b/>
          <w:bCs/>
        </w:rPr>
        <w:t xml:space="preserve">Was A tut (die teilende Seite):</w:t>
      </w:r>
    </w:p>
    <w:p>
      <w:pPr>
        <w:pStyle w:val="Compact"/>
        <w:numPr>
          <w:ilvl w:val="0"/>
          <w:numId w:val="1024"/>
        </w:numPr>
      </w:pPr>
      <w:r>
        <w:t xml:space="preserve">A öffnet im Tab</w:t>
      </w:r>
      <w:r>
        <w:t xml:space="preserve"> </w:t>
      </w:r>
      <w:r>
        <w:rPr>
          <w:b/>
          <w:bCs/>
        </w:rPr>
        <w:t xml:space="preserve">Manage</w:t>
      </w:r>
      <w:r>
        <w:t xml:space="preserve"> </w:t>
      </w:r>
      <w:r>
        <w:t xml:space="preserve">unter „Your buildings” das Teilen-Symbol des</w:t>
      </w:r>
      <w:r>
        <w:t xml:space="preserve"> </w:t>
      </w:r>
      <w:r>
        <w:t xml:space="preserve">Gebäudes. Der Dialog „Share Building Data” erscheint.</w:t>
      </w:r>
    </w:p>
    <w:p>
      <w:pPr>
        <w:pStyle w:val="Compact"/>
        <w:numPr>
          <w:ilvl w:val="0"/>
          <w:numId w:val="1024"/>
        </w:numPr>
      </w:pPr>
      <w:r>
        <w:t xml:space="preserve">A wählt</w:t>
      </w:r>
      <w:r>
        <w:t xml:space="preserve"> </w:t>
      </w:r>
      <w:r>
        <w:rPr>
          <w:b/>
          <w:bCs/>
        </w:rPr>
        <w:t xml:space="preserve">By WebID</w:t>
      </w:r>
      <w:r>
        <w:t xml:space="preserve">. B’s WebID hat A von B selbst erhalten – eine WebID</w:t>
      </w:r>
      <w:r>
        <w:t xml:space="preserve"> </w:t>
      </w:r>
      <w:r>
        <w:t xml:space="preserve">gibt man weiter wie eine E-Mail-Adresse, etwa in der Signatur oder auf der</w:t>
      </w:r>
      <w:r>
        <w:t xml:space="preserve"> </w:t>
      </w:r>
      <w:r>
        <w:t xml:space="preserve">Visitenkarte. Einmal unter „Contacts” abgelegt (siehe „Kontakte</w:t>
      </w:r>
      <w:r>
        <w:t xml:space="preserve"> </w:t>
      </w:r>
      <w:r>
        <w:t xml:space="preserve">verwalten”), schlägt die App B fortan mit Namen und Profilbild als</w:t>
      </w:r>
      <w:r>
        <w:t xml:space="preserve"> </w:t>
      </w:r>
      <w:r>
        <w:t xml:space="preserve">Empfänger vor – die WebID muss nie wieder eingetippt werden.</w:t>
      </w:r>
      <w:r>
        <w:t xml:space="preserve"> </w:t>
      </w:r>
      <w:r>
        <w:t xml:space="preserve">Alternativ wählt A</w:t>
      </w:r>
      <w:r>
        <w:t xml:space="preserve"> </w:t>
      </w:r>
      <w:r>
        <w:rPr>
          <w:b/>
          <w:bCs/>
        </w:rPr>
        <w:t xml:space="preserve">By role</w:t>
      </w:r>
      <w:r>
        <w:t xml:space="preserve">, wenn beide Mitglied desselben Datenraums</w:t>
      </w:r>
      <w:r>
        <w:t xml:space="preserve"> </w:t>
      </w:r>
      <w:r>
        <w:t xml:space="preserve">sind und B sich dort eine passende Rolle zugewiesen hat.</w:t>
      </w:r>
    </w:p>
    <w:p>
      <w:pPr>
        <w:pStyle w:val="Compact"/>
        <w:numPr>
          <w:ilvl w:val="0"/>
          <w:numId w:val="1024"/>
        </w:numPr>
      </w:pPr>
      <w:r>
        <w:t xml:space="preserve">A legt unter „What to share” den Umfang fest – etwa nur Stammdaten oder</w:t>
      </w:r>
      <w:r>
        <w:t xml:space="preserve"> </w:t>
      </w:r>
      <w:r>
        <w:t xml:space="preserve">Stammdaten mit ausgewählten Energiejahren – und bestätigt mit</w:t>
      </w:r>
      <w:r>
        <w:t xml:space="preserve"> </w:t>
      </w:r>
      <w:r>
        <w:rPr>
          <w:b/>
          <w:bCs/>
        </w:rPr>
        <w:t xml:space="preserve">Share</w:t>
      </w:r>
      <w:r>
        <w:t xml:space="preserve">.</w:t>
      </w:r>
    </w:p>
    <w:p>
      <w:pPr>
        <w:pStyle w:val="FirstParagraph"/>
      </w:pPr>
      <w:r>
        <w:t xml:space="preserve">Anschließend sieht A die Freigabe direkt beim Gebäude unter „Shared with:” und</w:t>
      </w:r>
      <w:r>
        <w:t xml:space="preserve"> </w:t>
      </w:r>
      <w:r>
        <w:t xml:space="preserve">kann sie dort jederzeit wieder entfernen. B wird automatisch in A’s Kontakte</w:t>
      </w:r>
      <w:r>
        <w:t xml:space="preserve"> </w:t>
      </w:r>
      <w:r>
        <w:t xml:space="preserve">aufgenommen.</w:t>
      </w:r>
    </w:p>
    <w:p>
      <w:pPr>
        <w:pStyle w:val="BodyText"/>
      </w:pPr>
      <w:r>
        <w:rPr>
          <w:b/>
          <w:bCs/>
        </w:rPr>
        <w:t xml:space="preserve">Was B sieht (die empfangende Seite):</w:t>
      </w:r>
    </w:p>
    <w:p>
      <w:pPr>
        <w:pStyle w:val="Compact"/>
        <w:numPr>
          <w:ilvl w:val="0"/>
          <w:numId w:val="1025"/>
        </w:numPr>
      </w:pPr>
      <w:r>
        <w:t xml:space="preserve">Die Freigabe-Benachrichtigung landet im Posteingang von B’s Pod. Beim</w:t>
      </w:r>
      <w:r>
        <w:t xml:space="preserve"> </w:t>
      </w:r>
      <w:r>
        <w:t xml:space="preserve">nächsten Öffnen oder Neuladen der App verarbeitet B’s Anwendung sie</w:t>
      </w:r>
      <w:r>
        <w:t xml:space="preserve"> </w:t>
      </w:r>
      <w:r>
        <w:t xml:space="preserve">automatisch – B muss dafür nichts tun.</w:t>
      </w:r>
    </w:p>
    <w:p>
      <w:pPr>
        <w:pStyle w:val="Compact"/>
        <w:numPr>
          <w:ilvl w:val="0"/>
          <w:numId w:val="1025"/>
        </w:numPr>
      </w:pPr>
      <w:r>
        <w:t xml:space="preserve">Das Gebäude erscheint bei B im Tab</w:t>
      </w:r>
      <w:r>
        <w:t xml:space="preserve"> </w:t>
      </w:r>
      <w:r>
        <w:rPr>
          <w:b/>
          <w:bCs/>
        </w:rPr>
        <w:t xml:space="preserve">Share</w:t>
      </w:r>
      <w:r>
        <w:t xml:space="preserve"> </w:t>
      </w:r>
      <w:r>
        <w:t xml:space="preserve">unter „Buildings shared with</w:t>
      </w:r>
      <w:r>
        <w:t xml:space="preserve"> </w:t>
      </w:r>
      <w:r>
        <w:t xml:space="preserve">you” und zusätzlich auf der Karte im Tab</w:t>
      </w:r>
      <w:r>
        <w:t xml:space="preserve"> </w:t>
      </w:r>
      <w:r>
        <w:rPr>
          <w:b/>
          <w:bCs/>
        </w:rPr>
        <w:t xml:space="preserve">Explore</w:t>
      </w:r>
      <w:r>
        <w:t xml:space="preserve">, dort als geteiltes</w:t>
      </w:r>
      <w:r>
        <w:t xml:space="preserve"> </w:t>
      </w:r>
      <w:r>
        <w:t xml:space="preserve">Gebäude gekennzeichnet und neben B’s eigenen Gebäuden auswertbar – auch in</w:t>
      </w:r>
      <w:r>
        <w:t xml:space="preserve"> </w:t>
      </w:r>
      <w:r>
        <w:t xml:space="preserve">der Energie-Linse, die geteilte Gebäude in B’s Marktüberblick einbezieht.</w:t>
      </w:r>
    </w:p>
    <w:p>
      <w:pPr>
        <w:pStyle w:val="Compact"/>
        <w:numPr>
          <w:ilvl w:val="0"/>
          <w:numId w:val="1025"/>
        </w:numPr>
      </w:pPr>
      <w:r>
        <w:t xml:space="preserve">B öffnet das Gebäude und sieht genau das, was A freigegeben hat: die</w:t>
      </w:r>
      <w:r>
        <w:t xml:space="preserve"> </w:t>
      </w:r>
      <w:r>
        <w:t xml:space="preserve">Stammdaten und – je nach gewähltem Umfang – die Energiejahre. Hat A „alle</w:t>
      </w:r>
      <w:r>
        <w:t xml:space="preserve"> </w:t>
      </w:r>
      <w:r>
        <w:t xml:space="preserve">Energiejahre” freigegeben, sieht B auch Jahre, die A erst später erfasst.</w:t>
      </w:r>
    </w:p>
    <w:p>
      <w:pPr>
        <w:pStyle w:val="Compact"/>
        <w:numPr>
          <w:ilvl w:val="0"/>
          <w:numId w:val="1025"/>
        </w:numPr>
      </w:pPr>
      <w:r>
        <w:t xml:space="preserve">Möchte B das Gebäude vorübergehend nicht in seinen Listen sehen, blendet er</w:t>
      </w:r>
      <w:r>
        <w:t xml:space="preserve"> </w:t>
      </w:r>
      <w:r>
        <w:t xml:space="preserve">es über das Augen-Symbol aus – die Freigabe selbst bleibt bestehen.</w:t>
      </w:r>
    </w:p>
    <w:p>
      <w:pPr>
        <w:pStyle w:val="CaptionedFigure"/>
      </w:pPr>
      <w:r>
        <w:drawing>
          <wp:inline>
            <wp:extent cx="5334000" cy="4000499"/>
            <wp:effectExtent b="0" l="0" r="0" t="0"/>
            <wp:docPr descr="Die Pointe des Teilens bei B: Auf B’s Karte steht A’s freigegebenes Gebäude neben B’s eigenen Beständen – an der orangefarbenen Markierung zu erkennen, das Hinweisfenster nennt A’s Firma samt Logo –, und die Detailansicht zeigt A’s Stammdaten, live von A’s Pod gelesen" title="" id="144" name="Picture"/>
            <a:graphic>
              <a:graphicData uri="http://schemas.openxmlformats.org/drawingml/2006/picture">
                <pic:pic>
                  <pic:nvPicPr>
                    <pic:cNvPr descr="figures/teilen-payoff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Die Pointe des Teilens bei B: Auf B’s Karte steht A’s freigegebenes Gebäude neben B’s eigenen Beständen – an der orangefarbenen Markierung zu erkennen, das Hinweisfenster nennt A’s Firma samt Logo –, und die Detailansicht zeigt A’s Stammdaten, live von A’s Pod gelesen</w:t>
      </w:r>
    </w:p>
    <w:p>
      <w:pPr>
        <w:pStyle w:val="BodyText"/>
      </w:pPr>
      <w:r>
        <w:t xml:space="preserve">Widerruft A die Freigabe später (siehe „Zugriff widerrufen”), wird B</w:t>
      </w:r>
      <w:r>
        <w:t xml:space="preserve"> </w:t>
      </w:r>
      <w:r>
        <w:t xml:space="preserve">benachrichtigt, und das Gebäude verschwindet beim nächsten Abruf aus B’s</w:t>
      </w:r>
      <w:r>
        <w:t xml:space="preserve"> </w:t>
      </w:r>
      <w:r>
        <w:t xml:space="preserve">Ansicht. Beide Seiten behalten so jederzeit den Überblick: A sieht in ihrem Pod,</w:t>
      </w:r>
      <w:r>
        <w:t xml:space="preserve"> </w:t>
      </w:r>
      <w:r>
        <w:t xml:space="preserve">was sie an wen freigegeben hat; B sieht, was mit ihm geteilt wurde – und beides</w:t>
      </w:r>
      <w:r>
        <w:t xml:space="preserve"> </w:t>
      </w:r>
      <w:r>
        <w:t xml:space="preserve">bleibt auch nach dem Widerruf nachvollziehbar.</w:t>
      </w:r>
    </w:p>
    <w:p>
      <w:pPr>
        <w:pStyle w:val="CaptionedFigure"/>
      </w:pPr>
      <w:r>
        <w:drawing>
          <wp:inline>
            <wp:extent cx="5334000" cy="3535706"/>
            <wp:effectExtent b="0" l="0" r="0" t="0"/>
            <wp:docPr descr="Gebäude teilen aus beiden Perspektiven: A vergibt die Freigabe auf dem eigenen Pod, B wird benachrichtigt und liest die Daten direkt von A’s Pod" title="" id="147" name="Picture"/>
            <a:graphic>
              <a:graphicData uri="http://schemas.openxmlformats.org/drawingml/2006/picture">
                <pic:pic>
                  <pic:nvPicPr>
                    <pic:cNvPr descr="figures/szenario-teilen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57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Gebäude teilen aus beiden Perspektiven: A vergibt die Freigabe auf dem eigenen Pod, B wird benachrichtigt und liest die Daten direkt von A’s Pod</w:t>
      </w:r>
    </w:p>
    <w:bookmarkEnd w:id="149"/>
    <w:bookmarkStart w:id="159" w:name="X36eef2922c55e19bd5022f6da9ea2b43a8139bc"/>
    <w:p>
      <w:pPr>
        <w:pStyle w:val="Heading2"/>
      </w:pPr>
      <w:r>
        <w:t xml:space="preserve">Energieverbrauchsbenchmark durchgespielt: Peer-Benchmarking mit einem Benchmark-Dienstleister</w:t>
      </w:r>
    </w:p>
    <w:p>
      <w:pPr>
        <w:pStyle w:val="FirstParagraph"/>
      </w:pPr>
      <w:r>
        <w:t xml:space="preserve">Ein einzelner Bestandshalter kann seine Gebäude nur mit dem eigenen Portfolio</w:t>
      </w:r>
      <w:r>
        <w:t xml:space="preserve"> </w:t>
      </w:r>
      <w:r>
        <w:t xml:space="preserve">vergleichen. Ein echter</w:t>
      </w:r>
      <w:r>
        <w:t xml:space="preserve"> </w:t>
      </w:r>
      <w:r>
        <w:rPr>
          <w:b/>
          <w:bCs/>
        </w:rPr>
        <w:t xml:space="preserve">Peer-Vergleich</w:t>
      </w:r>
      <w:r>
        <w:t xml:space="preserve"> </w:t>
      </w:r>
      <w:r>
        <w:t xml:space="preserve">– „Wie steht mein Gebäude im</w:t>
      </w:r>
      <w:r>
        <w:t xml:space="preserve"> </w:t>
      </w:r>
      <w:r>
        <w:t xml:space="preserve">Branchendurchschnitt da?</w:t>
      </w:r>
      <w:r>
        <w:t xml:space="preserve">“</w:t>
      </w:r>
      <w:r>
        <w:t xml:space="preserve">, der eingangs beschriebene Anwendungsfall</w:t>
      </w:r>
      <w:r>
        <w:t xml:space="preserve"> </w:t>
      </w:r>
      <w:r>
        <w:t xml:space="preserve">„Energieverbrauchsbenchmark</w:t>
      </w:r>
      <w:r>
        <w:t xml:space="preserve">”</w:t>
      </w:r>
      <w:r>
        <w:t xml:space="preserve"> </w:t>
      </w:r>
      <w:r>
        <w:t xml:space="preserve">– braucht Daten mehrerer Eigentümer, ohne dass</w:t>
      </w:r>
      <w:r>
        <w:t xml:space="preserve"> </w:t>
      </w:r>
      <w:r>
        <w:t xml:space="preserve">diese ihre Gebäude einander offenlegen müssen. Genau das leistet das</w:t>
      </w:r>
      <w:r>
        <w:t xml:space="preserve"> </w:t>
      </w:r>
      <w:r>
        <w:t xml:space="preserve">Zusammenspiel von Gebäude-Freigabe und aggregierten Ansichten, mit drei</w:t>
      </w:r>
      <w:r>
        <w:t xml:space="preserve"> </w:t>
      </w:r>
      <w:r>
        <w:t xml:space="preserve">Beteiligten: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und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sind Bestandshalter mit eigenen Gebäuden und Energiedaten.</w:t>
      </w:r>
      <w:r>
        <w:t xml:space="preserve"> </w:t>
      </w:r>
      <w:r>
        <w:t xml:space="preserve">Sie kennen einander nicht notwendigerweise und sehen gegenseitig keine Daten.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</w:t>
      </w:r>
      <w:r>
        <w:t xml:space="preserve"> </w:t>
      </w:r>
      <w:r>
        <w:t xml:space="preserve">ist ein</w:t>
      </w:r>
      <w:r>
        <w:t xml:space="preserve"> </w:t>
      </w:r>
      <w:r>
        <w:rPr>
          <w:b/>
          <w:bCs/>
        </w:rPr>
        <w:t xml:space="preserve">Benchmark-Dienstleister</w:t>
      </w:r>
      <w:r>
        <w:t xml:space="preserve"> </w:t>
      </w:r>
      <w:r>
        <w:t xml:space="preserve">(Benchmark Service Provider) – kein</w:t>
      </w:r>
      <w:r>
        <w:t xml:space="preserve"> </w:t>
      </w:r>
      <w:r>
        <w:t xml:space="preserve">Server und kein Sonderkonto, sondern ein gewöhnlicher Nutzer derselben App</w:t>
      </w:r>
      <w:r>
        <w:t xml:space="preserve"> </w:t>
      </w:r>
      <w:r>
        <w:t xml:space="preserve">mit eigenem Pod.</w:t>
      </w:r>
    </w:p>
    <w:p>
      <w:pPr>
        <w:pStyle w:val="FirstParagraph"/>
      </w:pPr>
      <w:r>
        <w:rPr>
          <w:b/>
          <w:bCs/>
        </w:rPr>
        <w:t xml:space="preserve">Was A und B tun (die beitragende Seite):</w:t>
      </w:r>
    </w:p>
    <w:p>
      <w:pPr>
        <w:pStyle w:val="Compact"/>
        <w:numPr>
          <w:ilvl w:val="0"/>
          <w:numId w:val="1027"/>
        </w:numPr>
      </w:pPr>
      <w:r>
        <w:t xml:space="preserve">Jeder teilt seine Gebäude über den normalen Teilen-Dialog an C – genau die</w:t>
      </w:r>
      <w:r>
        <w:t xml:space="preserve"> </w:t>
      </w:r>
      <w:r>
        <w:t xml:space="preserve">Schritte aus „Vertriebsunterstützung durchgespielt”, nur dass A unter „What to share” diesmal</w:t>
      </w:r>
      <w:r>
        <w:t xml:space="preserve"> </w:t>
      </w:r>
      <w:r>
        <w:rPr>
          <w:b/>
          <w:bCs/>
        </w:rPr>
        <w:t xml:space="preserve">einschließlich Energiedaten</w:t>
      </w:r>
      <w:r>
        <w:t xml:space="preserve"> </w:t>
      </w:r>
      <w:r>
        <w:t xml:space="preserve">freigibt, wahlweise alle Jahre oder gezielt</w:t>
      </w:r>
      <w:r>
        <w:t xml:space="preserve"> </w:t>
      </w:r>
      <w:r>
        <w:t xml:space="preserve">ausgewählte. C’s WebID liegt dabei längst im Adressbuch – sie kam mit der</w:t>
      </w:r>
      <w:r>
        <w:t xml:space="preserve"> </w:t>
      </w:r>
      <w:r>
        <w:t xml:space="preserve">Beauftragung des Dienstleisters, wie eine E-Mail-Adresse –, sodass der</w:t>
      </w:r>
      <w:r>
        <w:t xml:space="preserve"> </w:t>
      </w:r>
      <w:r>
        <w:t xml:space="preserve">Teilen-Dialog C mit Namen und Profilbild vorschlägt.</w:t>
      </w:r>
    </w:p>
    <w:p>
      <w:pPr>
        <w:pStyle w:val="Compact"/>
        <w:numPr>
          <w:ilvl w:val="0"/>
          <w:numId w:val="1027"/>
        </w:numPr>
      </w:pPr>
      <w:r>
        <w:t xml:space="preserve">Sind alle drei Mitglied desselben Datenraums, geht es auch in einem Zug</w:t>
      </w:r>
      <w:r>
        <w:t xml:space="preserve"> </w:t>
      </w:r>
      <w:r>
        <w:t xml:space="preserve">rollenbasiert:</w:t>
      </w:r>
      <w:r>
        <w:t xml:space="preserve"> </w:t>
      </w:r>
      <w:r>
        <w:rPr>
          <w:b/>
          <w:bCs/>
        </w:rPr>
        <w:t xml:space="preserve">By role</w:t>
      </w:r>
      <w:r>
        <w:t xml:space="preserve"> </w:t>
      </w:r>
      <w:r>
        <w:t xml:space="preserve">an die Rolle</w:t>
      </w:r>
      <w:r>
        <w:t xml:space="preserve"> </w:t>
      </w:r>
      <w:r>
        <w:rPr>
          <w:b/>
          <w:bCs/>
        </w:rPr>
        <w:t xml:space="preserve">Benchmark Service Provider</w:t>
      </w:r>
      <w:r>
        <w:t xml:space="preserve"> </w:t>
      </w:r>
      <w:r>
        <w:t xml:space="preserve">erreicht C, ohne dass A und B dessen WebID kennen müssen.</w:t>
      </w:r>
    </w:p>
    <w:p>
      <w:pPr>
        <w:pStyle w:val="FirstParagraph"/>
      </w:pPr>
      <w:r>
        <w:rPr>
          <w:b/>
          <w:bCs/>
        </w:rPr>
        <w:t xml:space="preserve">Was C tut (der Dienstleister):</w:t>
      </w:r>
    </w:p>
    <w:p>
      <w:pPr>
        <w:pStyle w:val="Compact"/>
        <w:numPr>
          <w:ilvl w:val="0"/>
          <w:numId w:val="1028"/>
        </w:numPr>
      </w:pPr>
      <w:r>
        <w:t xml:space="preserve">Die Beiträge von A und B erreichen C wie jedes geteilte Gebäude: Sie</w:t>
      </w:r>
      <w:r>
        <w:t xml:space="preserve"> </w:t>
      </w:r>
      <w:r>
        <w:t xml:space="preserve">erscheinen im Tab</w:t>
      </w:r>
      <w:r>
        <w:t xml:space="preserve"> </w:t>
      </w:r>
      <w:r>
        <w:rPr>
          <w:b/>
          <w:bCs/>
        </w:rPr>
        <w:t xml:space="preserve">Share</w:t>
      </w:r>
      <w:r>
        <w:t xml:space="preserve"> </w:t>
      </w:r>
      <w:r>
        <w:t xml:space="preserve">unter „Buildings shared with you”.</w:t>
      </w:r>
    </w:p>
    <w:p>
      <w:pPr>
        <w:pStyle w:val="Compact"/>
        <w:numPr>
          <w:ilvl w:val="0"/>
          <w:numId w:val="1028"/>
        </w:numPr>
      </w:pPr>
      <w:r>
        <w:t xml:space="preserve">C wechselt im Tab</w:t>
      </w:r>
      <w:r>
        <w:t xml:space="preserve"> </w:t>
      </w:r>
      <w:r>
        <w:rPr>
          <w:b/>
          <w:bCs/>
        </w:rPr>
        <w:t xml:space="preserve">Manage</w:t>
      </w:r>
      <w:r>
        <w:t xml:space="preserve"> </w:t>
      </w:r>
      <w:r>
        <w:t xml:space="preserve">zum Abschnitt „Aggregated views”, klickt</w:t>
      </w:r>
      <w:r>
        <w:t xml:space="preserve"> </w:t>
      </w:r>
      <w:r>
        <w:rPr>
          <w:b/>
          <w:bCs/>
        </w:rPr>
        <w:t xml:space="preserve">Create View</w:t>
      </w:r>
      <w:r>
        <w:t xml:space="preserve"> </w:t>
      </w:r>
      <w:r>
        <w:t xml:space="preserve">und wählt die Art</w:t>
      </w:r>
      <w:r>
        <w:t xml:space="preserve"> </w:t>
      </w:r>
      <w:r>
        <w:rPr>
          <w:b/>
          <w:bCs/>
        </w:rPr>
        <w:t xml:space="preserve">Compare shared buildings</w:t>
      </w:r>
      <w:r>
        <w:t xml:space="preserve">. Zur Auswahl</w:t>
      </w:r>
      <w:r>
        <w:t xml:space="preserve"> </w:t>
      </w:r>
      <w:r>
        <w:t xml:space="preserve">stehen genau die Gebäude, die</w:t>
      </w:r>
      <w:r>
        <w:t xml:space="preserve"> </w:t>
      </w:r>
      <w:r>
        <w:rPr>
          <w:b/>
          <w:bCs/>
        </w:rPr>
        <w:t xml:space="preserve">mit C geteilt</w:t>
      </w:r>
      <w:r>
        <w:t xml:space="preserve"> </w:t>
      </w:r>
      <w:r>
        <w:t xml:space="preserve">wurden – also die Beiträge</w:t>
      </w:r>
      <w:r>
        <w:t xml:space="preserve"> </w:t>
      </w:r>
      <w:r>
        <w:t xml:space="preserve">von A und B.</w:t>
      </w:r>
    </w:p>
    <w:p>
      <w:pPr>
        <w:pStyle w:val="Compact"/>
        <w:numPr>
          <w:ilvl w:val="0"/>
          <w:numId w:val="1028"/>
        </w:numPr>
      </w:pPr>
      <w:r>
        <w:t xml:space="preserve">C vergibt einen Namen, wählt die Kennzahlen (jährlicher Strom-, Wärme-,</w:t>
      </w:r>
      <w:r>
        <w:t xml:space="preserve"> </w:t>
      </w:r>
      <w:r>
        <w:t xml:space="preserve">Wasser- und Abwasserverbrauch) und die Aggregatsfunktion</w:t>
      </w:r>
      <w:r>
        <w:t xml:space="preserve"> </w:t>
      </w:r>
      <w:r>
        <w:rPr>
          <w:b/>
          <w:bCs/>
        </w:rPr>
        <w:t xml:space="preserve">Durchschnitt</w:t>
      </w:r>
      <w:r>
        <w:t xml:space="preserve"> </w:t>
      </w:r>
      <w:r>
        <w:t xml:space="preserve">und erstellt die Ansicht; beim ersten Öffnen berechnet die App das Ergebnis</w:t>
      </w:r>
      <w:r>
        <w:t xml:space="preserve"> </w:t>
      </w:r>
      <w:r>
        <w:t xml:space="preserve">als Snapshot (siehe „Aggregierte Ansicht erstellen und teilen”).</w:t>
      </w:r>
    </w:p>
    <w:p>
      <w:pPr>
        <w:pStyle w:val="Compact"/>
        <w:numPr>
          <w:ilvl w:val="0"/>
          <w:numId w:val="1028"/>
        </w:numPr>
      </w:pPr>
      <w:r>
        <w:t xml:space="preserve">C teilt die fertige Ansicht über das Teilen-Symbol an alle Beitragenden</w:t>
      </w:r>
      <w:r>
        <w:t xml:space="preserve"> </w:t>
      </w:r>
      <w:r>
        <w:t xml:space="preserve">zurück. Im Teilen-Dialog bietet die App dafür eine Ein-Klick-Hilfe an:</w:t>
      </w:r>
      <w:r>
        <w:t xml:space="preserve"> </w:t>
      </w:r>
      <w:r>
        <w:rPr>
          <w:b/>
          <w:bCs/>
        </w:rPr>
        <w:t xml:space="preserve">Add all contributors</w:t>
      </w:r>
      <w:r>
        <w:t xml:space="preserve"> </w:t>
      </w:r>
      <w:r>
        <w:t xml:space="preserve">trägt automatisch alle ein, deren Gebäude in den</w:t>
      </w:r>
      <w:r>
        <w:t xml:space="preserve"> </w:t>
      </w:r>
      <w:r>
        <w:t xml:space="preserve">Benchmark eingeflossen sind – hier A und B.</w:t>
      </w:r>
    </w:p>
    <w:p>
      <w:pPr>
        <w:pStyle w:val="FirstParagraph"/>
      </w:pPr>
      <w:r>
        <w:rPr>
          <w:b/>
          <w:bCs/>
        </w:rPr>
        <w:t xml:space="preserve">Was A und B sehen (der Rückfluss):</w:t>
      </w:r>
    </w:p>
    <w:p>
      <w:pPr>
        <w:pStyle w:val="Compact"/>
        <w:numPr>
          <w:ilvl w:val="0"/>
          <w:numId w:val="1029"/>
        </w:numPr>
      </w:pPr>
      <w:r>
        <w:t xml:space="preserve">Die zurückerhaltene Ansicht erscheint im Tab</w:t>
      </w:r>
      <w:r>
        <w:t xml:space="preserve"> </w:t>
      </w:r>
      <w:r>
        <w:rPr>
          <w:b/>
          <w:bCs/>
        </w:rPr>
        <w:t xml:space="preserve">Share</w:t>
      </w:r>
      <w:r>
        <w:t xml:space="preserve"> </w:t>
      </w:r>
      <w:r>
        <w:t xml:space="preserve">unter „Views shared</w:t>
      </w:r>
      <w:r>
        <w:t xml:space="preserve"> </w:t>
      </w:r>
      <w:r>
        <w:t xml:space="preserve">with you” – mit den empfangenen Durchschnittswerten zum Aufklappen (siehe</w:t>
      </w:r>
      <w:r>
        <w:t xml:space="preserve"> </w:t>
      </w:r>
      <w:r>
        <w:t xml:space="preserve">die Abbildung im Abschnitt „Mit Ihnen geteilte Daten”).</w:t>
      </w:r>
    </w:p>
    <w:p>
      <w:pPr>
        <w:pStyle w:val="Compact"/>
        <w:numPr>
          <w:ilvl w:val="0"/>
          <w:numId w:val="1029"/>
        </w:numPr>
      </w:pPr>
      <w:r>
        <w:t xml:space="preserve">Vor allem aber füllt sich auf der Energie-Detailseite der eigenen Gebäude</w:t>
      </w:r>
      <w:r>
        <w:t xml:space="preserve"> </w:t>
      </w:r>
      <w:r>
        <w:t xml:space="preserve">die Spalte</w:t>
      </w:r>
      <w:r>
        <w:t xml:space="preserve"> </w:t>
      </w:r>
      <w:r>
        <w:rPr>
          <w:b/>
          <w:bCs/>
        </w:rPr>
        <w:t xml:space="preserve">Benchmark</w:t>
      </w:r>
      <w:r>
        <w:t xml:space="preserve">: Der eigene Verbrauch wird nun gegen den externen</w:t>
      </w:r>
      <w:r>
        <w:t xml:space="preserve"> </w:t>
      </w:r>
      <w:r>
        <w:t xml:space="preserve">Branchenwert eingefärbt statt nur gegen den eigenen Portfolio-Durchschnitt,</w:t>
      </w:r>
      <w:r>
        <w:t xml:space="preserve"> </w:t>
      </w:r>
      <w:r>
        <w:t xml:space="preserve">und ein Hinweis nennt den Dienstleister, der den Benchmark berechnet hat.</w:t>
      </w:r>
    </w:p>
    <w:p>
      <w:pPr>
        <w:pStyle w:val="CaptionedFigure"/>
      </w:pPr>
      <w:r>
        <w:drawing>
          <wp:inline>
            <wp:extent cx="5334000" cy="1376670"/>
            <wp:effectExtent b="0" l="0" r="0" t="0"/>
            <wp:docPr descr="Die Pointe des Roundtrips: Auf der Energie-Detailseite von A (und ebenso von B) steht der eigene Verbrauch jetzt einer gefüllten Spalte „Benchmark” gegenüber – den von C zurückgeteilten Branchenwerten über die Gebäude aller Beitragenden" title="" id="151" name="Picture"/>
            <a:graphic>
              <a:graphicData uri="http://schemas.openxmlformats.org/drawingml/2006/picture">
                <pic:pic>
                  <pic:nvPicPr>
                    <pic:cNvPr descr="figures/benchmark-payoff.pn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6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Die Pointe des Roundtrips: Auf der Energie-Detailseite von A (und ebenso von B) steht der eigene Verbrauch jetzt einer gefüllten Spalte „Benchmark” gegenüber – den von C zurückgeteilten Branchenwerten über die Gebäude aller Beitragenden</w:t>
      </w:r>
    </w:p>
    <w:p>
      <w:pPr>
        <w:pStyle w:val="CaptionedFigure"/>
      </w:pPr>
      <w:r>
        <w:drawing>
          <wp:inline>
            <wp:extent cx="5334000" cy="3075192"/>
            <wp:effectExtent b="0" l="0" r="0" t="0"/>
            <wp:docPr descr="Der Benchmark-Roundtrip: A und B teilen Gebäude an den Dienstleister C, C berechnet den Durchschnitt und teilt nur den Snapshot zurück" title="" id="154" name="Picture"/>
            <a:graphic>
              <a:graphicData uri="http://schemas.openxmlformats.org/drawingml/2006/picture">
                <pic:pic>
                  <pic:nvPicPr>
                    <pic:cNvPr descr="figures/szenario-benchmark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5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Der Benchmark-Roundtrip: A und B teilen Gebäude an den Dienstleister C, C berechnet den Durchschnitt und teilt nur den Snapshot zurück</w:t>
      </w:r>
    </w:p>
    <w:p>
      <w:pPr>
        <w:pStyle w:val="CaptionedFigure"/>
      </w:pPr>
      <w:r>
        <w:drawing>
          <wp:inline>
            <wp:extent cx="5334000" cy="4000499"/>
            <wp:effectExtent b="0" l="0" r="0" t="0"/>
            <wp:docPr descr="Die Sicht des Benchmark-Dienstleisters beim Zurückteilen: „Add all contributors” trägt alle Beitragenden mit einem Klick als Empfänger ein" title="" id="157" name="Picture"/>
            <a:graphic>
              <a:graphicData uri="http://schemas.openxmlformats.org/drawingml/2006/picture">
                <pic:pic>
                  <pic:nvPicPr>
                    <pic:cNvPr descr="figures/benchmark-share-back.pn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Die Sicht des Benchmark-Dienstleisters beim Zurückteilen: „Add all contributors” trägt alle Beitragenden mit einem Klick als Empfänger ein</w:t>
      </w:r>
    </w:p>
    <w:p>
      <w:pPr>
        <w:pStyle w:val="BodyText"/>
      </w:pPr>
      <w:r>
        <w:t xml:space="preserve">Entscheidend ist, was dabei</w:t>
      </w:r>
      <w:r>
        <w:t xml:space="preserve"> </w:t>
      </w:r>
      <w:r>
        <w:rPr>
          <w:b/>
          <w:bCs/>
        </w:rPr>
        <w:t xml:space="preserve">nicht</w:t>
      </w:r>
      <w:r>
        <w:t xml:space="preserve"> </w:t>
      </w:r>
      <w:r>
        <w:t xml:space="preserve">sichtbar wird: A und B sehen zu keinem</w:t>
      </w:r>
      <w:r>
        <w:t xml:space="preserve"> </w:t>
      </w:r>
      <w:r>
        <w:t xml:space="preserve">Zeitpunkt die Gebäude des jeweils anderen. Der zurückgeteilte Snapshot enthält</w:t>
      </w:r>
      <w:r>
        <w:t xml:space="preserve"> </w:t>
      </w:r>
      <w:r>
        <w:t xml:space="preserve">nur die berechneten Durchschnittswerte und die Anzahl der eingeflossenen</w:t>
      </w:r>
      <w:r>
        <w:t xml:space="preserve"> </w:t>
      </w:r>
      <w:r>
        <w:t xml:space="preserve">Gebäude – nicht, welche Gebäude das waren. Jeder Beitragende kann seine</w:t>
      </w:r>
      <w:r>
        <w:t xml:space="preserve"> </w:t>
      </w:r>
      <w:r>
        <w:t xml:space="preserve">Freigabe an C zudem jederzeit widerrufen und steigt damit aus künftigen</w:t>
      </w:r>
      <w:r>
        <w:t xml:space="preserve"> </w:t>
      </w:r>
      <w:r>
        <w:t xml:space="preserve">Benchmark-Berechnungen aus.</w:t>
      </w:r>
    </w:p>
    <w:p>
      <w:pPr>
        <w:pStyle w:val="BlockText"/>
      </w:pPr>
      <w:r>
        <w:rPr>
          <w:b/>
          <w:bCs/>
        </w:rPr>
        <w:t xml:space="preserve">Technische Details (für Administratoren)</w:t>
      </w:r>
    </w:p>
    <w:p>
      <w:pPr>
        <w:pStyle w:val="BlockText"/>
      </w:pPr>
      <w:r>
        <w:t xml:space="preserve">Die View-Definition – sie enthält die IRIs der beitragenden Gebäude – bleibt</w:t>
      </w:r>
      <w:r>
        <w:t xml:space="preserve"> </w:t>
      </w:r>
      <w:r>
        <w:t xml:space="preserve">auf C’s Pod und wird nie geteilt; nur der berechnete Snapshot wandert zu den</w:t>
      </w:r>
      <w:r>
        <w:t xml:space="preserve"> </w:t>
      </w:r>
      <w:r>
        <w:t xml:space="preserve">Empfängern. Der Snapshot ist dabei als Benchmark-Ergebnis typisiert und</w:t>
      </w:r>
      <w:r>
        <w:t xml:space="preserve"> </w:t>
      </w:r>
      <w:r>
        <w:t xml:space="preserve">vermerkt den berechnenden Agenten und den abgedeckten Zeitraum, sodass die</w:t>
      </w:r>
      <w:r>
        <w:t xml:space="preserve"> </w:t>
      </w:r>
      <w:r>
        <w:t xml:space="preserve">Energie-Ansicht der Empfänger ihn von gewöhnlichen geteilten Ansichten</w:t>
      </w:r>
      <w:r>
        <w:t xml:space="preserve"> </w:t>
      </w:r>
      <w:r>
        <w:t xml:space="preserve">unterscheiden und als Vergleichswert bevorzugen kann (Reihenfolge: externer</w:t>
      </w:r>
      <w:r>
        <w:t xml:space="preserve"> </w:t>
      </w:r>
      <w:r>
        <w:t xml:space="preserve">Benchmark vor Betreiber-Durchschnitt vor Portfolio-Durchschnitt).</w:t>
      </w:r>
    </w:p>
    <w:bookmarkEnd w:id="159"/>
    <w:bookmarkEnd w:id="160"/>
    <w:bookmarkStart w:id="161" w:name="was-steckt-hinter-granergize"/>
    <w:p>
      <w:pPr>
        <w:pStyle w:val="Heading1"/>
      </w:pPr>
      <w:r>
        <w:t xml:space="preserve">Was steckt hinter Granergize</w:t>
      </w:r>
    </w:p>
    <w:p>
      <w:pPr>
        <w:pStyle w:val="FirstParagraph"/>
      </w:pPr>
      <w:r>
        <w:t xml:space="preserve">Die in diesem Handbuch beschriebene Webanwendung entstand im Rahmen des</w:t>
      </w:r>
      <w:r>
        <w:t xml:space="preserve"> </w:t>
      </w:r>
      <w:r>
        <w:t xml:space="preserve">Forschungsprojekts</w:t>
      </w:r>
      <w:r>
        <w:t xml:space="preserve"> </w:t>
      </w:r>
      <w:r>
        <w:rPr>
          <w:b/>
          <w:bCs/>
        </w:rPr>
        <w:t xml:space="preserve">Granergize – Graphenbasierter Datenraum für</w:t>
      </w:r>
      <w:r>
        <w:rPr>
          <w:b/>
          <w:bCs/>
        </w:rPr>
        <w:t xml:space="preserve"> </w:t>
      </w:r>
      <w:r>
        <w:rPr>
          <w:b/>
          <w:bCs/>
        </w:rPr>
        <w:t xml:space="preserve">energieeffiziente Logistikimmobilien</w:t>
      </w:r>
      <w:r>
        <w:t xml:space="preserve">. Ziel des Projekts ist es, die Transparenz</w:t>
      </w:r>
      <w:r>
        <w:t xml:space="preserve"> </w:t>
      </w:r>
      <w:r>
        <w:t xml:space="preserve">und Vergleichbarkeit energierelevanter Daten in Logistikimmobilien zu verbessern</w:t>
      </w:r>
      <w:r>
        <w:t xml:space="preserve"> </w:t>
      </w:r>
      <w:r>
        <w:t xml:space="preserve">und dadurch die Grundlage für ein effizienteres Energiemanagement zu schaffen. Im</w:t>
      </w:r>
      <w:r>
        <w:t xml:space="preserve"> </w:t>
      </w:r>
      <w:r>
        <w:t xml:space="preserve">Mittelpunkt steht der Aufbau eines semantischen Datenmodells einschließlich einer</w:t>
      </w:r>
      <w:r>
        <w:t xml:space="preserve"> </w:t>
      </w:r>
      <w:r>
        <w:t xml:space="preserve">Domänen-Ontologie. Auf dieser Grundlage wird ein Wissensgraph entwickelt, der</w:t>
      </w:r>
      <w:r>
        <w:t xml:space="preserve"> </w:t>
      </w:r>
      <w:r>
        <w:t xml:space="preserve">unterschiedliche Datenquellen zusammenführt und in einheitlicher Form nutzbar</w:t>
      </w:r>
      <w:r>
        <w:t xml:space="preserve"> </w:t>
      </w:r>
      <w:r>
        <w:t xml:space="preserve">macht. Dadurch sollen energetische Informationen konsistent ausgewertet und</w:t>
      </w:r>
      <w:r>
        <w:t xml:space="preserve"> </w:t>
      </w:r>
      <w:r>
        <w:t xml:space="preserve">sowohl unternehmensintern als auch -übergreifend bereitgestellt werden können.</w:t>
      </w:r>
      <w:r>
        <w:t xml:space="preserve"> </w:t>
      </w:r>
      <w:r>
        <w:t xml:space="preserve">Die entwickelte Webanwendung dient dabei als zentrale Benutzeroberfläche für den</w:t>
      </w:r>
      <w:r>
        <w:t xml:space="preserve"> </w:t>
      </w:r>
      <w:r>
        <w:t xml:space="preserve">Zugriff auf die im Wissensgraphen verwalteten Daten.</w:t>
      </w:r>
    </w:p>
    <w:p>
      <w:pPr>
        <w:pStyle w:val="BodyText"/>
      </w:pPr>
      <w:r>
        <w:t xml:space="preserve">Das Forschungsprojekt ist ein Vorhaben der Industriellen Gemeinschaftsforschung</w:t>
      </w:r>
      <w:r>
        <w:t xml:space="preserve"> </w:t>
      </w:r>
      <w:r>
        <w:t xml:space="preserve">(IGF) und wird durch das Bundesministerium für Wirtschaft und Energie (BMWE) gefördert</w:t>
      </w:r>
      <w:r>
        <w:t xml:space="preserve"> </w:t>
      </w:r>
      <w:r>
        <w:t xml:space="preserve">(Förderkennzeichen 01IF23286N). Das Projekt läuft von April 2024 bis Juni 2026</w:t>
      </w:r>
      <w:r>
        <w:t xml:space="preserve"> </w:t>
      </w:r>
      <w:r>
        <w:t xml:space="preserve">und wird gemeinsam von Partnern aus Wissenschaft und Wirtschaft umgesetzt –</w:t>
      </w:r>
      <w:r>
        <w:t xml:space="preserve"> </w:t>
      </w:r>
      <w:r>
        <w:t xml:space="preserve">beteiligt sind das Fraunhofer IIS, die Friedrich-Alexander-Universität</w:t>
      </w:r>
      <w:r>
        <w:t xml:space="preserve"> </w:t>
      </w:r>
      <w:r>
        <w:t xml:space="preserve">Erlangen-Nürnberg sowie einzelne Praxispartner aus dem</w:t>
      </w:r>
      <w:r>
        <w:t xml:space="preserve"> </w:t>
      </w:r>
      <w:r>
        <w:t xml:space="preserve">Logistikimmobilienökosystem.</w:t>
      </w:r>
    </w:p>
    <w:p>
      <w:pPr>
        <w:pStyle w:val="BodyText"/>
      </w:pPr>
      <w:r>
        <w:t xml:space="preserve">Die Granergize-App ist</w:t>
      </w:r>
      <w:r>
        <w:t xml:space="preserve"> </w:t>
      </w:r>
      <w:r>
        <w:rPr>
          <w:b/>
          <w:bCs/>
        </w:rPr>
        <w:t xml:space="preserve">quelloffen</w:t>
      </w:r>
      <w:r>
        <w:t xml:space="preserve">: Der Quellcode steht unter der GNU Affero</w:t>
      </w:r>
      <w:r>
        <w:t xml:space="preserve"> </w:t>
      </w:r>
      <w:r>
        <w:t xml:space="preserve">General Public License, Version 3 (AGPL-3.0) auf GitHub zur Verfügung –</w:t>
      </w:r>
      <w:r>
        <w:t xml:space="preserve"> </w:t>
      </w:r>
      <w:hyperlink r:id="rId58">
        <w:r>
          <w:rPr>
            <w:rStyle w:val="Hyperlink"/>
          </w:rPr>
          <w:t xml:space="preserve">github.com/wintechis/granergize-webapp</w:t>
        </w:r>
      </w:hyperlink>
      <w:r>
        <w:t xml:space="preserve">.</w:t>
      </w:r>
      <w:r>
        <w:t xml:space="preserve"> </w:t>
      </w:r>
      <w:r>
        <w:t xml:space="preserve">Die Lizenz erlaubt es jedem, die Anwendung frei zu nutzen, den Quellcode zu</w:t>
      </w:r>
      <w:r>
        <w:t xml:space="preserve"> </w:t>
      </w:r>
      <w:r>
        <w:t xml:space="preserve">prüfen, sie anzupassen und selbst zu betreiben (siehe Abschnitt „Einen eigenen</w:t>
      </w:r>
      <w:r>
        <w:t xml:space="preserve"> </w:t>
      </w:r>
      <w:r>
        <w:t xml:space="preserve">Solid-Server betreiben”); wer eine veränderte Fassung als Dienst anbietet, muss</w:t>
      </w:r>
      <w:r>
        <w:t xml:space="preserve"> </w:t>
      </w:r>
      <w:r>
        <w:t xml:space="preserve">deren Quellcode ebenfalls offenlegen. Für die Trennung von Identität, Daten und</w:t>
      </w:r>
      <w:r>
        <w:t xml:space="preserve"> </w:t>
      </w:r>
      <w:r>
        <w:t xml:space="preserve">Anwendung heißt das: Auch der dritte Baustein ist überprüfbar und liegt nicht</w:t>
      </w:r>
      <w:r>
        <w:t xml:space="preserve"> </w:t>
      </w:r>
      <w:r>
        <w:t xml:space="preserve">in der Hand eines einzelnen Anbieters.</w:t>
      </w:r>
    </w:p>
    <w:bookmarkEnd w:id="161"/>
    <w:bookmarkStart w:id="163" w:name="literaturverzeichnis"/>
    <w:p>
      <w:pPr>
        <w:pStyle w:val="Heading1"/>
      </w:pPr>
      <w:r>
        <w:t xml:space="preserve">Literaturverzeichnis</w:t>
      </w:r>
    </w:p>
    <w:p>
      <w:pPr>
        <w:pStyle w:val="FirstParagraph"/>
      </w:pPr>
      <w:r>
        <w:t xml:space="preserve">[1] A. Nehm, U. Veres-Homm, C. Kille (2009).</w:t>
      </w:r>
      <w:r>
        <w:t xml:space="preserve"> </w:t>
      </w:r>
      <w:r>
        <w:rPr>
          <w:i/>
          <w:iCs/>
        </w:rPr>
        <w:t xml:space="preserve">Logistikimmobilien in Deutschland:</w:t>
      </w:r>
      <w:r>
        <w:rPr>
          <w:i/>
          <w:iCs/>
        </w:rPr>
        <w:t xml:space="preserve"> </w:t>
      </w:r>
      <w:r>
        <w:rPr>
          <w:i/>
          <w:iCs/>
        </w:rPr>
        <w:t xml:space="preserve">Markt und Standorte; eine Studie mit der Unterstützung von Deka Immobilien,</w:t>
      </w:r>
      <w:r>
        <w:rPr>
          <w:i/>
          <w:iCs/>
        </w:rPr>
        <w:t xml:space="preserve"> </w:t>
      </w:r>
      <w:r>
        <w:rPr>
          <w:i/>
          <w:iCs/>
        </w:rPr>
        <w:t xml:space="preserve">Goldbeck, ING Real Estate, Jones Lang LaSalle, ProLogis.</w:t>
      </w:r>
      <w:r>
        <w:t xml:space="preserve"> </w:t>
      </w:r>
      <w:r>
        <w:t xml:space="preserve">Fraunhofer-Verlag,</w:t>
      </w:r>
      <w:r>
        <w:t xml:space="preserve"> </w:t>
      </w:r>
      <w:r>
        <w:t xml:space="preserve">Stuttgart.</w:t>
      </w:r>
    </w:p>
    <w:p>
      <w:pPr>
        <w:pStyle w:val="BodyText"/>
      </w:pPr>
      <w:r>
        <w:t xml:space="preserve">[2] Statistisches Bundesamt (2023).</w:t>
      </w:r>
      <w:r>
        <w:t xml:space="preserve"> </w:t>
      </w:r>
      <w:r>
        <w:rPr>
          <w:i/>
          <w:iCs/>
        </w:rPr>
        <w:t xml:space="preserve">Daten zur Energiepreisentwicklung, Lange</w:t>
      </w:r>
      <w:r>
        <w:rPr>
          <w:i/>
          <w:iCs/>
        </w:rPr>
        <w:t xml:space="preserve"> </w:t>
      </w:r>
      <w:r>
        <w:rPr>
          <w:i/>
          <w:iCs/>
        </w:rPr>
        <w:t xml:space="preserve">Reihen von Januar 2005 bis Dezember 2022.</w:t>
      </w:r>
      <w:r>
        <w:t xml:space="preserve"> </w:t>
      </w:r>
      <w:r>
        <w:t xml:space="preserve">Wiesbaden.</w:t>
      </w:r>
    </w:p>
    <w:p>
      <w:pPr>
        <w:pStyle w:val="BodyText"/>
      </w:pPr>
      <w:r>
        <w:t xml:space="preserve">[3] European Commission (2022).</w:t>
      </w:r>
      <w:r>
        <w:t xml:space="preserve"> </w:t>
      </w:r>
      <w:r>
        <w:rPr>
          <w:i/>
          <w:iCs/>
        </w:rPr>
        <w:t xml:space="preserve">EU taxonomy for sustainable activities.</w:t>
      </w:r>
      <w:r>
        <w:t xml:space="preserve"> </w:t>
      </w:r>
      <w:r>
        <w:t xml:space="preserve">URL:</w:t>
      </w:r>
      <w:r>
        <w:t xml:space="preserve"> </w:t>
      </w:r>
      <w:hyperlink r:id="rId162">
        <w:r>
          <w:rPr>
            <w:rStyle w:val="Hyperlink"/>
          </w:rPr>
          <w:t xml:space="preserve">https://finance.ec.europa.eu/sustainable-finance/tools-and-standards/eu-taxonomy-sustainable-activities_en</w:t>
        </w:r>
      </w:hyperlink>
    </w:p>
    <w:bookmarkEnd w:id="1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7126">
    <w:nsid w:val="0A997126"/>
    <w:multiLevelType w:val="multilevel"/>
    <w:lvl w:ilvl="0">
      <w:start w:val="26"/>
      <w:numFmt w:val="lowerLetter"/>
      <w:lvlText w:val="%1."/>
      <w:lvlJc w:val="left"/>
      <w:pPr>
        <w:ind w:left="720" w:hanging="480"/>
      </w:pPr>
    </w:lvl>
    <w:lvl w:ilvl="1">
      <w:start w:val="26"/>
      <w:numFmt w:val="lowerLetter"/>
      <w:lvlText w:val="%2."/>
      <w:lvlJc w:val="left"/>
      <w:pPr>
        <w:ind w:left="1440" w:hanging="480"/>
      </w:pPr>
    </w:lvl>
    <w:lvl w:ilvl="2">
      <w:start w:val="26"/>
      <w:numFmt w:val="lowerLetter"/>
      <w:lvlText w:val="%3."/>
      <w:lvlJc w:val="left"/>
      <w:pPr>
        <w:ind w:left="2160" w:hanging="480"/>
      </w:pPr>
    </w:lvl>
    <w:lvl w:ilvl="3">
      <w:start w:val="26"/>
      <w:numFmt w:val="lowerLetter"/>
      <w:lvlText w:val="%4."/>
      <w:lvlJc w:val="left"/>
      <w:pPr>
        <w:ind w:left="2880" w:hanging="480"/>
      </w:pPr>
    </w:lvl>
    <w:lvl w:ilvl="4">
      <w:start w:val="26"/>
      <w:numFmt w:val="lowerLetter"/>
      <w:lvlText w:val="%5."/>
      <w:lvlJc w:val="left"/>
      <w:pPr>
        <w:ind w:left="3600" w:hanging="480"/>
      </w:pPr>
    </w:lvl>
    <w:lvl w:ilvl="5">
      <w:start w:val="26"/>
      <w:numFmt w:val="lowerLetter"/>
      <w:lvlText w:val="%6."/>
      <w:lvlJc w:val="left"/>
      <w:pPr>
        <w:ind w:left="4320" w:hanging="480"/>
      </w:pPr>
    </w:lvl>
    <w:lvl w:ilvl="6">
      <w:start w:val="26"/>
      <w:numFmt w:val="lowerLetter"/>
      <w:lvlText w:val="%7."/>
      <w:lvlJc w:val="left"/>
      <w:pPr>
        <w:ind w:left="5040" w:hanging="480"/>
      </w:pPr>
    </w:lvl>
    <w:lvl w:ilvl="7">
      <w:start w:val="26"/>
      <w:numFmt w:val="lowerLetter"/>
      <w:lvlText w:val="%8."/>
      <w:lvlJc w:val="left"/>
      <w:pPr>
        <w:ind w:left="5760" w:hanging="480"/>
      </w:pPr>
    </w:lvl>
    <w:lvl w:ilvl="8">
      <w:start w:val="26"/>
      <w:numFmt w:val="lowerLetter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7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78" Target="media/rId78.png" /><Relationship Type="http://schemas.openxmlformats.org/officeDocument/2006/relationships/image" Id="rId128" Target="media/rId128.png" /><Relationship Type="http://schemas.openxmlformats.org/officeDocument/2006/relationships/image" Id="rId26" Target="media/rId26.png" /><Relationship Type="http://schemas.openxmlformats.org/officeDocument/2006/relationships/image" Id="rId23" Target="media/rId23.png" /><Relationship Type="http://schemas.openxmlformats.org/officeDocument/2006/relationships/image" Id="rId60" Target="media/rId60.png" /><Relationship Type="http://schemas.openxmlformats.org/officeDocument/2006/relationships/image" Id="rId46" Target="media/rId46.png" /><Relationship Type="http://schemas.openxmlformats.org/officeDocument/2006/relationships/image" Id="rId32" Target="media/rId32.png" /><Relationship Type="http://schemas.openxmlformats.org/officeDocument/2006/relationships/image" Id="rId150" Target="media/rId150.png" /><Relationship Type="http://schemas.openxmlformats.org/officeDocument/2006/relationships/image" Id="rId156" Target="media/rId156.png" /><Relationship Type="http://schemas.openxmlformats.org/officeDocument/2006/relationships/image" Id="rId29" Target="media/rId29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117" Target="media/rId117.png" /><Relationship Type="http://schemas.openxmlformats.org/officeDocument/2006/relationships/image" Id="rId125" Target="media/rId125.png" /><Relationship Type="http://schemas.openxmlformats.org/officeDocument/2006/relationships/image" Id="rId93" Target="media/rId93.png" /><Relationship Type="http://schemas.openxmlformats.org/officeDocument/2006/relationships/image" Id="rId96" Target="media/rId96.png" /><Relationship Type="http://schemas.openxmlformats.org/officeDocument/2006/relationships/image" Id="rId101" Target="media/rId101.png" /><Relationship Type="http://schemas.openxmlformats.org/officeDocument/2006/relationships/image" Id="rId86" Target="media/rId86.png" /><Relationship Type="http://schemas.openxmlformats.org/officeDocument/2006/relationships/image" Id="rId63" Target="media/rId63.png" /><Relationship Type="http://schemas.openxmlformats.org/officeDocument/2006/relationships/image" Id="rId82" Target="media/rId82.png" /><Relationship Type="http://schemas.openxmlformats.org/officeDocument/2006/relationships/image" Id="rId90" Target="media/rId90.png" /><Relationship Type="http://schemas.openxmlformats.org/officeDocument/2006/relationships/image" Id="rId113" Target="media/rId113.png" /><Relationship Type="http://schemas.openxmlformats.org/officeDocument/2006/relationships/image" Id="rId121" Target="media/rId121.png" /><Relationship Type="http://schemas.openxmlformats.org/officeDocument/2006/relationships/image" Id="rId132" Target="media/rId132.png" /><Relationship Type="http://schemas.openxmlformats.org/officeDocument/2006/relationships/image" Id="rId106" Target="media/rId106.png" /><Relationship Type="http://schemas.openxmlformats.org/officeDocument/2006/relationships/image" Id="rId139" Target="media/rId139.png" /><Relationship Type="http://schemas.openxmlformats.org/officeDocument/2006/relationships/image" Id="rId153" Target="media/rId153.png" /><Relationship Type="http://schemas.openxmlformats.org/officeDocument/2006/relationships/image" Id="rId146" Target="media/rId146.png" /><Relationship Type="http://schemas.openxmlformats.org/officeDocument/2006/relationships/image" Id="rId143" Target="media/rId143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hyperlink" Id="rId56" Target="https://communitysolidserver.github.io/CommunitySolidServer/" TargetMode="External" /><Relationship Type="http://schemas.openxmlformats.org/officeDocument/2006/relationships/hyperlink" Id="rId162" Target="https://finance.ec.europa.eu/sustainable-finance/tools-and-standards/eu-taxonomy-sustainable-activities_en" TargetMode="External" /><Relationship Type="http://schemas.openxmlformats.org/officeDocument/2006/relationships/hyperlink" Id="rId58" Target="https://github.com/wintechis/granergize-webapp" TargetMode="External" /><Relationship Type="http://schemas.openxmlformats.org/officeDocument/2006/relationships/hyperlink" Id="rId57" Target="https://nodejs.org/" TargetMode="External" /><Relationship Type="http://schemas.openxmlformats.org/officeDocument/2006/relationships/hyperlink" Id="rId54" Target="https://solidcommunity.ne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communitysolidserver.github.io/CommunitySolidServer/" TargetMode="External" /><Relationship Type="http://schemas.openxmlformats.org/officeDocument/2006/relationships/hyperlink" Id="rId162" Target="https://finance.ec.europa.eu/sustainable-finance/tools-and-standards/eu-taxonomy-sustainable-activities_en" TargetMode="External" /><Relationship Type="http://schemas.openxmlformats.org/officeDocument/2006/relationships/hyperlink" Id="rId58" Target="https://github.com/wintechis/granergize-webapp" TargetMode="External" /><Relationship Type="http://schemas.openxmlformats.org/officeDocument/2006/relationships/hyperlink" Id="rId57" Target="https://nodejs.org/" TargetMode="External" /><Relationship Type="http://schemas.openxmlformats.org/officeDocument/2006/relationships/hyperlink" Id="rId54" Target="https://solidcommunity.ne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Datenintegration bei Logistikimmobilien</dc:title>
  <dc:creator>Uwe Veres-Homm, Bereich Supply Chain Services des Fraunhofer IIS; Heike Weber, Bereich Supply Chain Services des Fraunhofer IIS; Prof. Dr. Andreas Harth, Friedrich-Alexander-Universität Erlangen-Nürnberg; Thomas Wehr, Friedrich-Alexander-Universität Erlangen-Nürnberg</dc:creator>
  <dc:language>de</dc:language>
  <cp:keywords/>
  <dcterms:created xsi:type="dcterms:W3CDTF">2026-06-27T20:54:31Z</dcterms:created>
  <dcterms:modified xsi:type="dcterms:W3CDTF">2026-06-27T20:54:31Z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lorlinks">
    <vt:lpwstr>True</vt:lpwstr>
  </property>
  <property fmtid="{D5CDD505-2E9C-101B-9397-08002B2CF9AE}" pid="3" name="date">
    <vt:lpwstr>Juni 2026 · Version b406044+</vt:lpwstr>
  </property>
  <property fmtid="{D5CDD505-2E9C-101B-9397-08002B2CF9AE}" pid="4" name="documentclass">
    <vt:lpwstr>report</vt:lpwstr>
  </property>
  <property fmtid="{D5CDD505-2E9C-101B-9397-08002B2CF9AE}" pid="5" name="geometry">
    <vt:lpwstr>a4paper, margin=2.5cm</vt:lpwstr>
  </property>
  <property fmtid="{D5CDD505-2E9C-101B-9397-08002B2CF9AE}" pid="6" name="linkcolor">
    <vt:lpwstr>blue</vt:lpwstr>
  </property>
  <property fmtid="{D5CDD505-2E9C-101B-9397-08002B2CF9AE}" pid="7" name="numbersections">
    <vt:lpwstr>True</vt:lpwstr>
  </property>
  <property fmtid="{D5CDD505-2E9C-101B-9397-08002B2CF9AE}" pid="8" name="subtitle">
    <vt:lpwstr>Praxishandbuch</vt:lpwstr>
  </property>
  <property fmtid="{D5CDD505-2E9C-101B-9397-08002B2CF9AE}" pid="9" name="toc">
    <vt:lpwstr>True</vt:lpwstr>
  </property>
  <property fmtid="{D5CDD505-2E9C-101B-9397-08002B2CF9AE}" pid="10" name="toc-depth">
    <vt:lpwstr>2</vt:lpwstr>
  </property>
  <property fmtid="{D5CDD505-2E9C-101B-9397-08002B2CF9AE}" pid="11" name="urlcolor">
    <vt:lpwstr>blue</vt:lpwstr>
  </property>
</Properties>
</file>